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B11" w:rsidRPr="00B528A6" w:rsidRDefault="00443B11" w:rsidP="00443B11">
      <w:pPr>
        <w:ind w:firstLine="0"/>
        <w:jc w:val="center"/>
        <w:rPr>
          <w:rFonts w:ascii="Times New Roman" w:hAnsi="Times New Roman" w:cs="Times New Roman"/>
          <w:b/>
          <w:sz w:val="24"/>
          <w:szCs w:val="24"/>
        </w:rPr>
      </w:pPr>
      <w:bookmarkStart w:id="0" w:name="_GoBack"/>
      <w:bookmarkEnd w:id="0"/>
      <w:r w:rsidRPr="00B528A6">
        <w:rPr>
          <w:rFonts w:ascii="Times New Roman" w:hAnsi="Times New Roman" w:cs="Times New Roman"/>
          <w:b/>
          <w:sz w:val="24"/>
          <w:szCs w:val="24"/>
        </w:rPr>
        <w:t>TEISĖS AKTŲ PROJEKTŲ ANTIKORUPCINIO VERTINIMO PAŽYMA</w:t>
      </w:r>
    </w:p>
    <w:p w:rsidR="00443B11" w:rsidRPr="00B528A6" w:rsidRDefault="00443B11" w:rsidP="000B327E">
      <w:pPr>
        <w:ind w:firstLine="0"/>
        <w:rPr>
          <w:rFonts w:ascii="Times New Roman" w:hAnsi="Times New Roman" w:cs="Times New Roman"/>
          <w:sz w:val="24"/>
          <w:szCs w:val="24"/>
        </w:rPr>
      </w:pPr>
    </w:p>
    <w:bookmarkStart w:id="1" w:name="registravimoDataIlga"/>
    <w:p w:rsidR="00B528A6" w:rsidRPr="00B528A6" w:rsidRDefault="00B528A6" w:rsidP="00B528A6">
      <w:pPr>
        <w:tabs>
          <w:tab w:val="left" w:pos="5070"/>
          <w:tab w:val="left" w:pos="5366"/>
          <w:tab w:val="left" w:pos="6771"/>
          <w:tab w:val="left" w:pos="7363"/>
        </w:tabs>
        <w:jc w:val="center"/>
        <w:rPr>
          <w:rFonts w:ascii="Times New Roman" w:hAnsi="Times New Roman" w:cs="Times New Roman"/>
          <w:sz w:val="24"/>
          <w:szCs w:val="24"/>
        </w:rPr>
      </w:pPr>
      <w:r w:rsidRPr="00B528A6">
        <w:rPr>
          <w:rFonts w:ascii="Times New Roman" w:hAnsi="Times New Roman" w:cs="Times New Roman"/>
          <w:noProof/>
          <w:sz w:val="24"/>
          <w:szCs w:val="24"/>
        </w:rPr>
        <w:fldChar w:fldCharType="begin">
          <w:ffData>
            <w:name w:val="registravimoDataIlga"/>
            <w:enabled/>
            <w:calcOnExit w:val="0"/>
            <w:textInput>
              <w:maxLength w:val="1"/>
            </w:textInput>
          </w:ffData>
        </w:fldChar>
      </w:r>
      <w:r w:rsidRPr="00B528A6">
        <w:rPr>
          <w:rFonts w:ascii="Times New Roman" w:hAnsi="Times New Roman" w:cs="Times New Roman"/>
          <w:noProof/>
          <w:sz w:val="24"/>
          <w:szCs w:val="24"/>
        </w:rPr>
        <w:instrText xml:space="preserve"> FORMTEXT </w:instrText>
      </w:r>
      <w:r w:rsidRPr="00B528A6">
        <w:rPr>
          <w:rFonts w:ascii="Times New Roman" w:hAnsi="Times New Roman" w:cs="Times New Roman"/>
          <w:noProof/>
          <w:sz w:val="24"/>
          <w:szCs w:val="24"/>
        </w:rPr>
      </w:r>
      <w:r w:rsidRPr="00B528A6">
        <w:rPr>
          <w:rFonts w:ascii="Times New Roman" w:hAnsi="Times New Roman" w:cs="Times New Roman"/>
          <w:noProof/>
          <w:sz w:val="24"/>
          <w:szCs w:val="24"/>
        </w:rPr>
        <w:fldChar w:fldCharType="separate"/>
      </w:r>
      <w:r w:rsidRPr="00B528A6">
        <w:rPr>
          <w:rFonts w:ascii="Times New Roman" w:hAnsi="Times New Roman" w:cs="Times New Roman"/>
          <w:noProof/>
          <w:sz w:val="24"/>
          <w:szCs w:val="24"/>
        </w:rPr>
        <w:t>2018 m. gegužės 21 d.</w:t>
      </w:r>
      <w:r w:rsidRPr="00B528A6">
        <w:rPr>
          <w:rFonts w:ascii="Times New Roman" w:hAnsi="Times New Roman" w:cs="Times New Roman"/>
          <w:noProof/>
          <w:sz w:val="24"/>
          <w:szCs w:val="24"/>
        </w:rPr>
        <w:fldChar w:fldCharType="end"/>
      </w:r>
      <w:bookmarkEnd w:id="1"/>
      <w:r w:rsidRPr="00B528A6">
        <w:rPr>
          <w:rFonts w:ascii="Times New Roman" w:hAnsi="Times New Roman" w:cs="Times New Roman"/>
          <w:noProof/>
          <w:sz w:val="24"/>
          <w:szCs w:val="24"/>
        </w:rPr>
        <w:t xml:space="preserve"> </w:t>
      </w:r>
      <w:r w:rsidRPr="00B528A6">
        <w:rPr>
          <w:rFonts w:ascii="Times New Roman" w:hAnsi="Times New Roman" w:cs="Times New Roman"/>
          <w:sz w:val="24"/>
          <w:szCs w:val="24"/>
        </w:rPr>
        <w:t xml:space="preserve">Nr. </w:t>
      </w:r>
      <w:bookmarkStart w:id="2" w:name="dokumentoNr"/>
      <w:r w:rsidRPr="00B528A6">
        <w:rPr>
          <w:rFonts w:ascii="Times New Roman" w:hAnsi="Times New Roman" w:cs="Times New Roman"/>
          <w:noProof/>
          <w:sz w:val="24"/>
          <w:szCs w:val="24"/>
        </w:rPr>
        <w:fldChar w:fldCharType="begin">
          <w:ffData>
            <w:name w:val="dokumentoNr"/>
            <w:enabled/>
            <w:calcOnExit w:val="0"/>
            <w:textInput>
              <w:maxLength w:val="1"/>
            </w:textInput>
          </w:ffData>
        </w:fldChar>
      </w:r>
      <w:r w:rsidRPr="00B528A6">
        <w:rPr>
          <w:rFonts w:ascii="Times New Roman" w:hAnsi="Times New Roman" w:cs="Times New Roman"/>
          <w:noProof/>
          <w:sz w:val="24"/>
          <w:szCs w:val="24"/>
        </w:rPr>
        <w:instrText xml:space="preserve"> FORMTEXT </w:instrText>
      </w:r>
      <w:r w:rsidRPr="00B528A6">
        <w:rPr>
          <w:rFonts w:ascii="Times New Roman" w:hAnsi="Times New Roman" w:cs="Times New Roman"/>
          <w:noProof/>
          <w:sz w:val="24"/>
          <w:szCs w:val="24"/>
        </w:rPr>
      </w:r>
      <w:r w:rsidRPr="00B528A6">
        <w:rPr>
          <w:rFonts w:ascii="Times New Roman" w:hAnsi="Times New Roman" w:cs="Times New Roman"/>
          <w:noProof/>
          <w:sz w:val="24"/>
          <w:szCs w:val="24"/>
        </w:rPr>
        <w:fldChar w:fldCharType="separate"/>
      </w:r>
      <w:r w:rsidRPr="00B528A6">
        <w:rPr>
          <w:rFonts w:ascii="Times New Roman" w:hAnsi="Times New Roman" w:cs="Times New Roman"/>
          <w:noProof/>
          <w:sz w:val="24"/>
          <w:szCs w:val="24"/>
        </w:rPr>
        <w:t>T1-120</w:t>
      </w:r>
      <w:r w:rsidRPr="00B528A6">
        <w:rPr>
          <w:rFonts w:ascii="Times New Roman" w:hAnsi="Times New Roman" w:cs="Times New Roman"/>
          <w:noProof/>
          <w:sz w:val="24"/>
          <w:szCs w:val="24"/>
        </w:rPr>
        <w:fldChar w:fldCharType="end"/>
      </w:r>
      <w:bookmarkEnd w:id="2"/>
    </w:p>
    <w:p w:rsidR="00B528A6" w:rsidRPr="00B528A6" w:rsidRDefault="00B528A6" w:rsidP="000B327E">
      <w:pPr>
        <w:ind w:firstLine="0"/>
        <w:rPr>
          <w:rFonts w:ascii="Times New Roman" w:hAnsi="Times New Roman" w:cs="Times New Roman"/>
          <w:sz w:val="24"/>
          <w:szCs w:val="24"/>
        </w:rPr>
      </w:pPr>
    </w:p>
    <w:p w:rsidR="00443B11" w:rsidRPr="005A265B" w:rsidRDefault="00443B11" w:rsidP="00443B11">
      <w:pPr>
        <w:jc w:val="both"/>
        <w:rPr>
          <w:rFonts w:ascii="Times New Roman" w:hAnsi="Times New Roman" w:cs="Times New Roman"/>
          <w:sz w:val="24"/>
          <w:szCs w:val="24"/>
        </w:rPr>
      </w:pPr>
      <w:r w:rsidRPr="005A265B">
        <w:rPr>
          <w:rFonts w:ascii="Times New Roman" w:hAnsi="Times New Roman" w:cs="Times New Roman"/>
          <w:sz w:val="24"/>
          <w:szCs w:val="24"/>
        </w:rPr>
        <w:t>Teisės akto projekto pavadinimas:</w:t>
      </w:r>
      <w:r w:rsidR="005A265B" w:rsidRPr="005A265B">
        <w:rPr>
          <w:rFonts w:ascii="Times New Roman" w:hAnsi="Times New Roman" w:cs="Times New Roman"/>
          <w:sz w:val="24"/>
          <w:szCs w:val="24"/>
        </w:rPr>
        <w:t xml:space="preserve"> </w:t>
      </w:r>
      <w:r w:rsidR="005A265B" w:rsidRPr="005A265B">
        <w:rPr>
          <w:rFonts w:ascii="Times New Roman" w:hAnsi="Times New Roman" w:cs="Times New Roman"/>
          <w:caps/>
          <w:sz w:val="24"/>
          <w:szCs w:val="24"/>
        </w:rPr>
        <w:t>DĖL APMOKĖJIMO UŽ BRANDOS EGZAMINŲ VYKDYMĄ, KANDIDATŲ DARBŲ VERTINIMĄ IR APELIACIJŲ NAGRINĖJIMĄ tvarkos APRAŠO PATVIRTINIMO</w:t>
      </w:r>
    </w:p>
    <w:p w:rsidR="00443B11" w:rsidRPr="005A265B" w:rsidRDefault="00443B11" w:rsidP="00443B11">
      <w:pPr>
        <w:jc w:val="both"/>
        <w:rPr>
          <w:rFonts w:ascii="Times New Roman" w:hAnsi="Times New Roman" w:cs="Times New Roman"/>
          <w:sz w:val="24"/>
          <w:szCs w:val="24"/>
        </w:rPr>
      </w:pPr>
      <w:r w:rsidRPr="005A265B">
        <w:rPr>
          <w:rFonts w:ascii="Times New Roman" w:hAnsi="Times New Roman" w:cs="Times New Roman"/>
          <w:sz w:val="24"/>
          <w:szCs w:val="24"/>
        </w:rPr>
        <w:t>Teisės akto projekto tiesioginis rengėjas:</w:t>
      </w:r>
      <w:r w:rsidR="005A265B" w:rsidRPr="005A265B">
        <w:rPr>
          <w:rFonts w:ascii="Times New Roman" w:hAnsi="Times New Roman" w:cs="Times New Roman"/>
          <w:sz w:val="24"/>
          <w:szCs w:val="24"/>
        </w:rPr>
        <w:t xml:space="preserve"> Švietimo skyriaus vyriausioji specialistė Rūta Rimkuvienė</w:t>
      </w:r>
    </w:p>
    <w:p w:rsidR="00E15EE2" w:rsidRPr="009C796E" w:rsidRDefault="00443B11" w:rsidP="00443B11">
      <w:pPr>
        <w:jc w:val="both"/>
        <w:rPr>
          <w:rFonts w:ascii="Times New Roman" w:hAnsi="Times New Roman" w:cs="Times New Roman"/>
          <w:sz w:val="24"/>
          <w:szCs w:val="24"/>
        </w:rPr>
      </w:pPr>
      <w:r w:rsidRPr="009C796E">
        <w:rPr>
          <w:rFonts w:ascii="Times New Roman" w:hAnsi="Times New Roman" w:cs="Times New Roman"/>
          <w:sz w:val="24"/>
          <w:szCs w:val="24"/>
        </w:rPr>
        <w:t>Antikorupciniu požiūriu rizikingos teisės akto projekto nuostatos</w:t>
      </w:r>
      <w:r w:rsidRPr="009C796E">
        <w:rPr>
          <w:rFonts w:ascii="Times New Roman" w:hAnsi="Times New Roman" w:cs="Times New Roman"/>
          <w:b/>
          <w:sz w:val="24"/>
          <w:szCs w:val="24"/>
        </w:rPr>
        <w:t xml:space="preserve"> </w:t>
      </w:r>
      <w:r w:rsidRPr="009C796E">
        <w:rPr>
          <w:rFonts w:ascii="Times New Roman" w:hAnsi="Times New Roman" w:cs="Times New Roman"/>
          <w:sz w:val="24"/>
          <w:szCs w:val="24"/>
        </w:rPr>
        <w:t>(nurodyti kriterijaus numerį, kurį taikant nustatytai korupcijos rizikai šalinti ar valdyti teisės akto projekte nenumatyta priemonių</w:t>
      </w:r>
      <w:r w:rsidR="00E15EE2" w:rsidRPr="009C796E">
        <w:rPr>
          <w:rStyle w:val="Dokumentoinaosnumeris"/>
          <w:rFonts w:ascii="Times New Roman" w:hAnsi="Times New Roman" w:cs="Times New Roman"/>
          <w:sz w:val="24"/>
          <w:szCs w:val="24"/>
        </w:rPr>
        <w:endnoteReference w:id="1"/>
      </w:r>
      <w:r w:rsidR="00E15EE2" w:rsidRPr="009C796E">
        <w:rPr>
          <w:rFonts w:ascii="Times New Roman" w:hAnsi="Times New Roman" w:cs="Times New Roman"/>
          <w:sz w:val="24"/>
          <w:szCs w:val="24"/>
        </w:rPr>
        <w:t xml:space="preserve">: </w:t>
      </w:r>
    </w:p>
    <w:p w:rsidR="00E15EE2" w:rsidRPr="009C796E" w:rsidRDefault="00E15EE2" w:rsidP="00443B11">
      <w:pPr>
        <w:jc w:val="both"/>
        <w:rPr>
          <w:rFonts w:ascii="Times New Roman" w:hAnsi="Times New Roman" w:cs="Times New Roman"/>
          <w:sz w:val="24"/>
          <w:szCs w:val="24"/>
        </w:rPr>
      </w:pPr>
      <w:r w:rsidRPr="009C796E">
        <w:rPr>
          <w:rFonts w:ascii="Times New Roman" w:hAnsi="Times New Roman" w:cs="Times New Roman"/>
          <w:sz w:val="24"/>
          <w:szCs w:val="24"/>
        </w:rPr>
        <w:t>Antikorupciniu požiūriu rizikingos teisės akto projekto nuostatos, nustatytos atliekant antikorupcinį vertinimą po tarpinstitucinio derinimo</w:t>
      </w:r>
      <w:r w:rsidRPr="009C796E">
        <w:rPr>
          <w:rFonts w:ascii="Times New Roman" w:hAnsi="Times New Roman" w:cs="Times New Roman"/>
          <w:b/>
          <w:sz w:val="24"/>
          <w:szCs w:val="24"/>
        </w:rPr>
        <w:t xml:space="preserve"> </w:t>
      </w:r>
      <w:r w:rsidRPr="009C796E">
        <w:rPr>
          <w:rFonts w:ascii="Times New Roman" w:hAnsi="Times New Roman" w:cs="Times New Roman"/>
          <w:sz w:val="24"/>
          <w:szCs w:val="24"/>
        </w:rPr>
        <w:t>(nurodyti kriterijaus numerį, kurį taikant nustatytai korupcijos rizikai šalinti ar valdyti teisės akto projekte nenumatyta priemonių)</w:t>
      </w:r>
      <w:r w:rsidRPr="009C796E">
        <w:rPr>
          <w:rStyle w:val="Dokumentoinaosnumeris"/>
          <w:rFonts w:ascii="Times New Roman" w:hAnsi="Times New Roman" w:cs="Times New Roman"/>
          <w:sz w:val="24"/>
          <w:szCs w:val="24"/>
        </w:rPr>
        <w:endnoteReference w:id="2"/>
      </w:r>
      <w:r w:rsidRPr="009C796E">
        <w:rPr>
          <w:rFonts w:ascii="Times New Roman" w:hAnsi="Times New Roman" w:cs="Times New Roman"/>
          <w:sz w:val="24"/>
          <w:szCs w:val="24"/>
        </w:rPr>
        <w:t>:</w:t>
      </w:r>
    </w:p>
    <w:p w:rsidR="00E15EE2" w:rsidRPr="00B528A6" w:rsidRDefault="00E15EE2" w:rsidP="000B327E">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2599"/>
        <w:gridCol w:w="2416"/>
        <w:gridCol w:w="2226"/>
        <w:gridCol w:w="1831"/>
      </w:tblGrid>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Eil.</w:t>
            </w:r>
            <w:r>
              <w:rPr>
                <w:szCs w:val="22"/>
              </w:rPr>
              <w:t xml:space="preserve"> Nr.</w:t>
            </w:r>
          </w:p>
        </w:tc>
        <w:tc>
          <w:tcPr>
            <w:tcW w:w="2599"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Kriterijus</w:t>
            </w:r>
          </w:p>
        </w:tc>
        <w:tc>
          <w:tcPr>
            <w:tcW w:w="241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b/>
                <w:szCs w:val="22"/>
              </w:rPr>
            </w:pPr>
            <w:r w:rsidRPr="00443B11">
              <w:rPr>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22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Teisės akto projekto pakeitimas, mažinantis korupcijos riziką, arba teisės akto projekto tiesioginio rengėjo argumentai, kodėl neatsižvelgta į pastabą</w:t>
            </w:r>
          </w:p>
        </w:tc>
        <w:tc>
          <w:tcPr>
            <w:tcW w:w="1831"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Išvada dėl teisės akto projekto pakeitimų arba argumentų, kodėl neatsižvelgta į pastabą</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i/>
                <w:szCs w:val="22"/>
              </w:rPr>
            </w:pP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i/>
                <w:szCs w:val="22"/>
              </w:rPr>
            </w:pPr>
          </w:p>
        </w:tc>
        <w:tc>
          <w:tcPr>
            <w:tcW w:w="241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i/>
                <w:szCs w:val="22"/>
              </w:rPr>
            </w:pPr>
            <w:r w:rsidRPr="00443B11">
              <w:rPr>
                <w:i/>
                <w:szCs w:val="22"/>
              </w:rPr>
              <w:t>pildo teisės akto projekto vertintojas</w:t>
            </w:r>
          </w:p>
        </w:tc>
        <w:tc>
          <w:tcPr>
            <w:tcW w:w="222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i/>
                <w:szCs w:val="22"/>
              </w:rPr>
            </w:pPr>
            <w:r w:rsidRPr="00443B11">
              <w:rPr>
                <w:i/>
                <w:szCs w:val="22"/>
              </w:rPr>
              <w:t>pildo teisės akto projekto tiesioginis rengėjas</w:t>
            </w:r>
          </w:p>
        </w:tc>
        <w:tc>
          <w:tcPr>
            <w:tcW w:w="1831"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i/>
                <w:szCs w:val="22"/>
              </w:rPr>
            </w:pPr>
            <w:r w:rsidRPr="00443B11">
              <w:rPr>
                <w:i/>
                <w:szCs w:val="22"/>
              </w:rPr>
              <w:t>pildo teisės akto projekto vertintojas</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nesudaro išskirtinių ar nevienodų sąlygų subjektams, su kuriais susijęs teisės akto įgyvendinimas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2.</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nėra spragų ar nuostatų, leisiančių dviprasmiškai aiškinti ir taikyti teisės aktą</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t xml:space="preserve"> </w:t>
            </w:r>
            <w:r w:rsidRPr="00443B11">
              <w:rPr>
                <w:szCs w:val="22"/>
              </w:rPr>
              <w:t>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3.</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4.</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nustatyti subjekto įgaliojimai (teisės) atitinka subjekto atliekamas funkcijas (pareigas)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5.</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nustatytas baigtinis sprendimo priėmimo kriterijų (atvejų) sąrašas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bl>
    <w:p w:rsidR="009C796E" w:rsidRDefault="009C796E">
      <w:r>
        <w:br w:type="pag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2599"/>
        <w:gridCol w:w="2416"/>
        <w:gridCol w:w="2226"/>
        <w:gridCol w:w="1831"/>
      </w:tblGrid>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jc w:val="center"/>
              <w:rPr>
                <w:szCs w:val="22"/>
              </w:rPr>
            </w:pPr>
            <w:r w:rsidRPr="00443B11">
              <w:rPr>
                <w:szCs w:val="22"/>
              </w:rPr>
              <w:lastRenderedPageBreak/>
              <w:t>6.</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rPr>
                <w:szCs w:val="22"/>
              </w:rPr>
            </w:pPr>
            <w:r w:rsidRPr="00443B11">
              <w:rPr>
                <w:szCs w:val="22"/>
              </w:rPr>
              <w:t>Teisės akto projekte nustatytas baigtinis sąrašas motyvuotų atvejų, kai priimant sprendimus taikomos išimtys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9C796E">
            <w:pPr>
              <w:ind w:firstLine="0"/>
              <w:rPr>
                <w:szCs w:val="22"/>
              </w:rPr>
            </w:pPr>
            <w:r>
              <w:rPr>
                <w:sz w:val="28"/>
                <w:szCs w:val="28"/>
              </w:rPr>
              <w:t>x</w:t>
            </w:r>
            <w:r w:rsidR="00E15EE2" w:rsidRPr="00443B11">
              <w:rPr>
                <w:szCs w:val="22"/>
              </w:rPr>
              <w:t xml:space="preserve"> tenkina</w:t>
            </w:r>
          </w:p>
          <w:p w:rsidR="00E15EE2" w:rsidRPr="00443B11" w:rsidRDefault="00E15EE2" w:rsidP="009C796E">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7.</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 sprendimų priėmimo, įforminimo tvarka ir priimtų sprendimų viešinimas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8.</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 sprendimų dėl mažareikšmiškumo priėmimo tvarka</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9.</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Jeigu pagal numatomą reguliavimą sprendimus priima kolegialus subjektas, teisės akto projekte nustatyta kolegialaus sprendimus priimančio subjekto:</w:t>
            </w:r>
          </w:p>
          <w:p w:rsidR="00E15EE2" w:rsidRPr="00443B11" w:rsidRDefault="00E15EE2" w:rsidP="00443B11">
            <w:pPr>
              <w:pStyle w:val="Sraopastraipa1"/>
              <w:ind w:left="33" w:firstLine="0"/>
              <w:rPr>
                <w:szCs w:val="22"/>
              </w:rPr>
            </w:pPr>
            <w:r w:rsidRPr="00443B11">
              <w:rPr>
                <w:szCs w:val="22"/>
              </w:rPr>
              <w:t>9.1. konkretus narių skaičius, užtikrinantis kolegialaus sprendimus priimančio subjekto veiklos objektyvumą;</w:t>
            </w:r>
          </w:p>
          <w:p w:rsidR="00E15EE2" w:rsidRPr="00443B11" w:rsidRDefault="00E15EE2" w:rsidP="00443B11">
            <w:pPr>
              <w:pStyle w:val="Sraopastraipa1"/>
              <w:ind w:left="33" w:firstLine="0"/>
              <w:rPr>
                <w:szCs w:val="22"/>
              </w:rPr>
            </w:pPr>
            <w:r w:rsidRPr="00443B11">
              <w:rPr>
                <w:szCs w:val="22"/>
              </w:rPr>
              <w:t>9.2. jeigu narius skiria keli subjektai, proporcinga kiekvieno subjekto skiriamų narių dalis, užtikrinanti tinkamą atstovavimą valstybės interesams ir kolegialaus sprendimus priimančio subjekto veiklos objektyvumą ir skaidrumą;</w:t>
            </w:r>
          </w:p>
          <w:p w:rsidR="00E15EE2" w:rsidRPr="00443B11" w:rsidRDefault="00E15EE2" w:rsidP="00443B11">
            <w:pPr>
              <w:ind w:firstLine="0"/>
              <w:rPr>
                <w:szCs w:val="22"/>
              </w:rPr>
            </w:pPr>
            <w:r w:rsidRPr="00443B11">
              <w:rPr>
                <w:szCs w:val="22"/>
              </w:rPr>
              <w:t>9.3</w:t>
            </w:r>
            <w:r w:rsidRPr="00443B11">
              <w:rPr>
                <w:spacing w:val="-4"/>
                <w:szCs w:val="22"/>
              </w:rPr>
              <w:t>. narių skyrimo mechanizmas;</w:t>
            </w:r>
          </w:p>
          <w:p w:rsidR="00E15EE2" w:rsidRPr="00443B11" w:rsidRDefault="00E15EE2" w:rsidP="00443B11">
            <w:pPr>
              <w:ind w:firstLine="0"/>
              <w:rPr>
                <w:szCs w:val="22"/>
              </w:rPr>
            </w:pPr>
            <w:r w:rsidRPr="00443B11">
              <w:rPr>
                <w:szCs w:val="22"/>
              </w:rPr>
              <w:t>9.4. narių rotacija ir kadencijų skaičius ir trukmė;</w:t>
            </w:r>
          </w:p>
          <w:p w:rsidR="00E15EE2" w:rsidRPr="00443B11" w:rsidRDefault="00E15EE2" w:rsidP="00443B11">
            <w:pPr>
              <w:pStyle w:val="Sraopastraipa1"/>
              <w:ind w:left="0" w:firstLine="0"/>
              <w:rPr>
                <w:szCs w:val="22"/>
              </w:rPr>
            </w:pPr>
            <w:r w:rsidRPr="00443B11">
              <w:rPr>
                <w:szCs w:val="22"/>
              </w:rPr>
              <w:t>9.5.</w:t>
            </w:r>
            <w:r>
              <w:rPr>
                <w:szCs w:val="22"/>
              </w:rPr>
              <w:t xml:space="preserve"> </w:t>
            </w:r>
            <w:r w:rsidRPr="00443B11">
              <w:rPr>
                <w:szCs w:val="22"/>
              </w:rPr>
              <w:t>veiklos pobūdis laiko atžvilgiu;</w:t>
            </w:r>
          </w:p>
          <w:p w:rsidR="00E15EE2" w:rsidRPr="00443B11" w:rsidRDefault="00E15EE2" w:rsidP="00443B11">
            <w:pPr>
              <w:ind w:firstLine="0"/>
              <w:rPr>
                <w:szCs w:val="22"/>
              </w:rPr>
            </w:pPr>
            <w:r w:rsidRPr="00443B11">
              <w:rPr>
                <w:szCs w:val="22"/>
              </w:rPr>
              <w:t>9.6.</w:t>
            </w:r>
            <w:r>
              <w:rPr>
                <w:szCs w:val="22"/>
              </w:rPr>
              <w:t xml:space="preserve"> </w:t>
            </w:r>
            <w:r w:rsidRPr="00443B11">
              <w:rPr>
                <w:szCs w:val="22"/>
              </w:rPr>
              <w:t>individuali narių atsakomybė</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i/>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10.</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 xml:space="preserve">Teisės akto projekto nuostatoms įgyvendinti numatytos administracinės procedūros yra </w:t>
            </w:r>
            <w:r w:rsidRPr="00443B11">
              <w:rPr>
                <w:szCs w:val="22"/>
                <w:shd w:val="clear" w:color="auto" w:fill="FFFFFF"/>
              </w:rPr>
              <w:t>būtinos,</w:t>
            </w:r>
            <w:r w:rsidRPr="00443B11">
              <w:rPr>
                <w:szCs w:val="22"/>
              </w:rPr>
              <w:t xml:space="preserve"> nustatyta išsami jų taikymo tvarka </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11.</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nustatytas baigtinis sąrašas motyvuotų atvejų, kai administracinė procedūra netaikoma</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12.</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jo nuostatoms įgyvendinti numatytų administracinių procedūrų ir sprendimo priėmimo konkrečius terminus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lastRenderedPageBreak/>
              <w:t>13.</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motyvuotas terminų sustabdymo ir pratęsimo galimybes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Pr>
                <w:szCs w:val="22"/>
              </w:rPr>
              <w:t xml:space="preserve"> </w:t>
            </w:r>
            <w:r w:rsidRPr="00443B11">
              <w:rPr>
                <w:szCs w:val="22"/>
              </w:rPr>
              <w:t>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14.</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administracinių procedūrų viešinimo tvarką</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15.</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kontrolės (priežiūros) procedūrą ir aiškius jos atlikimo kriterijus (atvejus, dažnį, fiksavimą, kontrolės rezultatų viešinimą ir panašiai)</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16.</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nustatytos kontrolės (priežiūros) skaidrumo ir objektyvumo užtikrinimo priemonės</w:t>
            </w:r>
            <w:r w:rsidRPr="00443B11">
              <w:rPr>
                <w:rStyle w:val="Dokumentoinaosnumeris"/>
                <w:szCs w:val="22"/>
              </w:rPr>
              <w:endnoteReference w:id="3"/>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jc w:val="center"/>
              <w:rPr>
                <w:szCs w:val="22"/>
              </w:rPr>
            </w:pPr>
            <w:r w:rsidRPr="00443B11">
              <w:rPr>
                <w:szCs w:val="22"/>
              </w:rPr>
              <w:t>17.</w:t>
            </w:r>
          </w:p>
        </w:tc>
        <w:tc>
          <w:tcPr>
            <w:tcW w:w="2599"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r w:rsidRPr="00443B11">
              <w:rPr>
                <w:szCs w:val="22"/>
              </w:rPr>
              <w:t>Teisės akto projekte nustatyta subjektų, su kuriais susijęs teisės akto projekto nuostatų įgyvendinimas, atsakomybės rūšis (tarnybinė, administracinė, baudžiamoji ir panašiai)</w:t>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jc w:val="center"/>
              <w:rPr>
                <w:szCs w:val="22"/>
              </w:rPr>
            </w:pPr>
            <w:r w:rsidRPr="00443B11">
              <w:rPr>
                <w:szCs w:val="22"/>
              </w:rPr>
              <w:t>18.</w:t>
            </w:r>
          </w:p>
        </w:tc>
        <w:tc>
          <w:tcPr>
            <w:tcW w:w="2599"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r w:rsidRPr="00443B11">
              <w:rPr>
                <w:szCs w:val="22"/>
              </w:rPr>
              <w:t>Teisės aktų projekte numatytas baigtinis sąrašas kriterijų, pagal kuriuos skiriama nuobauda (sankcija) už teisės akto projekte nustatytų nurodymų nevykdymą, ir nustatyta aiški jos skyrimo procedūra</w:t>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jc w:val="center"/>
              <w:rPr>
                <w:szCs w:val="22"/>
              </w:rPr>
            </w:pPr>
            <w:r w:rsidRPr="00443B11">
              <w:rPr>
                <w:szCs w:val="22"/>
              </w:rPr>
              <w:t>19.</w:t>
            </w:r>
          </w:p>
        </w:tc>
        <w:tc>
          <w:tcPr>
            <w:tcW w:w="2599"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r w:rsidRPr="00443B11">
              <w:rPr>
                <w:szCs w:val="22"/>
              </w:rPr>
              <w:t>Kiti svarbūs kriterijai</w:t>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bl>
    <w:p w:rsidR="00443B11" w:rsidRPr="00443B11" w:rsidRDefault="00443B11" w:rsidP="000B327E">
      <w:pPr>
        <w:pStyle w:val="Antrats"/>
        <w:tabs>
          <w:tab w:val="clear" w:pos="4153"/>
          <w:tab w:val="left" w:pos="6237"/>
        </w:tabs>
        <w:ind w:firstLine="0"/>
        <w:rPr>
          <w:color w:val="000000"/>
        </w:rPr>
      </w:pPr>
    </w:p>
    <w:tbl>
      <w:tblPr>
        <w:tblW w:w="9637" w:type="dxa"/>
        <w:tblLayout w:type="fixed"/>
        <w:tblCellMar>
          <w:left w:w="0" w:type="dxa"/>
          <w:right w:w="0" w:type="dxa"/>
        </w:tblCellMar>
        <w:tblLook w:val="00A0" w:firstRow="1" w:lastRow="0" w:firstColumn="1" w:lastColumn="0" w:noHBand="0" w:noVBand="0"/>
      </w:tblPr>
      <w:tblGrid>
        <w:gridCol w:w="1863"/>
        <w:gridCol w:w="2927"/>
        <w:gridCol w:w="1854"/>
        <w:gridCol w:w="2993"/>
      </w:tblGrid>
      <w:tr w:rsidR="00443B11" w:rsidRPr="00443B11" w:rsidTr="00141C37">
        <w:trPr>
          <w:trHeight w:val="23"/>
        </w:trPr>
        <w:tc>
          <w:tcPr>
            <w:tcW w:w="1885" w:type="dxa"/>
          </w:tcPr>
          <w:p w:rsidR="00443B11" w:rsidRPr="00443B11" w:rsidRDefault="00443B11" w:rsidP="00443B11">
            <w:pPr>
              <w:ind w:firstLine="0"/>
              <w:rPr>
                <w:szCs w:val="22"/>
              </w:rPr>
            </w:pPr>
            <w:r w:rsidRPr="00443B11">
              <w:rPr>
                <w:szCs w:val="22"/>
              </w:rPr>
              <w:t>Teisės akto projekto tiesioginis rengėjas:</w:t>
            </w:r>
          </w:p>
        </w:tc>
        <w:tc>
          <w:tcPr>
            <w:tcW w:w="2960" w:type="dxa"/>
            <w:tcBorders>
              <w:top w:val="nil"/>
              <w:left w:val="nil"/>
              <w:bottom w:val="single" w:sz="4" w:space="0" w:color="auto"/>
              <w:right w:val="nil"/>
            </w:tcBorders>
          </w:tcPr>
          <w:p w:rsidR="00443B11" w:rsidRPr="00443B11" w:rsidRDefault="005A265B" w:rsidP="00443B11">
            <w:pPr>
              <w:ind w:firstLine="0"/>
              <w:rPr>
                <w:szCs w:val="22"/>
              </w:rPr>
            </w:pPr>
            <w:r w:rsidRPr="005A265B">
              <w:rPr>
                <w:rFonts w:ascii="Times New Roman" w:hAnsi="Times New Roman" w:cs="Times New Roman"/>
                <w:sz w:val="24"/>
                <w:szCs w:val="24"/>
              </w:rPr>
              <w:t>Švietimo skyriaus vyriausioji specialistė Rūta Rimkuvienė</w:t>
            </w:r>
          </w:p>
        </w:tc>
        <w:tc>
          <w:tcPr>
            <w:tcW w:w="1875" w:type="dxa"/>
          </w:tcPr>
          <w:p w:rsidR="00443B11" w:rsidRPr="00443B11" w:rsidRDefault="00443B11" w:rsidP="00443B11">
            <w:pPr>
              <w:ind w:firstLine="0"/>
              <w:rPr>
                <w:szCs w:val="22"/>
              </w:rPr>
            </w:pPr>
            <w:r w:rsidRPr="00443B11">
              <w:rPr>
                <w:szCs w:val="22"/>
              </w:rPr>
              <w:t>Teisės akto projekto vertintojas:</w:t>
            </w:r>
          </w:p>
        </w:tc>
        <w:tc>
          <w:tcPr>
            <w:tcW w:w="3027" w:type="dxa"/>
            <w:tcBorders>
              <w:top w:val="nil"/>
              <w:left w:val="nil"/>
              <w:bottom w:val="single" w:sz="4" w:space="0" w:color="auto"/>
              <w:right w:val="nil"/>
            </w:tcBorders>
          </w:tcPr>
          <w:p w:rsidR="00443B11" w:rsidRPr="00443B11" w:rsidRDefault="000B327E" w:rsidP="00443B11">
            <w:pPr>
              <w:ind w:firstLine="0"/>
              <w:rPr>
                <w:szCs w:val="22"/>
              </w:rPr>
            </w:pPr>
            <w:r>
              <w:rPr>
                <w:szCs w:val="22"/>
              </w:rPr>
              <w:t>Teisės skyriaus vyriausiasis specialistas Linas Ališauskas</w:t>
            </w:r>
          </w:p>
        </w:tc>
      </w:tr>
      <w:tr w:rsidR="00443B11" w:rsidRPr="00443B11" w:rsidTr="00141C37">
        <w:trPr>
          <w:trHeight w:val="23"/>
        </w:trPr>
        <w:tc>
          <w:tcPr>
            <w:tcW w:w="1885" w:type="dxa"/>
          </w:tcPr>
          <w:p w:rsidR="00443B11" w:rsidRPr="00443B11" w:rsidRDefault="00443B11" w:rsidP="00443B11">
            <w:pPr>
              <w:ind w:firstLine="0"/>
              <w:rPr>
                <w:szCs w:val="22"/>
              </w:rPr>
            </w:pPr>
          </w:p>
        </w:tc>
        <w:tc>
          <w:tcPr>
            <w:tcW w:w="2960" w:type="dxa"/>
            <w:tcBorders>
              <w:top w:val="single" w:sz="4" w:space="0" w:color="auto"/>
              <w:left w:val="nil"/>
              <w:bottom w:val="nil"/>
              <w:right w:val="nil"/>
            </w:tcBorders>
          </w:tcPr>
          <w:p w:rsidR="00443B11" w:rsidRPr="00443B11" w:rsidRDefault="00443B11" w:rsidP="00443B11">
            <w:pPr>
              <w:ind w:left="-11" w:firstLine="0"/>
              <w:rPr>
                <w:szCs w:val="22"/>
              </w:rPr>
            </w:pPr>
            <w:r w:rsidRPr="00443B11">
              <w:rPr>
                <w:szCs w:val="22"/>
              </w:rPr>
              <w:t>(pareigos)</w:t>
            </w:r>
            <w:r>
              <w:rPr>
                <w:szCs w:val="22"/>
              </w:rPr>
              <w:t xml:space="preserve"> </w:t>
            </w:r>
            <w:r w:rsidRPr="00443B11">
              <w:rPr>
                <w:szCs w:val="22"/>
              </w:rPr>
              <w:t>(vardas ir pavardė)</w:t>
            </w:r>
          </w:p>
        </w:tc>
        <w:tc>
          <w:tcPr>
            <w:tcW w:w="1875" w:type="dxa"/>
          </w:tcPr>
          <w:p w:rsidR="00443B11" w:rsidRPr="00443B11" w:rsidRDefault="00443B11" w:rsidP="00443B11">
            <w:pPr>
              <w:ind w:firstLine="0"/>
              <w:rPr>
                <w:szCs w:val="22"/>
              </w:rPr>
            </w:pPr>
          </w:p>
        </w:tc>
        <w:tc>
          <w:tcPr>
            <w:tcW w:w="3027" w:type="dxa"/>
            <w:tcBorders>
              <w:top w:val="single" w:sz="4" w:space="0" w:color="auto"/>
              <w:left w:val="nil"/>
              <w:bottom w:val="nil"/>
              <w:right w:val="nil"/>
            </w:tcBorders>
          </w:tcPr>
          <w:p w:rsidR="00443B11" w:rsidRPr="00443B11" w:rsidRDefault="00443B11" w:rsidP="00443B11">
            <w:pPr>
              <w:ind w:left="-11" w:firstLine="0"/>
              <w:rPr>
                <w:szCs w:val="22"/>
              </w:rPr>
            </w:pPr>
            <w:r w:rsidRPr="00443B11">
              <w:rPr>
                <w:szCs w:val="22"/>
              </w:rPr>
              <w:t>(pareigos)</w:t>
            </w:r>
            <w:r>
              <w:rPr>
                <w:szCs w:val="22"/>
              </w:rPr>
              <w:t xml:space="preserve"> </w:t>
            </w:r>
            <w:r w:rsidRPr="00443B11">
              <w:rPr>
                <w:szCs w:val="22"/>
              </w:rPr>
              <w:t>(vardas ir pavardė)</w:t>
            </w:r>
          </w:p>
        </w:tc>
      </w:tr>
      <w:tr w:rsidR="00443B11" w:rsidRPr="00443B11" w:rsidTr="00141C37">
        <w:trPr>
          <w:trHeight w:val="23"/>
        </w:trPr>
        <w:tc>
          <w:tcPr>
            <w:tcW w:w="1885" w:type="dxa"/>
          </w:tcPr>
          <w:p w:rsidR="00443B11" w:rsidRPr="00443B11" w:rsidRDefault="00443B11" w:rsidP="00443B11">
            <w:pPr>
              <w:ind w:firstLine="0"/>
              <w:rPr>
                <w:szCs w:val="22"/>
              </w:rPr>
            </w:pPr>
          </w:p>
        </w:tc>
        <w:tc>
          <w:tcPr>
            <w:tcW w:w="2960" w:type="dxa"/>
            <w:tcBorders>
              <w:top w:val="nil"/>
              <w:left w:val="nil"/>
              <w:bottom w:val="single" w:sz="4" w:space="0" w:color="auto"/>
              <w:right w:val="nil"/>
            </w:tcBorders>
          </w:tcPr>
          <w:p w:rsidR="00443B11" w:rsidRPr="00443B11" w:rsidRDefault="00443B11" w:rsidP="00443B11">
            <w:pPr>
              <w:ind w:firstLine="0"/>
              <w:rPr>
                <w:szCs w:val="22"/>
              </w:rPr>
            </w:pPr>
          </w:p>
        </w:tc>
        <w:tc>
          <w:tcPr>
            <w:tcW w:w="1875" w:type="dxa"/>
          </w:tcPr>
          <w:p w:rsidR="00443B11" w:rsidRPr="00443B11" w:rsidRDefault="00443B11" w:rsidP="00443B11">
            <w:pPr>
              <w:ind w:firstLine="0"/>
              <w:rPr>
                <w:szCs w:val="22"/>
              </w:rPr>
            </w:pPr>
          </w:p>
        </w:tc>
        <w:tc>
          <w:tcPr>
            <w:tcW w:w="3027" w:type="dxa"/>
            <w:tcBorders>
              <w:top w:val="nil"/>
              <w:left w:val="nil"/>
              <w:bottom w:val="single" w:sz="4" w:space="0" w:color="auto"/>
              <w:right w:val="nil"/>
            </w:tcBorders>
          </w:tcPr>
          <w:p w:rsidR="00443B11" w:rsidRPr="00443B11" w:rsidRDefault="00443B11" w:rsidP="00443B11">
            <w:pPr>
              <w:ind w:left="-11" w:firstLine="0"/>
              <w:rPr>
                <w:szCs w:val="22"/>
              </w:rPr>
            </w:pPr>
          </w:p>
        </w:tc>
      </w:tr>
      <w:tr w:rsidR="00443B11" w:rsidRPr="00443B11" w:rsidTr="00141C37">
        <w:trPr>
          <w:trHeight w:val="23"/>
        </w:trPr>
        <w:tc>
          <w:tcPr>
            <w:tcW w:w="1885" w:type="dxa"/>
          </w:tcPr>
          <w:p w:rsidR="00443B11" w:rsidRPr="00443B11" w:rsidRDefault="00443B11" w:rsidP="00443B11">
            <w:pPr>
              <w:ind w:firstLine="0"/>
              <w:rPr>
                <w:szCs w:val="22"/>
              </w:rPr>
            </w:pPr>
          </w:p>
        </w:tc>
        <w:tc>
          <w:tcPr>
            <w:tcW w:w="2960" w:type="dxa"/>
          </w:tcPr>
          <w:p w:rsidR="00443B11" w:rsidRPr="00443B11" w:rsidRDefault="00443B11" w:rsidP="00443B11">
            <w:pPr>
              <w:ind w:left="-11" w:firstLine="0"/>
              <w:rPr>
                <w:szCs w:val="22"/>
              </w:rPr>
            </w:pPr>
            <w:r w:rsidRPr="00443B11">
              <w:rPr>
                <w:szCs w:val="22"/>
              </w:rPr>
              <w:t>(parašas)</w:t>
            </w:r>
            <w:r>
              <w:rPr>
                <w:szCs w:val="22"/>
              </w:rPr>
              <w:t xml:space="preserve"> </w:t>
            </w:r>
            <w:r w:rsidRPr="00443B11">
              <w:rPr>
                <w:szCs w:val="22"/>
              </w:rPr>
              <w:t>(data)</w:t>
            </w:r>
          </w:p>
        </w:tc>
        <w:tc>
          <w:tcPr>
            <w:tcW w:w="1875" w:type="dxa"/>
          </w:tcPr>
          <w:p w:rsidR="00443B11" w:rsidRPr="00443B11" w:rsidRDefault="00443B11" w:rsidP="00443B11">
            <w:pPr>
              <w:ind w:firstLine="0"/>
              <w:rPr>
                <w:szCs w:val="22"/>
              </w:rPr>
            </w:pPr>
          </w:p>
        </w:tc>
        <w:tc>
          <w:tcPr>
            <w:tcW w:w="3027" w:type="dxa"/>
            <w:tcBorders>
              <w:top w:val="single" w:sz="4" w:space="0" w:color="auto"/>
              <w:left w:val="nil"/>
              <w:bottom w:val="nil"/>
              <w:right w:val="nil"/>
            </w:tcBorders>
          </w:tcPr>
          <w:p w:rsidR="00443B11" w:rsidRPr="00443B11" w:rsidRDefault="00443B11" w:rsidP="00443B11">
            <w:pPr>
              <w:ind w:left="-11" w:firstLine="0"/>
              <w:rPr>
                <w:szCs w:val="22"/>
              </w:rPr>
            </w:pPr>
            <w:r w:rsidRPr="00443B11">
              <w:rPr>
                <w:szCs w:val="22"/>
              </w:rPr>
              <w:t xml:space="preserve"> (parašas)</w:t>
            </w:r>
            <w:r>
              <w:rPr>
                <w:szCs w:val="22"/>
              </w:rPr>
              <w:t xml:space="preserve"> </w:t>
            </w:r>
            <w:r w:rsidRPr="00443B11">
              <w:rPr>
                <w:szCs w:val="22"/>
              </w:rPr>
              <w:t>(data)</w:t>
            </w:r>
          </w:p>
        </w:tc>
      </w:tr>
    </w:tbl>
    <w:p w:rsidR="00443B11" w:rsidRDefault="00443B11" w:rsidP="00443B11">
      <w:pPr>
        <w:tabs>
          <w:tab w:val="left" w:pos="6237"/>
          <w:tab w:val="right" w:pos="8306"/>
        </w:tabs>
        <w:ind w:firstLine="0"/>
        <w:jc w:val="center"/>
        <w:rPr>
          <w:lang w:eastAsia="lt-LT"/>
        </w:rPr>
      </w:pPr>
      <w:r>
        <w:rPr>
          <w:lang w:eastAsia="lt-LT"/>
        </w:rPr>
        <w:t>______________</w:t>
      </w:r>
    </w:p>
    <w:p w:rsidR="00133DD6" w:rsidRDefault="00133DD6" w:rsidP="000B327E">
      <w:pPr>
        <w:ind w:firstLine="0"/>
      </w:pPr>
    </w:p>
    <w:sectPr w:rsidR="00133DD6" w:rsidSect="00E15EE2">
      <w:headerReference w:type="even" r:id="rId8"/>
      <w:headerReference w:type="default" r:id="rId9"/>
      <w:endnotePr>
        <w:numFmt w:val="decimal"/>
      </w:endnotePr>
      <w:type w:val="continuous"/>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981" w:rsidRDefault="009C1981">
      <w:pPr>
        <w:rPr>
          <w:lang w:eastAsia="lt-LT"/>
        </w:rPr>
      </w:pPr>
      <w:r>
        <w:rPr>
          <w:lang w:eastAsia="lt-LT"/>
        </w:rPr>
        <w:separator/>
      </w:r>
    </w:p>
  </w:endnote>
  <w:endnote w:type="continuationSeparator" w:id="0">
    <w:p w:rsidR="009C1981" w:rsidRDefault="009C1981">
      <w:pPr>
        <w:rPr>
          <w:lang w:eastAsia="lt-LT"/>
        </w:rPr>
      </w:pPr>
      <w:r>
        <w:rPr>
          <w:lang w:eastAsia="lt-LT"/>
        </w:rPr>
        <w:continuationSeparator/>
      </w:r>
    </w:p>
  </w:endnote>
  <w:endnote w:id="1">
    <w:p w:rsidR="00E15EE2" w:rsidRDefault="00E15EE2" w:rsidP="00443B11">
      <w:pPr>
        <w:pStyle w:val="Dokumentoinaostekstas"/>
        <w:jc w:val="both"/>
      </w:pPr>
      <w:r>
        <w:rPr>
          <w:rStyle w:val="Dokumentoinaosnumeris"/>
        </w:rPr>
        <w:endnoteRef/>
      </w:r>
      <w:r>
        <w:t>Jeigu tas pats kriterijus taikomas kelioms teisės akto projekto nuostatoms, nurodyti ir konkrečias teisės akto projekto nuostatas, dėl kurių galima korupcijos rizika nepašalinta ar kuriai valdyti teisės akto projekte nenumatyta priemonių.</w:t>
      </w:r>
    </w:p>
  </w:endnote>
  <w:endnote w:id="2">
    <w:p w:rsidR="00E15EE2" w:rsidRDefault="00E15EE2" w:rsidP="00443B11">
      <w:pPr>
        <w:pStyle w:val="Dokumentoinaostekstas"/>
        <w:jc w:val="both"/>
      </w:pPr>
      <w:r>
        <w:rPr>
          <w:rStyle w:val="Dokumentoinaosnumeris"/>
        </w:rPr>
        <w:endnoteRef/>
      </w:r>
      <w:r>
        <w:t xml:space="preserve"> Tas pat.</w:t>
      </w:r>
    </w:p>
  </w:endnote>
  <w:endnote w:id="3">
    <w:p w:rsidR="00E15EE2" w:rsidRDefault="00E15EE2" w:rsidP="00443B11">
      <w:pPr>
        <w:pStyle w:val="Dokumentoinaostekstas"/>
        <w:jc w:val="both"/>
      </w:pPr>
      <w:r>
        <w:rPr>
          <w:rStyle w:val="Dokumentoinaosnumeris"/>
        </w:rPr>
        <w:end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981" w:rsidRDefault="009C1981">
      <w:pPr>
        <w:rPr>
          <w:lang w:eastAsia="lt-LT"/>
        </w:rPr>
      </w:pPr>
      <w:r>
        <w:rPr>
          <w:lang w:eastAsia="lt-LT"/>
        </w:rPr>
        <w:separator/>
      </w:r>
    </w:p>
  </w:footnote>
  <w:footnote w:type="continuationSeparator" w:id="0">
    <w:p w:rsidR="009C1981" w:rsidRDefault="009C198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37" w:rsidRDefault="00133DD6" w:rsidP="008D1D37">
    <w:pPr>
      <w:pStyle w:val="Antrats"/>
      <w:framePr w:wrap="around" w:vAnchor="text" w:hAnchor="margin" w:xAlign="center" w:y="1"/>
      <w:rPr>
        <w:rStyle w:val="Puslapionumeris"/>
      </w:rPr>
    </w:pPr>
    <w:r>
      <w:rPr>
        <w:rStyle w:val="Puslapionumeris"/>
      </w:rPr>
      <w:fldChar w:fldCharType="begin"/>
    </w:r>
    <w:r w:rsidR="008D1D37">
      <w:rPr>
        <w:rStyle w:val="Puslapionumeris"/>
      </w:rPr>
      <w:instrText xml:space="preserve">PAGE  </w:instrText>
    </w:r>
    <w:r>
      <w:rPr>
        <w:rStyle w:val="Puslapionumeris"/>
      </w:rPr>
      <w:fldChar w:fldCharType="end"/>
    </w:r>
  </w:p>
  <w:p w:rsidR="008D1D37" w:rsidRPr="00443B11" w:rsidRDefault="008D1D37" w:rsidP="00443B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37" w:rsidRPr="00443B11" w:rsidRDefault="008D1D37" w:rsidP="00443B11">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F41D3"/>
    <w:multiLevelType w:val="singleLevel"/>
    <w:tmpl w:val="4BA2FAF2"/>
    <w:lvl w:ilvl="0">
      <w:start w:val="1"/>
      <w:numFmt w:val="decimal"/>
      <w:lvlText w:val="%1."/>
      <w:legacy w:legacy="1" w:legacySpace="0" w:legacyIndent="250"/>
      <w:lvlJc w:val="left"/>
      <w:pPr>
        <w:ind w:left="0" w:firstLine="0"/>
      </w:pPr>
      <w:rPr>
        <w:rFonts w:ascii="Times New Roman" w:hAnsi="Times New Roman" w:cs="Times New Roman" w:hint="default"/>
        <w:b w:val="0"/>
        <w:strike w:val="0"/>
        <w:dstrike w:val="0"/>
        <w:color w:val="auto"/>
        <w:sz w:val="24"/>
        <w:szCs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B327E"/>
    <w:rsid w:val="00133DD6"/>
    <w:rsid w:val="00141C37"/>
    <w:rsid w:val="00293F66"/>
    <w:rsid w:val="00303079"/>
    <w:rsid w:val="00443B11"/>
    <w:rsid w:val="004C66E7"/>
    <w:rsid w:val="005A265B"/>
    <w:rsid w:val="0062523A"/>
    <w:rsid w:val="00677AE1"/>
    <w:rsid w:val="007749DC"/>
    <w:rsid w:val="007E65FF"/>
    <w:rsid w:val="00820697"/>
    <w:rsid w:val="008D1D37"/>
    <w:rsid w:val="009B559E"/>
    <w:rsid w:val="009C1981"/>
    <w:rsid w:val="009C796E"/>
    <w:rsid w:val="00A2633E"/>
    <w:rsid w:val="00AE6C60"/>
    <w:rsid w:val="00B528A6"/>
    <w:rsid w:val="00E15EE2"/>
    <w:rsid w:val="00EB0627"/>
    <w:rsid w:val="00EF4EF2"/>
    <w:rsid w:val="00F26749"/>
    <w:rsid w:val="00F828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AAA3D"/>
  <w15:chartTrackingRefBased/>
  <w15:docId w15:val="{78DC90B4-3909-4C96-BC11-DDFE44B7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6C60"/>
    <w:pPr>
      <w:ind w:firstLine="720"/>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E65FF"/>
    <w:rPr>
      <w:rFonts w:ascii="Tahoma" w:hAnsi="Tahoma" w:cs="Tahoma"/>
      <w:sz w:val="16"/>
      <w:szCs w:val="16"/>
    </w:rPr>
  </w:style>
  <w:style w:type="character" w:customStyle="1" w:styleId="DebesliotekstasDiagrama">
    <w:name w:val="Debesėlio tekstas Diagrama"/>
    <w:basedOn w:val="Numatytasispastraiposriftas"/>
    <w:link w:val="Debesliotekstas"/>
    <w:locked/>
    <w:rsid w:val="007E65FF"/>
    <w:rPr>
      <w:rFonts w:ascii="Tahoma" w:hAnsi="Tahoma" w:cs="Tahoma"/>
      <w:sz w:val="16"/>
      <w:szCs w:val="16"/>
    </w:rPr>
  </w:style>
  <w:style w:type="paragraph" w:styleId="Antrats">
    <w:name w:val="header"/>
    <w:aliases w:val="Char,Diagrama"/>
    <w:basedOn w:val="prastasis"/>
    <w:link w:val="AntratsDiagrama"/>
    <w:rsid w:val="00443B11"/>
    <w:pPr>
      <w:tabs>
        <w:tab w:val="center" w:pos="4153"/>
        <w:tab w:val="right" w:pos="8306"/>
      </w:tabs>
    </w:pPr>
    <w:rPr>
      <w:lang w:eastAsia="lt-LT"/>
    </w:rPr>
  </w:style>
  <w:style w:type="character" w:customStyle="1" w:styleId="PagrindiniotekstotraukaDiagrama">
    <w:name w:val="Pagrindinio teksto įtrauka Diagrama"/>
    <w:basedOn w:val="Numatytasispastraiposriftas"/>
    <w:link w:val="Pagrindiniotekstotrauka"/>
    <w:locked/>
    <w:rsid w:val="00443B11"/>
    <w:rPr>
      <w:sz w:val="24"/>
      <w:lang w:val="lt-LT" w:eastAsia="lt-LT" w:bidi="ar-SA"/>
    </w:rPr>
  </w:style>
  <w:style w:type="paragraph" w:styleId="Pagrindiniotekstotrauka">
    <w:name w:val="Body Text Indent"/>
    <w:basedOn w:val="prastasis"/>
    <w:link w:val="PagrindiniotekstotraukaDiagrama"/>
    <w:rsid w:val="00443B11"/>
    <w:pPr>
      <w:spacing w:before="120"/>
      <w:ind w:left="4536"/>
      <w:jc w:val="center"/>
    </w:pPr>
    <w:rPr>
      <w:lang w:eastAsia="lt-LT"/>
    </w:rPr>
  </w:style>
  <w:style w:type="character" w:customStyle="1" w:styleId="PuslapioinaostekstasDiagrama">
    <w:name w:val="Puslapio išnašos tekstas Diagrama"/>
    <w:basedOn w:val="Numatytasispastraiposriftas"/>
    <w:link w:val="Puslapioinaostekstas"/>
    <w:semiHidden/>
    <w:locked/>
    <w:rsid w:val="00443B11"/>
    <w:rPr>
      <w:lang w:val="lt-LT" w:eastAsia="en-US" w:bidi="ar-SA"/>
    </w:rPr>
  </w:style>
  <w:style w:type="paragraph" w:styleId="Puslapioinaostekstas">
    <w:name w:val="footnote text"/>
    <w:basedOn w:val="prastasis"/>
    <w:link w:val="PuslapioinaostekstasDiagrama"/>
    <w:semiHidden/>
    <w:rsid w:val="00443B11"/>
  </w:style>
  <w:style w:type="character" w:customStyle="1" w:styleId="AntratsDiagrama">
    <w:name w:val="Antraštės Diagrama"/>
    <w:aliases w:val="Char Diagrama,Diagrama Diagrama"/>
    <w:basedOn w:val="Numatytasispastraiposriftas"/>
    <w:link w:val="Antrats"/>
    <w:locked/>
    <w:rsid w:val="00443B11"/>
    <w:rPr>
      <w:sz w:val="24"/>
      <w:lang w:val="lt-LT" w:eastAsia="lt-LT" w:bidi="ar-SA"/>
    </w:rPr>
  </w:style>
  <w:style w:type="paragraph" w:customStyle="1" w:styleId="Sraopastraipa1">
    <w:name w:val="Sąrašo pastraipa1"/>
    <w:basedOn w:val="prastasis"/>
    <w:rsid w:val="00443B11"/>
    <w:pPr>
      <w:ind w:left="720"/>
      <w:contextualSpacing/>
    </w:pPr>
  </w:style>
  <w:style w:type="character" w:styleId="Puslapioinaosnuoroda">
    <w:name w:val="footnote reference"/>
    <w:basedOn w:val="Numatytasispastraiposriftas"/>
    <w:semiHidden/>
    <w:rsid w:val="00443B11"/>
    <w:rPr>
      <w:rFonts w:ascii="Times New Roman" w:hAnsi="Times New Roman" w:cs="Times New Roman" w:hint="default"/>
      <w:vertAlign w:val="superscript"/>
    </w:rPr>
  </w:style>
  <w:style w:type="paragraph" w:styleId="Porat">
    <w:name w:val="footer"/>
    <w:basedOn w:val="prastasis"/>
    <w:rsid w:val="00443B11"/>
    <w:pPr>
      <w:tabs>
        <w:tab w:val="center" w:pos="4819"/>
        <w:tab w:val="right" w:pos="9638"/>
      </w:tabs>
    </w:pPr>
  </w:style>
  <w:style w:type="character" w:styleId="Puslapionumeris">
    <w:name w:val="page number"/>
    <w:basedOn w:val="Numatytasispastraiposriftas"/>
    <w:rsid w:val="00443B11"/>
  </w:style>
  <w:style w:type="paragraph" w:styleId="Dokumentoinaostekstas">
    <w:name w:val="endnote text"/>
    <w:basedOn w:val="prastasis"/>
    <w:link w:val="DokumentoinaostekstasDiagrama"/>
    <w:rsid w:val="00E15EE2"/>
  </w:style>
  <w:style w:type="character" w:customStyle="1" w:styleId="DokumentoinaostekstasDiagrama">
    <w:name w:val="Dokumento išnašos tekstas Diagrama"/>
    <w:basedOn w:val="Numatytasispastraiposriftas"/>
    <w:link w:val="Dokumentoinaostekstas"/>
    <w:rsid w:val="00E15EE2"/>
    <w:rPr>
      <w:rFonts w:ascii="Arial" w:hAnsi="Arial" w:cs="Arial"/>
      <w:lang w:eastAsia="en-US"/>
    </w:rPr>
  </w:style>
  <w:style w:type="character" w:styleId="Dokumentoinaosnumeris">
    <w:name w:val="endnote reference"/>
    <w:basedOn w:val="Numatytasispastraiposriftas"/>
    <w:rsid w:val="00E15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59683946">
      <w:bodyDiv w:val="1"/>
      <w:marLeft w:val="0"/>
      <w:marRight w:val="0"/>
      <w:marTop w:val="0"/>
      <w:marBottom w:val="0"/>
      <w:divBdr>
        <w:top w:val="none" w:sz="0" w:space="0" w:color="auto"/>
        <w:left w:val="none" w:sz="0" w:space="0" w:color="auto"/>
        <w:bottom w:val="none" w:sz="0" w:space="0" w:color="auto"/>
        <w:right w:val="none" w:sz="0" w:space="0" w:color="auto"/>
      </w:divBdr>
    </w:div>
    <w:div w:id="26669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1D6FD-671E-414E-9112-AF884D29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4525</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Infolex</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aleksandras</dc:creator>
  <cp:lastModifiedBy>Virginija Palaimiene</cp:lastModifiedBy>
  <cp:revision>2</cp:revision>
  <dcterms:created xsi:type="dcterms:W3CDTF">2018-05-21T12:59:00Z</dcterms:created>
  <dcterms:modified xsi:type="dcterms:W3CDTF">2018-05-21T12:59:00Z</dcterms:modified>
</cp:coreProperties>
</file>