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473CF3" w:rsidRDefault="007846C2" w:rsidP="007846C2">
      <w:pPr>
        <w:jc w:val="center"/>
        <w:rPr>
          <w:b/>
          <w:caps/>
          <w:sz w:val="24"/>
          <w:szCs w:val="24"/>
          <w:lang w:val="lt-LT"/>
        </w:rPr>
      </w:pPr>
      <w:bookmarkStart w:id="0" w:name="_GoBack"/>
      <w:bookmarkEnd w:id="0"/>
      <w:r w:rsidRPr="00473CF3">
        <w:rPr>
          <w:b/>
          <w:caps/>
          <w:sz w:val="24"/>
          <w:szCs w:val="24"/>
          <w:lang w:val="lt-LT"/>
        </w:rPr>
        <w:t>Aiškinamasis raštas</w:t>
      </w:r>
    </w:p>
    <w:p w:rsidR="007846C2" w:rsidRPr="00946F68" w:rsidRDefault="00396007" w:rsidP="00946F68">
      <w:pPr>
        <w:pStyle w:val="Antrat3"/>
        <w:ind w:right="-81"/>
        <w:rPr>
          <w:szCs w:val="24"/>
          <w:lang w:val="lt-LT"/>
        </w:rPr>
      </w:pPr>
      <w:r w:rsidRPr="00473CF3">
        <w:rPr>
          <w:szCs w:val="24"/>
          <w:lang w:val="lt-LT"/>
        </w:rPr>
        <w:t xml:space="preserve">PRIE SAVIVALDYBĖS TARYBOS SPRENDIMO </w:t>
      </w:r>
      <w:r w:rsidRPr="00473CF3">
        <w:rPr>
          <w:caps/>
          <w:szCs w:val="24"/>
          <w:lang w:val="lt-LT"/>
        </w:rPr>
        <w:t>projekto „Dėl KLaipėdos miesto savivaldybės turto investavimo IR</w:t>
      </w:r>
      <w:r w:rsidRPr="00473CF3">
        <w:rPr>
          <w:szCs w:val="24"/>
          <w:lang w:val="lt-LT"/>
        </w:rPr>
        <w:t xml:space="preserve"> </w:t>
      </w:r>
      <w:r w:rsidR="00597148" w:rsidRPr="00473CF3">
        <w:rPr>
          <w:szCs w:val="24"/>
          <w:lang w:val="lt-LT"/>
        </w:rPr>
        <w:t>U</w:t>
      </w:r>
      <w:r w:rsidRPr="00473CF3">
        <w:rPr>
          <w:szCs w:val="24"/>
          <w:lang w:val="lt-LT"/>
        </w:rPr>
        <w:t>AB „</w:t>
      </w:r>
      <w:r w:rsidR="00597148" w:rsidRPr="00473CF3">
        <w:rPr>
          <w:szCs w:val="24"/>
          <w:lang w:val="lt-LT"/>
        </w:rPr>
        <w:t>GATVIŲ APŠVIETIMAS</w:t>
      </w:r>
      <w:r w:rsidRPr="00473CF3">
        <w:rPr>
          <w:szCs w:val="24"/>
          <w:lang w:val="lt-LT"/>
        </w:rPr>
        <w:t>“ ĮSTATINIO KAPITALO DIDINIMO</w:t>
      </w:r>
    </w:p>
    <w:p w:rsidR="00946F68" w:rsidRPr="00946F68" w:rsidRDefault="00946F68" w:rsidP="00946F68">
      <w:pPr>
        <w:rPr>
          <w:lang w:val="lt-LT"/>
        </w:rPr>
      </w:pPr>
    </w:p>
    <w:p w:rsidR="00517E6E" w:rsidRPr="00473CF3" w:rsidRDefault="00AB660C" w:rsidP="00AE4126">
      <w:pPr>
        <w:ind w:firstLine="709"/>
        <w:jc w:val="both"/>
        <w:rPr>
          <w:sz w:val="24"/>
          <w:szCs w:val="24"/>
          <w:lang w:val="lt-LT"/>
        </w:rPr>
      </w:pPr>
      <w:r w:rsidRPr="00473CF3">
        <w:rPr>
          <w:b/>
          <w:sz w:val="24"/>
          <w:szCs w:val="24"/>
          <w:lang w:val="lt-LT"/>
        </w:rPr>
        <w:t>1.</w:t>
      </w:r>
      <w:r w:rsidRPr="00473CF3">
        <w:rPr>
          <w:b/>
          <w:lang w:val="lt-LT"/>
        </w:rPr>
        <w:t xml:space="preserve"> </w:t>
      </w:r>
      <w:r w:rsidR="007846C2" w:rsidRPr="00473CF3">
        <w:rPr>
          <w:b/>
          <w:sz w:val="24"/>
          <w:szCs w:val="24"/>
          <w:lang w:val="lt-LT"/>
        </w:rPr>
        <w:t>Sprendimo projekto esmė, tikslai ir uždaviniai</w:t>
      </w:r>
      <w:r w:rsidR="00592969" w:rsidRPr="00473CF3">
        <w:rPr>
          <w:b/>
          <w:sz w:val="24"/>
          <w:szCs w:val="24"/>
          <w:lang w:val="lt-LT"/>
        </w:rPr>
        <w:t>.</w:t>
      </w:r>
    </w:p>
    <w:p w:rsidR="00D6626A" w:rsidRPr="00473CF3" w:rsidRDefault="00D6626A" w:rsidP="00EB02C6">
      <w:pPr>
        <w:ind w:firstLine="720"/>
        <w:jc w:val="both"/>
        <w:rPr>
          <w:spacing w:val="-3"/>
          <w:sz w:val="24"/>
          <w:szCs w:val="24"/>
          <w:lang w:val="lt-LT"/>
        </w:rPr>
      </w:pPr>
      <w:r w:rsidRPr="00473CF3">
        <w:rPr>
          <w:sz w:val="24"/>
          <w:szCs w:val="24"/>
          <w:lang w:val="lt-LT"/>
        </w:rPr>
        <w:t xml:space="preserve">Perduoti Klaipėdos miesto savivaldybei (toliau – Savivaldybė) nuosavybės teise priklausantį ilgalaikį </w:t>
      </w:r>
      <w:r w:rsidR="00DE6765">
        <w:rPr>
          <w:sz w:val="24"/>
          <w:szCs w:val="24"/>
          <w:lang w:val="lt-LT"/>
        </w:rPr>
        <w:t xml:space="preserve">ir trumpalaikį </w:t>
      </w:r>
      <w:r w:rsidRPr="00473CF3">
        <w:rPr>
          <w:sz w:val="24"/>
          <w:szCs w:val="24"/>
          <w:lang w:val="lt-LT"/>
        </w:rPr>
        <w:t xml:space="preserve">materialųjį turtą, nurodytą šio sprendimo priede, kurio nepriklausomų turto vertintojų nustatyta rinkos vertė – </w:t>
      </w:r>
      <w:r w:rsidR="00DE6765">
        <w:rPr>
          <w:sz w:val="24"/>
          <w:szCs w:val="24"/>
          <w:lang w:val="lt-LT"/>
        </w:rPr>
        <w:t xml:space="preserve">1 458 452 </w:t>
      </w:r>
      <w:r w:rsidRPr="00473CF3">
        <w:rPr>
          <w:sz w:val="24"/>
          <w:szCs w:val="24"/>
          <w:lang w:val="lt-LT"/>
        </w:rPr>
        <w:t xml:space="preserve">Eur, kaip savivaldybės turtinį įnašą uždarajai akcinei bendrovei „Gatvių apšvietimas“ (toliau – Bendrovė), didinant šios Bendrovės įstatinį kapitalą. </w:t>
      </w:r>
      <w:r w:rsidR="00EB02C6" w:rsidRPr="00473CF3">
        <w:rPr>
          <w:sz w:val="24"/>
          <w:szCs w:val="24"/>
          <w:lang w:val="lt-LT"/>
        </w:rPr>
        <w:t xml:space="preserve">Šiuo nepiniginiu įnašu numatoma įsigyti ir apmokėti Bendrovės išleidžiamų 0,29 Eur nominalios vertės </w:t>
      </w:r>
      <w:r w:rsidR="00DE6765">
        <w:rPr>
          <w:sz w:val="24"/>
          <w:szCs w:val="24"/>
          <w:lang w:val="lt-LT"/>
        </w:rPr>
        <w:t>5 029 144</w:t>
      </w:r>
      <w:r w:rsidR="00EB02C6" w:rsidRPr="00473CF3">
        <w:rPr>
          <w:sz w:val="24"/>
          <w:szCs w:val="24"/>
          <w:lang w:val="lt-LT"/>
        </w:rPr>
        <w:t xml:space="preserve"> vienetų</w:t>
      </w:r>
      <w:r w:rsidR="00EB02C6" w:rsidRPr="00473CF3">
        <w:rPr>
          <w:spacing w:val="-3"/>
          <w:sz w:val="24"/>
          <w:szCs w:val="24"/>
          <w:lang w:val="lt-LT"/>
        </w:rPr>
        <w:t xml:space="preserve"> paprastųjų vardinių akcijų, </w:t>
      </w:r>
      <w:r w:rsidR="00EB02C6" w:rsidRPr="00473CF3">
        <w:rPr>
          <w:sz w:val="24"/>
          <w:szCs w:val="24"/>
          <w:lang w:val="lt-LT"/>
        </w:rPr>
        <w:t>nustatant, kad akcijų emisijos kaina lygi jų nominaliai vertei</w:t>
      </w:r>
      <w:r w:rsidR="00EB02C6" w:rsidRPr="00473CF3">
        <w:rPr>
          <w:spacing w:val="-3"/>
          <w:sz w:val="24"/>
          <w:szCs w:val="24"/>
          <w:lang w:val="lt-LT"/>
        </w:rPr>
        <w:t xml:space="preserve">. </w:t>
      </w:r>
    </w:p>
    <w:p w:rsidR="0087321D" w:rsidRPr="00473CF3" w:rsidRDefault="008A7582" w:rsidP="005910C2">
      <w:pPr>
        <w:pStyle w:val="Pagrindinistekstas"/>
        <w:tabs>
          <w:tab w:val="left" w:pos="9639"/>
        </w:tabs>
        <w:spacing w:line="240" w:lineRule="auto"/>
        <w:ind w:firstLine="720"/>
        <w:jc w:val="both"/>
        <w:rPr>
          <w:szCs w:val="24"/>
        </w:rPr>
      </w:pPr>
      <w:r w:rsidRPr="00473CF3">
        <w:rPr>
          <w:b/>
          <w:szCs w:val="24"/>
        </w:rPr>
        <w:t xml:space="preserve">2. </w:t>
      </w:r>
      <w:r w:rsidR="007846C2" w:rsidRPr="00473CF3">
        <w:rPr>
          <w:b/>
          <w:szCs w:val="24"/>
        </w:rPr>
        <w:t>Projekto rengimo priežastys ir kuo remiantis parengtas sprendimo projektas.</w:t>
      </w:r>
      <w:r w:rsidR="007846C2" w:rsidRPr="00473CF3">
        <w:rPr>
          <w:szCs w:val="24"/>
        </w:rPr>
        <w:t xml:space="preserve"> </w:t>
      </w:r>
    </w:p>
    <w:p w:rsidR="00996A3B" w:rsidRPr="00473CF3" w:rsidRDefault="0009674D" w:rsidP="00996A3B">
      <w:pPr>
        <w:pStyle w:val="Pagrindinistekstas"/>
        <w:tabs>
          <w:tab w:val="left" w:pos="9639"/>
        </w:tabs>
        <w:spacing w:line="240" w:lineRule="auto"/>
        <w:ind w:firstLine="720"/>
        <w:jc w:val="both"/>
        <w:rPr>
          <w:szCs w:val="24"/>
        </w:rPr>
      </w:pPr>
      <w:r>
        <w:rPr>
          <w:szCs w:val="24"/>
        </w:rPr>
        <w:t xml:space="preserve">Lietuvos Respublikos vietos savivaldos įstatymo 16 straipsnio 2 dalies 26 punktas </w:t>
      </w:r>
      <w:r w:rsidR="00994B3A">
        <w:rPr>
          <w:szCs w:val="24"/>
        </w:rPr>
        <w:t>įtvirtina</w:t>
      </w:r>
      <w:r>
        <w:rPr>
          <w:szCs w:val="24"/>
        </w:rPr>
        <w:t xml:space="preserve"> išimtinę Savivaldybės tarybos kompetenciją – priimti sprendimus </w:t>
      </w:r>
      <w:r w:rsidRPr="0009674D">
        <w:rPr>
          <w:color w:val="000000"/>
          <w:szCs w:val="24"/>
        </w:rPr>
        <w:t>dėl disponavimo savivaldybei nuosavybės teise priklausančiu turtu</w:t>
      </w:r>
      <w:r>
        <w:rPr>
          <w:color w:val="000000"/>
          <w:szCs w:val="24"/>
        </w:rPr>
        <w:t xml:space="preserve">. </w:t>
      </w:r>
      <w:r w:rsidR="006D72AB" w:rsidRPr="00473CF3">
        <w:rPr>
          <w:szCs w:val="24"/>
        </w:rPr>
        <w:t xml:space="preserve">Lietuvos Respublikos valstybės ir savivaldybių turto valdymo, naudojimo ir disponavimo juo įstatymo 22 straipsnio 1 dalies 2 punktas numato, kad savivaldybės turto investavimas – tai savivaldybei nuosavybės teise priklausančio turto, kaip įnašo perdavimas didinant uždarosios akcinės bendrovės kapitalą, jei savivaldybė yra jos dalyvė. Savivaldybė yra </w:t>
      </w:r>
      <w:r w:rsidR="00F371BB" w:rsidRPr="00473CF3">
        <w:rPr>
          <w:szCs w:val="24"/>
        </w:rPr>
        <w:t>Bendrovės</w:t>
      </w:r>
      <w:r w:rsidR="006D72AB" w:rsidRPr="00473CF3">
        <w:rPr>
          <w:szCs w:val="24"/>
        </w:rPr>
        <w:t xml:space="preserve"> vienintelis akcininkas, todėl Savivaldybė gali investuoti turtą, didindama bendrovės įstatinį kapitalą. </w:t>
      </w:r>
      <w:r w:rsidR="00996A3B">
        <w:rPr>
          <w:szCs w:val="24"/>
        </w:rPr>
        <w:t xml:space="preserve">To paties straipsnio </w:t>
      </w:r>
      <w:r w:rsidR="00996A3B">
        <w:rPr>
          <w:color w:val="000000"/>
        </w:rPr>
        <w:t xml:space="preserve"> 2 dalis nustato, kad sprendimą dėl savivaldybei nuosavybės teise priklausančio turto investavimo priima savivaldybės taryba, 4 dalis </w:t>
      </w:r>
      <w:r w:rsidR="00994B3A">
        <w:rPr>
          <w:color w:val="000000"/>
        </w:rPr>
        <w:t>reglamentuoja</w:t>
      </w:r>
      <w:r w:rsidR="00996A3B">
        <w:rPr>
          <w:color w:val="000000"/>
        </w:rPr>
        <w:t>, kad savivaldybė gali turtą investuoti įsigydama įstatinį kapitalą didinančios uždarosios akcinės bendrovės akcijų, kurios visuotiniame akcininkų susirinkime savivaldybei suteikia daugiau negu 50 procentų balsų.</w:t>
      </w:r>
    </w:p>
    <w:p w:rsidR="00957026" w:rsidRDefault="009539FA" w:rsidP="00F74EA1">
      <w:pPr>
        <w:ind w:firstLine="720"/>
        <w:jc w:val="both"/>
        <w:rPr>
          <w:sz w:val="24"/>
          <w:szCs w:val="24"/>
          <w:lang w:val="lt-LT"/>
        </w:rPr>
      </w:pPr>
      <w:r w:rsidRPr="00473CF3">
        <w:rPr>
          <w:sz w:val="24"/>
          <w:szCs w:val="24"/>
          <w:lang w:val="lt-LT"/>
        </w:rPr>
        <w:t xml:space="preserve">Lietuvos Respublikos vietos savivaldos įstatymo 6 straipsnio </w:t>
      </w:r>
      <w:r w:rsidR="000416CC" w:rsidRPr="00473CF3">
        <w:rPr>
          <w:sz w:val="24"/>
          <w:szCs w:val="24"/>
          <w:lang w:val="lt-LT"/>
        </w:rPr>
        <w:t xml:space="preserve">32 punktas nustato, kad  savivaldybių vietinės reikšmės kelių ir gatvių priežiūra, taisymas, tiesimas ir saugaus eismo organizavimas </w:t>
      </w:r>
      <w:r w:rsidRPr="00473CF3">
        <w:rPr>
          <w:sz w:val="24"/>
          <w:szCs w:val="24"/>
          <w:lang w:val="lt-LT"/>
        </w:rPr>
        <w:t xml:space="preserve">yra savivaldybės savarankiškoji funkcija. </w:t>
      </w:r>
      <w:r w:rsidR="0021093C" w:rsidRPr="00473CF3">
        <w:rPr>
          <w:sz w:val="24"/>
          <w:szCs w:val="24"/>
          <w:lang w:val="lt-LT"/>
        </w:rPr>
        <w:t xml:space="preserve">Bendrovė įgyvendindama Savivaldybės funkcijas eksploatuoja, prižiūri ir remontuoja </w:t>
      </w:r>
      <w:r w:rsidR="007C4A49" w:rsidRPr="00473CF3">
        <w:rPr>
          <w:sz w:val="24"/>
          <w:szCs w:val="24"/>
          <w:lang w:val="lt-LT"/>
        </w:rPr>
        <w:t xml:space="preserve">Savivaldybei nuosavybės teise priklausantį, </w:t>
      </w:r>
      <w:r w:rsidR="007C4A49" w:rsidRPr="00D11782">
        <w:rPr>
          <w:sz w:val="24"/>
          <w:szCs w:val="24"/>
          <w:lang w:val="lt-LT"/>
        </w:rPr>
        <w:t>šio sprendimo priede nurodytą turtą</w:t>
      </w:r>
      <w:r w:rsidR="007C4A49" w:rsidRPr="00C743A2">
        <w:rPr>
          <w:color w:val="FF0000"/>
          <w:sz w:val="24"/>
          <w:szCs w:val="24"/>
          <w:lang w:val="lt-LT"/>
        </w:rPr>
        <w:t xml:space="preserve"> </w:t>
      </w:r>
      <w:r w:rsidR="00FA658D">
        <w:rPr>
          <w:sz w:val="24"/>
          <w:szCs w:val="24"/>
          <w:lang w:val="lt-LT"/>
        </w:rPr>
        <w:t>–</w:t>
      </w:r>
      <w:r w:rsidR="007C4A49" w:rsidRPr="00473CF3">
        <w:rPr>
          <w:sz w:val="24"/>
          <w:szCs w:val="24"/>
          <w:lang w:val="lt-LT"/>
        </w:rPr>
        <w:t xml:space="preserve"> </w:t>
      </w:r>
      <w:r w:rsidR="006D34D3" w:rsidRPr="00FA658D">
        <w:rPr>
          <w:color w:val="000000" w:themeColor="text1"/>
          <w:sz w:val="24"/>
          <w:szCs w:val="24"/>
          <w:lang w:val="lt-LT"/>
        </w:rPr>
        <w:t>66</w:t>
      </w:r>
      <w:r w:rsidR="00FA658D" w:rsidRPr="00FA658D">
        <w:rPr>
          <w:color w:val="000000" w:themeColor="text1"/>
          <w:sz w:val="24"/>
          <w:szCs w:val="24"/>
          <w:lang w:val="lt-LT"/>
        </w:rPr>
        <w:t xml:space="preserve"> vnt.</w:t>
      </w:r>
      <w:r w:rsidR="006D34D3" w:rsidRPr="00FA658D">
        <w:rPr>
          <w:color w:val="000000" w:themeColor="text1"/>
          <w:sz w:val="24"/>
          <w:szCs w:val="24"/>
          <w:lang w:val="lt-LT"/>
        </w:rPr>
        <w:t xml:space="preserve"> šviesofor</w:t>
      </w:r>
      <w:r w:rsidR="00FA658D" w:rsidRPr="00FA658D">
        <w:rPr>
          <w:color w:val="000000" w:themeColor="text1"/>
          <w:sz w:val="24"/>
          <w:szCs w:val="24"/>
          <w:lang w:val="lt-LT"/>
        </w:rPr>
        <w:t>us</w:t>
      </w:r>
      <w:r w:rsidR="006D34D3" w:rsidRPr="00FA658D">
        <w:rPr>
          <w:color w:val="000000" w:themeColor="text1"/>
          <w:sz w:val="24"/>
          <w:szCs w:val="24"/>
          <w:lang w:val="lt-LT"/>
        </w:rPr>
        <w:t>, 18 219 vnt. kelio ženkl</w:t>
      </w:r>
      <w:r w:rsidR="00FA658D" w:rsidRPr="00FA658D">
        <w:rPr>
          <w:color w:val="000000" w:themeColor="text1"/>
          <w:sz w:val="24"/>
          <w:szCs w:val="24"/>
          <w:lang w:val="lt-LT"/>
        </w:rPr>
        <w:t>us</w:t>
      </w:r>
      <w:r w:rsidR="006D34D3" w:rsidRPr="00FA658D">
        <w:rPr>
          <w:color w:val="000000" w:themeColor="text1"/>
          <w:sz w:val="24"/>
          <w:szCs w:val="24"/>
          <w:lang w:val="lt-LT"/>
        </w:rPr>
        <w:t xml:space="preserve"> bei eismo reguliavimo priemon</w:t>
      </w:r>
      <w:r w:rsidR="00FA658D" w:rsidRPr="00FA658D">
        <w:rPr>
          <w:color w:val="000000" w:themeColor="text1"/>
          <w:sz w:val="24"/>
          <w:szCs w:val="24"/>
          <w:lang w:val="lt-LT"/>
        </w:rPr>
        <w:t>es</w:t>
      </w:r>
      <w:r w:rsidR="006D34D3" w:rsidRPr="00FA658D">
        <w:rPr>
          <w:color w:val="000000" w:themeColor="text1"/>
          <w:sz w:val="24"/>
          <w:szCs w:val="24"/>
          <w:lang w:val="lt-LT"/>
        </w:rPr>
        <w:t>, 4 elektromobilių įkrovimo stoteles</w:t>
      </w:r>
      <w:r w:rsidR="006D34D3" w:rsidRPr="00FA658D">
        <w:rPr>
          <w:sz w:val="24"/>
          <w:szCs w:val="24"/>
          <w:lang w:val="lt-LT"/>
        </w:rPr>
        <w:t>.</w:t>
      </w:r>
      <w:r w:rsidR="006D34D3" w:rsidRPr="00473CF3">
        <w:rPr>
          <w:sz w:val="24"/>
          <w:szCs w:val="24"/>
          <w:lang w:val="lt-LT"/>
        </w:rPr>
        <w:t xml:space="preserve"> </w:t>
      </w:r>
    </w:p>
    <w:p w:rsidR="00946F68" w:rsidRPr="00946F68" w:rsidRDefault="00957026" w:rsidP="00946F68">
      <w:pPr>
        <w:pStyle w:val="Pagrindinistekstas"/>
        <w:spacing w:line="240" w:lineRule="auto"/>
        <w:ind w:firstLine="720"/>
        <w:jc w:val="both"/>
        <w:rPr>
          <w:szCs w:val="24"/>
        </w:rPr>
      </w:pPr>
      <w:r w:rsidRPr="00D36277">
        <w:rPr>
          <w:szCs w:val="24"/>
        </w:rPr>
        <w:t>Kadangi minėtas turtas nuosavybės teise priklauso Klaipėdos miesto savivaldybei, Bendrovė negali investuoti savo lėšų į savivaldybės turto (šviesoforų, kelio ženklų</w:t>
      </w:r>
      <w:r w:rsidRPr="0074016E">
        <w:rPr>
          <w:szCs w:val="24"/>
        </w:rPr>
        <w:t>, elektromobilių įkrovimo stotelių) atnaujinimą. Bendrovė taip pat iš esmės negali sistemingai, koordinuotai</w:t>
      </w:r>
      <w:r w:rsidRPr="00D36277">
        <w:rPr>
          <w:szCs w:val="24"/>
        </w:rPr>
        <w:t xml:space="preserve"> ir planuotai gerinti bei atnaujinti miesto eismo reguliavimo priemonių infrastuktūros, nors daugybę metų </w:t>
      </w:r>
      <w:r w:rsidR="00DF11A3">
        <w:rPr>
          <w:szCs w:val="24"/>
        </w:rPr>
        <w:t xml:space="preserve">Bendrovė yra </w:t>
      </w:r>
      <w:r w:rsidRPr="00D36277">
        <w:rPr>
          <w:szCs w:val="24"/>
        </w:rPr>
        <w:t xml:space="preserve">tos infrastruktūros eksploatuotojai. Siekiant pagerinti minėto turto valdymą, priežiūrą, bendrą miesto eismo valdymo situaciją </w:t>
      </w:r>
      <w:r>
        <w:rPr>
          <w:color w:val="000000" w:themeColor="text1"/>
          <w:szCs w:val="24"/>
        </w:rPr>
        <w:t xml:space="preserve">bei sistemingo infrastruktūros atnaujinimo, būtų tikslinga šį turtą investuoti į UAB „Gatvių apšvietimas“, didinant </w:t>
      </w:r>
      <w:r w:rsidR="00DF11A3">
        <w:rPr>
          <w:color w:val="000000" w:themeColor="text1"/>
          <w:szCs w:val="24"/>
        </w:rPr>
        <w:t>jos</w:t>
      </w:r>
      <w:r>
        <w:rPr>
          <w:color w:val="000000" w:themeColor="text1"/>
          <w:szCs w:val="24"/>
        </w:rPr>
        <w:t xml:space="preserve"> įstatinį kapitalą.</w:t>
      </w:r>
      <w:r w:rsidRPr="00701864">
        <w:rPr>
          <w:color w:val="000000" w:themeColor="text1"/>
          <w:szCs w:val="24"/>
        </w:rPr>
        <w:t xml:space="preserve"> </w:t>
      </w:r>
    </w:p>
    <w:p w:rsidR="00E37CEB" w:rsidRDefault="00E37CEB" w:rsidP="00B85D3A">
      <w:pPr>
        <w:pStyle w:val="Pagrindinistekstas"/>
        <w:spacing w:line="240" w:lineRule="auto"/>
        <w:ind w:firstLine="720"/>
        <w:rPr>
          <w:color w:val="000000" w:themeColor="text1"/>
          <w:szCs w:val="24"/>
        </w:rPr>
      </w:pPr>
      <w:r w:rsidRPr="00B85D3A">
        <w:rPr>
          <w:b/>
          <w:i/>
          <w:color w:val="000000" w:themeColor="text1"/>
          <w:szCs w:val="24"/>
        </w:rPr>
        <w:t>Investicijos sąnaudų bei naudos analizė</w:t>
      </w:r>
      <w:r>
        <w:rPr>
          <w:color w:val="000000" w:themeColor="text1"/>
          <w:szCs w:val="24"/>
        </w:rPr>
        <w:t>:</w:t>
      </w:r>
    </w:p>
    <w:p w:rsidR="00E37CEB" w:rsidRDefault="00E37CEB" w:rsidP="00B85D3A">
      <w:pPr>
        <w:pStyle w:val="Pagrindinistekstas"/>
        <w:spacing w:line="240" w:lineRule="auto"/>
        <w:ind w:firstLine="720"/>
        <w:jc w:val="both"/>
        <w:rPr>
          <w:color w:val="000000" w:themeColor="text1"/>
          <w:szCs w:val="24"/>
        </w:rPr>
      </w:pPr>
      <w:r>
        <w:rPr>
          <w:color w:val="000000" w:themeColor="text1"/>
          <w:szCs w:val="24"/>
        </w:rPr>
        <w:t>1. Savivaldybė sąna</w:t>
      </w:r>
      <w:r w:rsidR="00D11782">
        <w:rPr>
          <w:color w:val="000000" w:themeColor="text1"/>
          <w:szCs w:val="24"/>
        </w:rPr>
        <w:t xml:space="preserve">udų perduodant turtą nepatirtų, </w:t>
      </w:r>
      <w:r>
        <w:rPr>
          <w:color w:val="000000" w:themeColor="text1"/>
          <w:szCs w:val="24"/>
        </w:rPr>
        <w:t xml:space="preserve">už tą pačią sumą įgytų Bendrovės akcijų). </w:t>
      </w:r>
    </w:p>
    <w:p w:rsidR="00946F68" w:rsidRPr="0074016E" w:rsidRDefault="00E37CEB" w:rsidP="00946F68">
      <w:pPr>
        <w:pStyle w:val="Pagrindinistekstas"/>
        <w:spacing w:line="240" w:lineRule="auto"/>
        <w:ind w:firstLine="720"/>
        <w:jc w:val="both"/>
        <w:rPr>
          <w:color w:val="000000" w:themeColor="text1"/>
          <w:szCs w:val="24"/>
        </w:rPr>
      </w:pPr>
      <w:r>
        <w:rPr>
          <w:color w:val="000000" w:themeColor="text1"/>
          <w:szCs w:val="24"/>
        </w:rPr>
        <w:t>2. Bendrovė savo gautiną pelną galėtų i</w:t>
      </w:r>
      <w:r w:rsidR="00B85D3A">
        <w:rPr>
          <w:color w:val="000000" w:themeColor="text1"/>
          <w:szCs w:val="24"/>
        </w:rPr>
        <w:t>nvestuoti į turto atnaujinimą (S</w:t>
      </w:r>
      <w:r>
        <w:rPr>
          <w:color w:val="000000" w:themeColor="text1"/>
          <w:szCs w:val="24"/>
        </w:rPr>
        <w:t xml:space="preserve">avivaldybė galėtų mažiau skirti lėšų eismo reguliavimo priemonių atnaujinimui, investavus bus sistemingai kuriama ir plėtojama infrastruktūra, naudinga </w:t>
      </w:r>
      <w:r w:rsidRPr="00EA5459">
        <w:rPr>
          <w:color w:val="000000" w:themeColor="text1"/>
          <w:szCs w:val="24"/>
        </w:rPr>
        <w:t>visuomenei). Bendrovės 2017 m. grynasis ataskaitinių finansinių metų pelnas 79 853,00 Eur, todėl kasmet vien iš savo lėšų būtų galima atlikti pilną 2</w:t>
      </w:r>
      <w:r>
        <w:rPr>
          <w:color w:val="000000" w:themeColor="text1"/>
          <w:szCs w:val="24"/>
        </w:rPr>
        <w:t> </w:t>
      </w:r>
      <w:r w:rsidRPr="00EA5459">
        <w:rPr>
          <w:color w:val="000000" w:themeColor="text1"/>
          <w:szCs w:val="24"/>
        </w:rPr>
        <w:t>šviesoforų (sankryžų) rekonstrukciją arba įsigyti ir įrengti apie 1000 kelio ženklų.</w:t>
      </w:r>
      <w:r w:rsidRPr="00540F6E">
        <w:rPr>
          <w:color w:val="000000" w:themeColor="text1"/>
          <w:szCs w:val="24"/>
        </w:rPr>
        <w:t xml:space="preserve"> </w:t>
      </w:r>
      <w:r w:rsidRPr="0074016E">
        <w:rPr>
          <w:color w:val="000000" w:themeColor="text1"/>
          <w:szCs w:val="24"/>
        </w:rPr>
        <w:t xml:space="preserve">Bendrovės 3 metų finansiniai </w:t>
      </w:r>
      <w:r w:rsidR="00946F68">
        <w:rPr>
          <w:color w:val="000000" w:themeColor="text1"/>
          <w:szCs w:val="24"/>
        </w:rPr>
        <w:t>rezultatai pateikiami lentelėje.</w:t>
      </w:r>
    </w:p>
    <w:tbl>
      <w:tblPr>
        <w:tblW w:w="9639" w:type="dxa"/>
        <w:tblLook w:val="04A0" w:firstRow="1" w:lastRow="0" w:firstColumn="1" w:lastColumn="0" w:noHBand="0" w:noVBand="1"/>
      </w:tblPr>
      <w:tblGrid>
        <w:gridCol w:w="4253"/>
        <w:gridCol w:w="1134"/>
        <w:gridCol w:w="1134"/>
        <w:gridCol w:w="1166"/>
        <w:gridCol w:w="1952"/>
      </w:tblGrid>
      <w:tr w:rsidR="00946F68" w:rsidRPr="00946F68" w:rsidTr="00946F68">
        <w:trPr>
          <w:trHeight w:val="570"/>
        </w:trPr>
        <w:tc>
          <w:tcPr>
            <w:tcW w:w="7687" w:type="dxa"/>
            <w:gridSpan w:val="4"/>
            <w:tcBorders>
              <w:top w:val="nil"/>
              <w:left w:val="nil"/>
              <w:bottom w:val="single" w:sz="8" w:space="0" w:color="0060B0"/>
              <w:right w:val="nil"/>
            </w:tcBorders>
            <w:shd w:val="clear" w:color="auto" w:fill="auto"/>
            <w:vAlign w:val="center"/>
            <w:hideMark/>
          </w:tcPr>
          <w:p w:rsidR="00E37CEB" w:rsidRPr="005F0EE8" w:rsidRDefault="00E37CEB" w:rsidP="00C735B7">
            <w:pPr>
              <w:rPr>
                <w:b/>
                <w:bCs/>
                <w:lang w:val="lt-LT"/>
              </w:rPr>
            </w:pPr>
            <w:r w:rsidRPr="005F0EE8">
              <w:rPr>
                <w:b/>
                <w:bCs/>
                <w:lang w:val="lt-LT"/>
              </w:rPr>
              <w:t>1 Lentelė. Bendrovės finansiniai rezultatai 2015-2017 m. laikotarpiu</w:t>
            </w:r>
          </w:p>
        </w:tc>
        <w:tc>
          <w:tcPr>
            <w:tcW w:w="1952" w:type="dxa"/>
            <w:tcBorders>
              <w:top w:val="nil"/>
              <w:left w:val="nil"/>
              <w:bottom w:val="single" w:sz="8" w:space="0" w:color="0060B0"/>
              <w:right w:val="nil"/>
            </w:tcBorders>
            <w:shd w:val="clear" w:color="auto" w:fill="auto"/>
            <w:vAlign w:val="center"/>
            <w:hideMark/>
          </w:tcPr>
          <w:p w:rsidR="00E37CEB" w:rsidRPr="005F0EE8" w:rsidRDefault="00E37CEB" w:rsidP="00C735B7">
            <w:pPr>
              <w:jc w:val="right"/>
              <w:rPr>
                <w:b/>
                <w:bCs/>
                <w:lang w:val="lt-LT"/>
              </w:rPr>
            </w:pPr>
            <w:r w:rsidRPr="005F0EE8">
              <w:rPr>
                <w:b/>
                <w:bCs/>
                <w:lang w:val="lt-LT"/>
              </w:rPr>
              <w:t xml:space="preserve"> tūkst. Eur</w:t>
            </w:r>
          </w:p>
        </w:tc>
      </w:tr>
      <w:tr w:rsidR="00946F68" w:rsidRPr="00946F68" w:rsidTr="005F0EE8">
        <w:trPr>
          <w:trHeight w:val="503"/>
        </w:trPr>
        <w:tc>
          <w:tcPr>
            <w:tcW w:w="4253" w:type="dxa"/>
            <w:tcBorders>
              <w:top w:val="nil"/>
              <w:left w:val="single" w:sz="8" w:space="0" w:color="0060B0"/>
              <w:bottom w:val="single" w:sz="8" w:space="0" w:color="0060B0"/>
              <w:right w:val="nil"/>
            </w:tcBorders>
            <w:shd w:val="clear" w:color="auto" w:fill="auto"/>
            <w:vAlign w:val="center"/>
            <w:hideMark/>
          </w:tcPr>
          <w:p w:rsidR="00E37CEB" w:rsidRPr="005F0EE8" w:rsidRDefault="00E37CEB" w:rsidP="00C735B7">
            <w:pPr>
              <w:jc w:val="center"/>
              <w:rPr>
                <w:b/>
                <w:bCs/>
                <w:lang w:val="lt-LT"/>
              </w:rPr>
            </w:pPr>
            <w:r w:rsidRPr="005F0EE8">
              <w:rPr>
                <w:b/>
                <w:bCs/>
                <w:lang w:val="lt-LT"/>
              </w:rPr>
              <w:t>Pelno (nuostolių) ataskaitos straipsniai</w:t>
            </w:r>
          </w:p>
        </w:tc>
        <w:tc>
          <w:tcPr>
            <w:tcW w:w="1134" w:type="dxa"/>
            <w:tcBorders>
              <w:top w:val="nil"/>
              <w:left w:val="single" w:sz="4" w:space="0" w:color="0060B0"/>
              <w:bottom w:val="single" w:sz="8" w:space="0" w:color="0060B0"/>
              <w:right w:val="single" w:sz="4"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2015</w:t>
            </w:r>
          </w:p>
        </w:tc>
        <w:tc>
          <w:tcPr>
            <w:tcW w:w="1134" w:type="dxa"/>
            <w:tcBorders>
              <w:top w:val="nil"/>
              <w:left w:val="nil"/>
              <w:bottom w:val="single" w:sz="8" w:space="0" w:color="0060B0"/>
              <w:right w:val="single" w:sz="4"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2016</w:t>
            </w:r>
          </w:p>
        </w:tc>
        <w:tc>
          <w:tcPr>
            <w:tcW w:w="1166" w:type="dxa"/>
            <w:tcBorders>
              <w:top w:val="nil"/>
              <w:left w:val="nil"/>
              <w:bottom w:val="single" w:sz="8" w:space="0" w:color="0060B0"/>
              <w:right w:val="single" w:sz="8"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2017</w:t>
            </w:r>
          </w:p>
        </w:tc>
        <w:tc>
          <w:tcPr>
            <w:tcW w:w="1952" w:type="dxa"/>
            <w:tcBorders>
              <w:top w:val="nil"/>
              <w:left w:val="nil"/>
              <w:bottom w:val="single" w:sz="8" w:space="0" w:color="0060B0"/>
              <w:right w:val="single" w:sz="8" w:space="0" w:color="0060B0"/>
            </w:tcBorders>
            <w:shd w:val="clear" w:color="auto" w:fill="auto"/>
            <w:vAlign w:val="center"/>
            <w:hideMark/>
          </w:tcPr>
          <w:p w:rsidR="00E37CEB" w:rsidRPr="005F0EE8" w:rsidRDefault="00E37CEB" w:rsidP="00C735B7">
            <w:pPr>
              <w:jc w:val="center"/>
              <w:rPr>
                <w:b/>
                <w:bCs/>
                <w:lang w:val="lt-LT"/>
              </w:rPr>
            </w:pPr>
            <w:r w:rsidRPr="005F0EE8">
              <w:rPr>
                <w:b/>
                <w:bCs/>
                <w:lang w:val="lt-LT"/>
              </w:rPr>
              <w:t>2015-2017 metų pokytis</w:t>
            </w:r>
          </w:p>
        </w:tc>
      </w:tr>
      <w:tr w:rsidR="00946F68" w:rsidRPr="00946F68" w:rsidTr="00946F68">
        <w:trPr>
          <w:trHeight w:val="255"/>
        </w:trPr>
        <w:tc>
          <w:tcPr>
            <w:tcW w:w="4253" w:type="dxa"/>
            <w:tcBorders>
              <w:top w:val="nil"/>
              <w:left w:val="single" w:sz="8" w:space="0" w:color="0060B0"/>
              <w:bottom w:val="single" w:sz="4" w:space="0" w:color="0060B0"/>
              <w:right w:val="single" w:sz="4" w:space="0" w:color="0060B0"/>
            </w:tcBorders>
            <w:shd w:val="clear" w:color="auto" w:fill="auto"/>
            <w:vAlign w:val="center"/>
            <w:hideMark/>
          </w:tcPr>
          <w:p w:rsidR="00E37CEB" w:rsidRPr="005F0EE8" w:rsidRDefault="00E37CEB" w:rsidP="00C735B7">
            <w:pPr>
              <w:rPr>
                <w:lang w:val="lt-LT"/>
              </w:rPr>
            </w:pPr>
            <w:r w:rsidRPr="005F0EE8">
              <w:rPr>
                <w:lang w:val="lt-LT"/>
              </w:rPr>
              <w:t>Pardavimo pajamos</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1 247</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2 123</w:t>
            </w:r>
          </w:p>
        </w:tc>
        <w:tc>
          <w:tcPr>
            <w:tcW w:w="1166"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2 153</w:t>
            </w:r>
          </w:p>
        </w:tc>
        <w:tc>
          <w:tcPr>
            <w:tcW w:w="1952"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+ 906</w:t>
            </w:r>
          </w:p>
        </w:tc>
      </w:tr>
      <w:tr w:rsidR="00946F68" w:rsidRPr="00946F68" w:rsidTr="00946F68">
        <w:trPr>
          <w:trHeight w:val="255"/>
        </w:trPr>
        <w:tc>
          <w:tcPr>
            <w:tcW w:w="4253" w:type="dxa"/>
            <w:tcBorders>
              <w:top w:val="nil"/>
              <w:left w:val="single" w:sz="8" w:space="0" w:color="0060B0"/>
              <w:bottom w:val="single" w:sz="4" w:space="0" w:color="0060B0"/>
              <w:right w:val="single" w:sz="4" w:space="0" w:color="0060B0"/>
            </w:tcBorders>
            <w:shd w:val="clear" w:color="auto" w:fill="auto"/>
            <w:vAlign w:val="center"/>
            <w:hideMark/>
          </w:tcPr>
          <w:p w:rsidR="00E37CEB" w:rsidRPr="005F0EE8" w:rsidRDefault="00E37CEB" w:rsidP="00C735B7">
            <w:pPr>
              <w:rPr>
                <w:lang w:val="lt-LT"/>
              </w:rPr>
            </w:pPr>
            <w:r w:rsidRPr="005F0EE8">
              <w:rPr>
                <w:lang w:val="lt-LT"/>
              </w:rPr>
              <w:t>Pardavimo savikaina</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779</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1 536</w:t>
            </w:r>
          </w:p>
        </w:tc>
        <w:tc>
          <w:tcPr>
            <w:tcW w:w="1166"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1 545</w:t>
            </w:r>
          </w:p>
        </w:tc>
        <w:tc>
          <w:tcPr>
            <w:tcW w:w="1952"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+ 766</w:t>
            </w:r>
          </w:p>
        </w:tc>
      </w:tr>
      <w:tr w:rsidR="00946F68" w:rsidRPr="00946F68" w:rsidTr="00946F68">
        <w:trPr>
          <w:trHeight w:val="255"/>
        </w:trPr>
        <w:tc>
          <w:tcPr>
            <w:tcW w:w="4253" w:type="dxa"/>
            <w:tcBorders>
              <w:top w:val="nil"/>
              <w:left w:val="single" w:sz="8" w:space="0" w:color="0060B0"/>
              <w:bottom w:val="single" w:sz="4" w:space="0" w:color="0060B0"/>
              <w:right w:val="single" w:sz="4" w:space="0" w:color="0060B0"/>
            </w:tcBorders>
            <w:shd w:val="clear" w:color="auto" w:fill="auto"/>
            <w:vAlign w:val="center"/>
            <w:hideMark/>
          </w:tcPr>
          <w:p w:rsidR="00E37CEB" w:rsidRPr="005F0EE8" w:rsidRDefault="00E37CEB" w:rsidP="00C735B7">
            <w:pPr>
              <w:rPr>
                <w:b/>
                <w:bCs/>
                <w:lang w:val="lt-LT"/>
              </w:rPr>
            </w:pPr>
            <w:r w:rsidRPr="005F0EE8">
              <w:rPr>
                <w:b/>
                <w:bCs/>
                <w:lang w:val="lt-LT"/>
              </w:rPr>
              <w:t>Bendras pelnas</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468</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587</w:t>
            </w:r>
          </w:p>
        </w:tc>
        <w:tc>
          <w:tcPr>
            <w:tcW w:w="1166"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608</w:t>
            </w:r>
          </w:p>
        </w:tc>
        <w:tc>
          <w:tcPr>
            <w:tcW w:w="1952"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+ 140</w:t>
            </w:r>
          </w:p>
        </w:tc>
      </w:tr>
      <w:tr w:rsidR="00946F68" w:rsidRPr="00946F68" w:rsidTr="00946F68">
        <w:trPr>
          <w:trHeight w:val="255"/>
        </w:trPr>
        <w:tc>
          <w:tcPr>
            <w:tcW w:w="4253" w:type="dxa"/>
            <w:tcBorders>
              <w:top w:val="nil"/>
              <w:left w:val="single" w:sz="8" w:space="0" w:color="0060B0"/>
              <w:bottom w:val="single" w:sz="4" w:space="0" w:color="0060B0"/>
              <w:right w:val="single" w:sz="4" w:space="0" w:color="0060B0"/>
            </w:tcBorders>
            <w:shd w:val="clear" w:color="auto" w:fill="auto"/>
            <w:vAlign w:val="center"/>
            <w:hideMark/>
          </w:tcPr>
          <w:p w:rsidR="00E37CEB" w:rsidRPr="005F0EE8" w:rsidRDefault="00E37CEB" w:rsidP="00C735B7">
            <w:pPr>
              <w:rPr>
                <w:lang w:val="lt-LT"/>
              </w:rPr>
            </w:pPr>
            <w:r w:rsidRPr="005F0EE8">
              <w:rPr>
                <w:lang w:val="lt-LT"/>
              </w:rPr>
              <w:t>Veiklos sąnaudos</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428</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521</w:t>
            </w:r>
          </w:p>
        </w:tc>
        <w:tc>
          <w:tcPr>
            <w:tcW w:w="1166"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538</w:t>
            </w:r>
          </w:p>
        </w:tc>
        <w:tc>
          <w:tcPr>
            <w:tcW w:w="1952"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+ 110</w:t>
            </w:r>
          </w:p>
        </w:tc>
      </w:tr>
      <w:tr w:rsidR="00946F68" w:rsidRPr="00946F68" w:rsidTr="00946F68">
        <w:trPr>
          <w:trHeight w:val="255"/>
        </w:trPr>
        <w:tc>
          <w:tcPr>
            <w:tcW w:w="4253" w:type="dxa"/>
            <w:tcBorders>
              <w:top w:val="nil"/>
              <w:left w:val="single" w:sz="8" w:space="0" w:color="0060B0"/>
              <w:bottom w:val="single" w:sz="4" w:space="0" w:color="0060B0"/>
              <w:right w:val="single" w:sz="4" w:space="0" w:color="0060B0"/>
            </w:tcBorders>
            <w:shd w:val="clear" w:color="auto" w:fill="auto"/>
            <w:vAlign w:val="center"/>
            <w:hideMark/>
          </w:tcPr>
          <w:p w:rsidR="00E37CEB" w:rsidRPr="005F0EE8" w:rsidRDefault="00E37CEB" w:rsidP="00C735B7">
            <w:pPr>
              <w:rPr>
                <w:lang w:val="lt-LT"/>
              </w:rPr>
            </w:pPr>
            <w:r w:rsidRPr="005F0EE8">
              <w:rPr>
                <w:lang w:val="lt-LT"/>
              </w:rPr>
              <w:t xml:space="preserve">Tarpinės veiklos pelnas </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40</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67</w:t>
            </w:r>
          </w:p>
        </w:tc>
        <w:tc>
          <w:tcPr>
            <w:tcW w:w="1166"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70</w:t>
            </w:r>
          </w:p>
        </w:tc>
        <w:tc>
          <w:tcPr>
            <w:tcW w:w="1952"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+ 30</w:t>
            </w:r>
          </w:p>
        </w:tc>
      </w:tr>
      <w:tr w:rsidR="00946F68" w:rsidRPr="00946F68" w:rsidTr="00946F68">
        <w:trPr>
          <w:trHeight w:val="255"/>
        </w:trPr>
        <w:tc>
          <w:tcPr>
            <w:tcW w:w="4253" w:type="dxa"/>
            <w:tcBorders>
              <w:top w:val="nil"/>
              <w:left w:val="single" w:sz="8" w:space="0" w:color="0060B0"/>
              <w:bottom w:val="single" w:sz="4" w:space="0" w:color="0060B0"/>
              <w:right w:val="single" w:sz="4" w:space="0" w:color="0060B0"/>
            </w:tcBorders>
            <w:shd w:val="clear" w:color="auto" w:fill="auto"/>
            <w:vAlign w:val="center"/>
            <w:hideMark/>
          </w:tcPr>
          <w:p w:rsidR="00E37CEB" w:rsidRPr="005F0EE8" w:rsidRDefault="00E37CEB" w:rsidP="00C735B7">
            <w:pPr>
              <w:rPr>
                <w:lang w:val="lt-LT"/>
              </w:rPr>
            </w:pPr>
            <w:r w:rsidRPr="005F0EE8">
              <w:rPr>
                <w:lang w:val="lt-LT"/>
              </w:rPr>
              <w:t>Kita veikla</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0</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1</w:t>
            </w:r>
          </w:p>
        </w:tc>
        <w:tc>
          <w:tcPr>
            <w:tcW w:w="1166"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16</w:t>
            </w:r>
          </w:p>
        </w:tc>
        <w:tc>
          <w:tcPr>
            <w:tcW w:w="1952"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+ 16</w:t>
            </w:r>
          </w:p>
        </w:tc>
      </w:tr>
      <w:tr w:rsidR="00946F68" w:rsidRPr="00946F68" w:rsidTr="00946F68">
        <w:trPr>
          <w:trHeight w:val="270"/>
        </w:trPr>
        <w:tc>
          <w:tcPr>
            <w:tcW w:w="4253" w:type="dxa"/>
            <w:tcBorders>
              <w:top w:val="nil"/>
              <w:left w:val="single" w:sz="8" w:space="0" w:color="0060B0"/>
              <w:bottom w:val="single" w:sz="4" w:space="0" w:color="0060B0"/>
              <w:right w:val="single" w:sz="4" w:space="0" w:color="0060B0"/>
            </w:tcBorders>
            <w:shd w:val="clear" w:color="auto" w:fill="auto"/>
            <w:vAlign w:val="center"/>
            <w:hideMark/>
          </w:tcPr>
          <w:p w:rsidR="00E37CEB" w:rsidRPr="005F0EE8" w:rsidRDefault="00E37CEB" w:rsidP="00C735B7">
            <w:pPr>
              <w:rPr>
                <w:lang w:val="lt-LT"/>
              </w:rPr>
            </w:pPr>
            <w:r w:rsidRPr="005F0EE8">
              <w:rPr>
                <w:lang w:val="lt-LT"/>
              </w:rPr>
              <w:t>Finansinė investicinė veikla, pelno mokestis (-)</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-9</w:t>
            </w:r>
          </w:p>
        </w:tc>
        <w:tc>
          <w:tcPr>
            <w:tcW w:w="1134" w:type="dxa"/>
            <w:tcBorders>
              <w:top w:val="nil"/>
              <w:left w:val="nil"/>
              <w:bottom w:val="single" w:sz="4" w:space="0" w:color="0060B0"/>
              <w:right w:val="single" w:sz="4"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-8</w:t>
            </w:r>
          </w:p>
        </w:tc>
        <w:tc>
          <w:tcPr>
            <w:tcW w:w="1166"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-6</w:t>
            </w:r>
          </w:p>
        </w:tc>
        <w:tc>
          <w:tcPr>
            <w:tcW w:w="1952" w:type="dxa"/>
            <w:tcBorders>
              <w:top w:val="nil"/>
              <w:left w:val="nil"/>
              <w:bottom w:val="single" w:sz="4" w:space="0" w:color="0060B0"/>
              <w:right w:val="single" w:sz="8" w:space="0" w:color="0060B0"/>
            </w:tcBorders>
            <w:shd w:val="clear" w:color="auto" w:fill="auto"/>
            <w:noWrap/>
            <w:vAlign w:val="center"/>
            <w:hideMark/>
          </w:tcPr>
          <w:p w:rsidR="00E37CEB" w:rsidRPr="005F0EE8" w:rsidRDefault="00E37CEB" w:rsidP="00C735B7">
            <w:pPr>
              <w:jc w:val="center"/>
              <w:rPr>
                <w:lang w:val="lt-LT"/>
              </w:rPr>
            </w:pPr>
            <w:r w:rsidRPr="005F0EE8">
              <w:rPr>
                <w:lang w:val="lt-LT"/>
              </w:rPr>
              <w:t> + 3</w:t>
            </w:r>
          </w:p>
        </w:tc>
      </w:tr>
      <w:tr w:rsidR="00946F68" w:rsidRPr="00946F68" w:rsidTr="00946F68">
        <w:trPr>
          <w:trHeight w:val="270"/>
        </w:trPr>
        <w:tc>
          <w:tcPr>
            <w:tcW w:w="4253" w:type="dxa"/>
            <w:tcBorders>
              <w:top w:val="nil"/>
              <w:left w:val="single" w:sz="8" w:space="0" w:color="0060B0"/>
              <w:bottom w:val="single" w:sz="8" w:space="0" w:color="0060B0"/>
              <w:right w:val="single" w:sz="4" w:space="0" w:color="0060B0"/>
            </w:tcBorders>
            <w:shd w:val="clear" w:color="auto" w:fill="auto"/>
            <w:noWrap/>
            <w:vAlign w:val="center"/>
            <w:hideMark/>
          </w:tcPr>
          <w:p w:rsidR="00E37CEB" w:rsidRPr="005F0EE8" w:rsidRDefault="00E37CEB" w:rsidP="00C735B7">
            <w:pPr>
              <w:rPr>
                <w:b/>
                <w:bCs/>
                <w:lang w:val="lt-LT"/>
              </w:rPr>
            </w:pPr>
            <w:r w:rsidRPr="005F0EE8">
              <w:rPr>
                <w:b/>
                <w:bCs/>
                <w:lang w:val="lt-LT"/>
              </w:rPr>
              <w:t>Grynasis pelnas</w:t>
            </w:r>
          </w:p>
        </w:tc>
        <w:tc>
          <w:tcPr>
            <w:tcW w:w="1134" w:type="dxa"/>
            <w:tcBorders>
              <w:top w:val="nil"/>
              <w:left w:val="nil"/>
              <w:bottom w:val="single" w:sz="8" w:space="0" w:color="0060B0"/>
              <w:right w:val="single" w:sz="4"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31</w:t>
            </w:r>
          </w:p>
        </w:tc>
        <w:tc>
          <w:tcPr>
            <w:tcW w:w="1134" w:type="dxa"/>
            <w:tcBorders>
              <w:top w:val="nil"/>
              <w:left w:val="nil"/>
              <w:bottom w:val="single" w:sz="8" w:space="0" w:color="0060B0"/>
              <w:right w:val="single" w:sz="4"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59</w:t>
            </w:r>
          </w:p>
        </w:tc>
        <w:tc>
          <w:tcPr>
            <w:tcW w:w="1166" w:type="dxa"/>
            <w:tcBorders>
              <w:top w:val="nil"/>
              <w:left w:val="nil"/>
              <w:bottom w:val="single" w:sz="8" w:space="0" w:color="0060B0"/>
              <w:right w:val="single" w:sz="8"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80</w:t>
            </w:r>
          </w:p>
        </w:tc>
        <w:tc>
          <w:tcPr>
            <w:tcW w:w="1952" w:type="dxa"/>
            <w:tcBorders>
              <w:top w:val="nil"/>
              <w:left w:val="nil"/>
              <w:bottom w:val="single" w:sz="8" w:space="0" w:color="0060B0"/>
              <w:right w:val="single" w:sz="8" w:space="0" w:color="0060B0"/>
            </w:tcBorders>
            <w:shd w:val="clear" w:color="auto" w:fill="auto"/>
            <w:noWrap/>
            <w:vAlign w:val="center"/>
            <w:hideMark/>
          </w:tcPr>
          <w:p w:rsidR="00E37CEB" w:rsidRPr="005F0EE8" w:rsidRDefault="00E37CEB" w:rsidP="00C735B7">
            <w:pPr>
              <w:jc w:val="center"/>
              <w:rPr>
                <w:b/>
                <w:bCs/>
                <w:lang w:val="lt-LT"/>
              </w:rPr>
            </w:pPr>
            <w:r w:rsidRPr="005F0EE8">
              <w:rPr>
                <w:b/>
                <w:bCs/>
                <w:lang w:val="lt-LT"/>
              </w:rPr>
              <w:t>+ 49</w:t>
            </w:r>
          </w:p>
        </w:tc>
      </w:tr>
    </w:tbl>
    <w:p w:rsidR="0040035E" w:rsidRDefault="0040035E" w:rsidP="0040035E">
      <w:pPr>
        <w:pStyle w:val="Pagrindinistekstas"/>
        <w:spacing w:line="240" w:lineRule="auto"/>
        <w:ind w:firstLine="720"/>
        <w:jc w:val="both"/>
        <w:rPr>
          <w:color w:val="FF0000"/>
          <w:szCs w:val="24"/>
        </w:rPr>
      </w:pPr>
      <w:r>
        <w:rPr>
          <w:szCs w:val="24"/>
        </w:rPr>
        <w:lastRenderedPageBreak/>
        <w:t xml:space="preserve">1. </w:t>
      </w:r>
      <w:r w:rsidR="00E37CEB" w:rsidRPr="00C74D07">
        <w:rPr>
          <w:szCs w:val="24"/>
        </w:rPr>
        <w:t xml:space="preserve">Kadangi miesto eismo reguliavimo infrastruktūra yra pakankamai nusidėvėjusi ir prastos būklės, Bendrovė atliktų turto atnaujinimo darbus ne tik savo lėšomis, bet ir operatyviau (mažesnis </w:t>
      </w:r>
      <w:r w:rsidR="00E37CEB">
        <w:rPr>
          <w:color w:val="000000" w:themeColor="text1"/>
          <w:szCs w:val="24"/>
        </w:rPr>
        <w:t>administracinis aparatas, greitesnės viešųjų pirkimų procedūros, trumpesni įgyvendinimo terminai);</w:t>
      </w:r>
    </w:p>
    <w:p w:rsidR="0040035E" w:rsidRDefault="0040035E" w:rsidP="0040035E">
      <w:pPr>
        <w:pStyle w:val="Pagrindinistekstas"/>
        <w:spacing w:line="240" w:lineRule="auto"/>
        <w:ind w:firstLine="720"/>
        <w:jc w:val="both"/>
        <w:rPr>
          <w:color w:val="FF0000"/>
          <w:szCs w:val="24"/>
        </w:rPr>
      </w:pPr>
      <w:r w:rsidRPr="0040035E">
        <w:rPr>
          <w:szCs w:val="24"/>
        </w:rPr>
        <w:t>2.</w:t>
      </w:r>
      <w:r>
        <w:rPr>
          <w:color w:val="FF0000"/>
          <w:szCs w:val="24"/>
        </w:rPr>
        <w:t xml:space="preserve"> </w:t>
      </w:r>
      <w:r w:rsidR="00E37CEB">
        <w:rPr>
          <w:color w:val="000000" w:themeColor="text1"/>
          <w:szCs w:val="24"/>
        </w:rPr>
        <w:t xml:space="preserve">Bendrovė gavusį turtą galėtų metodiškai ir sistemiškai atnaujinti eismo reguliavimo priemones, galėtų nustatyti (suderinusi su </w:t>
      </w:r>
      <w:r>
        <w:rPr>
          <w:color w:val="000000" w:themeColor="text1"/>
          <w:szCs w:val="24"/>
        </w:rPr>
        <w:t>S</w:t>
      </w:r>
      <w:r w:rsidR="00E37CEB">
        <w:rPr>
          <w:color w:val="000000" w:themeColor="text1"/>
          <w:szCs w:val="24"/>
        </w:rPr>
        <w:t>avivaldybe) eismo reguliavimo priemonių atnaujinimo prioritetus;</w:t>
      </w:r>
    </w:p>
    <w:p w:rsidR="00E37CEB" w:rsidRPr="0040035E" w:rsidRDefault="0040035E" w:rsidP="0040035E">
      <w:pPr>
        <w:pStyle w:val="Pagrindinistekstas"/>
        <w:spacing w:line="240" w:lineRule="auto"/>
        <w:ind w:firstLine="720"/>
        <w:jc w:val="both"/>
        <w:rPr>
          <w:color w:val="FF0000"/>
          <w:szCs w:val="24"/>
        </w:rPr>
      </w:pPr>
      <w:r w:rsidRPr="0040035E">
        <w:rPr>
          <w:szCs w:val="24"/>
        </w:rPr>
        <w:t>3.</w:t>
      </w:r>
      <w:r>
        <w:rPr>
          <w:color w:val="FF0000"/>
          <w:szCs w:val="24"/>
        </w:rPr>
        <w:t xml:space="preserve"> </w:t>
      </w:r>
      <w:r w:rsidR="00E37CEB">
        <w:rPr>
          <w:color w:val="000000" w:themeColor="text1"/>
          <w:szCs w:val="24"/>
        </w:rPr>
        <w:t>Savivaldybei neber</w:t>
      </w:r>
      <w:r>
        <w:rPr>
          <w:color w:val="000000" w:themeColor="text1"/>
          <w:szCs w:val="24"/>
        </w:rPr>
        <w:t xml:space="preserve">eikėtų vykdyti turto apskaitos, ko rezultate </w:t>
      </w:r>
      <w:r w:rsidR="00E37CEB">
        <w:rPr>
          <w:color w:val="000000" w:themeColor="text1"/>
          <w:szCs w:val="24"/>
        </w:rPr>
        <w:t>mažėtų turto administravimo kaštai, savivaldybės darbuotojai galėtų skirti daugiau laik</w:t>
      </w:r>
      <w:r>
        <w:rPr>
          <w:color w:val="000000" w:themeColor="text1"/>
          <w:szCs w:val="24"/>
        </w:rPr>
        <w:t>o kitoms funkcijoms įgyvendinti</w:t>
      </w:r>
      <w:r w:rsidR="00E37CEB">
        <w:rPr>
          <w:color w:val="000000" w:themeColor="text1"/>
          <w:szCs w:val="24"/>
        </w:rPr>
        <w:t>;</w:t>
      </w:r>
    </w:p>
    <w:p w:rsidR="0040035E" w:rsidRDefault="0040035E" w:rsidP="0040035E">
      <w:pPr>
        <w:pStyle w:val="Pagrindinistekstas"/>
        <w:spacing w:line="240" w:lineRule="auto"/>
        <w:ind w:firstLine="720"/>
        <w:jc w:val="both"/>
        <w:rPr>
          <w:color w:val="000000" w:themeColor="text1"/>
          <w:szCs w:val="24"/>
        </w:rPr>
      </w:pPr>
      <w:r>
        <w:rPr>
          <w:szCs w:val="24"/>
        </w:rPr>
        <w:t xml:space="preserve">4. </w:t>
      </w:r>
      <w:r w:rsidR="00E37CEB">
        <w:rPr>
          <w:szCs w:val="24"/>
        </w:rPr>
        <w:t>A</w:t>
      </w:r>
      <w:r w:rsidR="00E37CEB" w:rsidRPr="008A76E3">
        <w:rPr>
          <w:szCs w:val="24"/>
        </w:rPr>
        <w:t>tnaujinant turtą ir investuojant į naująsias eismo reguliavimo technologijas, būtų geriau valdomas eismas (geriau tenkinami miestiečių poreikiai, mažiau praleidžiama laiko spūstyse, mažiau teršiama aplinka);</w:t>
      </w:r>
    </w:p>
    <w:p w:rsidR="000E3C1F" w:rsidRDefault="0040035E" w:rsidP="00712058">
      <w:pPr>
        <w:pStyle w:val="Pagrindinistekstas"/>
        <w:spacing w:line="240" w:lineRule="auto"/>
        <w:ind w:firstLine="720"/>
        <w:jc w:val="both"/>
        <w:rPr>
          <w:color w:val="000000" w:themeColor="text1"/>
          <w:szCs w:val="24"/>
        </w:rPr>
      </w:pPr>
      <w:r>
        <w:rPr>
          <w:color w:val="000000" w:themeColor="text1"/>
          <w:szCs w:val="24"/>
        </w:rPr>
        <w:t xml:space="preserve">5. </w:t>
      </w:r>
      <w:r w:rsidR="00E37CEB">
        <w:rPr>
          <w:color w:val="000000" w:themeColor="text1"/>
          <w:szCs w:val="24"/>
        </w:rPr>
        <w:t>Investicijos leistų efektyviau planuoti ilgalaikę Bendrovės veiklą, įtraukiant turtą į veiklos organizavimo gaires, padidėtų įmonės finansinis pajėgumas (padidėja įstatinis kapitalas);</w:t>
      </w:r>
    </w:p>
    <w:p w:rsidR="00E37CEB" w:rsidRDefault="00E37CEB" w:rsidP="00814D1B">
      <w:pPr>
        <w:pStyle w:val="Pagrindinistekstas"/>
        <w:spacing w:line="240" w:lineRule="auto"/>
        <w:ind w:firstLine="720"/>
        <w:jc w:val="both"/>
        <w:rPr>
          <w:color w:val="000000" w:themeColor="text1"/>
          <w:szCs w:val="24"/>
        </w:rPr>
      </w:pPr>
      <w:r>
        <w:rPr>
          <w:color w:val="000000" w:themeColor="text1"/>
          <w:szCs w:val="24"/>
        </w:rPr>
        <w:t>Atsižvelgiant į aukščiau išdėstytą, š</w:t>
      </w:r>
      <w:r w:rsidRPr="001B7A86">
        <w:rPr>
          <w:color w:val="000000" w:themeColor="text1"/>
          <w:szCs w:val="24"/>
        </w:rPr>
        <w:t>i investicija pilnai tenkina privataus investuotojo principą.</w:t>
      </w:r>
    </w:p>
    <w:p w:rsidR="00E37CEB" w:rsidRPr="00D20F14" w:rsidRDefault="00E37CEB" w:rsidP="00814D1B">
      <w:pPr>
        <w:pStyle w:val="Pagrindinistekstas"/>
        <w:spacing w:line="240" w:lineRule="auto"/>
        <w:ind w:firstLine="720"/>
        <w:jc w:val="both"/>
        <w:rPr>
          <w:b/>
          <w:i/>
          <w:color w:val="000000" w:themeColor="text1"/>
          <w:szCs w:val="24"/>
        </w:rPr>
      </w:pPr>
      <w:r w:rsidRPr="00D20F14">
        <w:rPr>
          <w:b/>
          <w:i/>
          <w:color w:val="000000" w:themeColor="text1"/>
          <w:szCs w:val="24"/>
        </w:rPr>
        <w:t>Ekonominis – socialinis pagrindimas:</w:t>
      </w:r>
    </w:p>
    <w:p w:rsidR="00E37CEB" w:rsidRPr="00574F3B" w:rsidRDefault="00E37CEB" w:rsidP="00814D1B">
      <w:pPr>
        <w:pStyle w:val="Pagrindinistekstas"/>
        <w:spacing w:line="240" w:lineRule="auto"/>
        <w:ind w:firstLine="720"/>
        <w:jc w:val="both"/>
        <w:rPr>
          <w:color w:val="000000" w:themeColor="text1"/>
          <w:szCs w:val="24"/>
        </w:rPr>
      </w:pPr>
      <w:r>
        <w:rPr>
          <w:color w:val="000000" w:themeColor="text1"/>
          <w:szCs w:val="24"/>
        </w:rPr>
        <w:t>Investavimas taip pat būtų ir ekonomiškai bei socialiai pagrįstas. Vadovaujantis Lietuvos Respublikos valstybės ir savivaldybių turto valdymo, naudojimo ir disponavimo juo įstatymu, būtų tenkinami penki investavimo kriterijai, numatyti šio</w:t>
      </w:r>
      <w:r w:rsidRPr="00574F3B">
        <w:rPr>
          <w:color w:val="000000" w:themeColor="text1"/>
          <w:szCs w:val="24"/>
        </w:rPr>
        <w:t xml:space="preserve"> įstatymo 22 straipsnio 2 dalies 3, 5, 6</w:t>
      </w:r>
      <w:r>
        <w:rPr>
          <w:color w:val="000000" w:themeColor="text1"/>
          <w:szCs w:val="24"/>
        </w:rPr>
        <w:t>, 7</w:t>
      </w:r>
      <w:r w:rsidRPr="00574F3B">
        <w:rPr>
          <w:color w:val="000000" w:themeColor="text1"/>
          <w:szCs w:val="24"/>
        </w:rPr>
        <w:t xml:space="preserve"> ir </w:t>
      </w:r>
      <w:r>
        <w:rPr>
          <w:color w:val="000000" w:themeColor="text1"/>
          <w:szCs w:val="24"/>
        </w:rPr>
        <w:t>9</w:t>
      </w:r>
      <w:r w:rsidRPr="00574F3B">
        <w:rPr>
          <w:color w:val="000000" w:themeColor="text1"/>
          <w:szCs w:val="24"/>
        </w:rPr>
        <w:t xml:space="preserve"> punktuose:</w:t>
      </w:r>
    </w:p>
    <w:p w:rsidR="00E37CEB" w:rsidRPr="0067066B" w:rsidRDefault="00E37CEB" w:rsidP="00E37CEB">
      <w:pPr>
        <w:widowControl w:val="0"/>
        <w:autoSpaceDE w:val="0"/>
        <w:autoSpaceDN w:val="0"/>
        <w:adjustRightInd w:val="0"/>
        <w:ind w:firstLine="720"/>
        <w:jc w:val="both"/>
        <w:rPr>
          <w:sz w:val="24"/>
          <w:szCs w:val="24"/>
          <w:lang w:val="lt-LT"/>
        </w:rPr>
      </w:pPr>
      <w:r w:rsidRPr="0067066B">
        <w:rPr>
          <w:sz w:val="24"/>
          <w:szCs w:val="24"/>
          <w:lang w:val="lt-LT"/>
        </w:rPr>
        <w:t>„3) investuojant skatinamas Lietuvos ekonomikos augimas, stiprinamas ekonominis savarankiškumas ir (ar) tarptautinis konkurencingumas „ - savivaldybės turto investavimas skatins Lietuvos ekonomikos augimą, kadangi tikimasi, kad po turto investavimo pelningai veiksianti bendrovė, mokėdama mokesčius valstybei, prisidės prie bendro vidaus produkto augimo, bus išsaugotos esamos darbo vietos, gali būti sukurtos naujos darbo vietos;</w:t>
      </w:r>
    </w:p>
    <w:p w:rsidR="00E37CEB" w:rsidRPr="0067066B" w:rsidRDefault="00E37CEB" w:rsidP="00E37CEB">
      <w:pPr>
        <w:widowControl w:val="0"/>
        <w:autoSpaceDE w:val="0"/>
        <w:autoSpaceDN w:val="0"/>
        <w:adjustRightInd w:val="0"/>
        <w:ind w:firstLine="720"/>
        <w:jc w:val="both"/>
        <w:rPr>
          <w:sz w:val="24"/>
          <w:szCs w:val="24"/>
          <w:lang w:val="lt-LT"/>
        </w:rPr>
      </w:pPr>
      <w:r w:rsidRPr="0067066B">
        <w:rPr>
          <w:sz w:val="24"/>
          <w:szCs w:val="24"/>
          <w:lang w:val="lt-LT"/>
        </w:rPr>
        <w:t>„5) investavus bus kuriama ar plėtojama infrastruktūra, naudinga visuomenei (skatinama veiksminga konkurencija šalies rinkoje, gerinama viešųjų paslaugų kokybė, pasirinkimo galimybės ir prieinamumas);“ – UAB „Gatvių apšvietimas“ investuos Bendrovės lėšas ir atnaujins eismo reguliavimo priemonių infrastruktūrą, vykdys plėtrą, gerės teikiamų paslaugų kokybė;</w:t>
      </w:r>
    </w:p>
    <w:p w:rsidR="00E37CEB" w:rsidRPr="0067066B" w:rsidRDefault="00E37CEB" w:rsidP="00E37CEB">
      <w:pPr>
        <w:ind w:firstLine="720"/>
        <w:jc w:val="both"/>
        <w:rPr>
          <w:sz w:val="24"/>
          <w:szCs w:val="24"/>
          <w:lang w:val="lt-LT"/>
        </w:rPr>
      </w:pPr>
      <w:bookmarkStart w:id="1" w:name="part_fcac4f8c2a4c47e69cdfe24f7cd52639"/>
      <w:bookmarkEnd w:id="1"/>
      <w:r w:rsidRPr="0067066B">
        <w:rPr>
          <w:sz w:val="24"/>
          <w:szCs w:val="24"/>
          <w:lang w:val="lt-LT"/>
        </w:rPr>
        <w:t>„6)</w:t>
      </w:r>
      <w:r w:rsidRPr="0067066B">
        <w:rPr>
          <w:b/>
          <w:bCs/>
          <w:sz w:val="24"/>
          <w:szCs w:val="24"/>
          <w:lang w:val="lt-LT"/>
        </w:rPr>
        <w:t xml:space="preserve"> </w:t>
      </w:r>
      <w:r w:rsidRPr="0067066B">
        <w:rPr>
          <w:sz w:val="24"/>
          <w:szCs w:val="24"/>
          <w:lang w:val="lt-LT"/>
        </w:rPr>
        <w:t>valstybės ir (ar) savivaldybių turto investavimu (valstybės ar savivaldybės įnašu) bus sukuriama pridėtinė vertė ir užtikrinamas šią vertę kuriančios veiklos ilgalaikis ekonominis tvarumas;“ - tikimasi, kad po turto investavimo įmonė toliau vykdys pelningą veiklą, todėl šiuo investavimu bus sukuriama  pridėtinė vertė ir užtikrinama šią vertę kuriančios veiklos ilgalaikis ekonominis tvarumas;</w:t>
      </w:r>
    </w:p>
    <w:p w:rsidR="00E37CEB" w:rsidRPr="0067066B" w:rsidRDefault="00E37CEB" w:rsidP="00E37CEB">
      <w:pPr>
        <w:ind w:firstLine="720"/>
        <w:jc w:val="both"/>
        <w:rPr>
          <w:sz w:val="24"/>
          <w:szCs w:val="24"/>
          <w:lang w:val="lt-LT"/>
        </w:rPr>
      </w:pPr>
      <w:bookmarkStart w:id="2" w:name="part_ca7f1d54fd1347bbaf7fa1c6e3a635d0"/>
      <w:bookmarkEnd w:id="2"/>
      <w:r w:rsidRPr="0067066B">
        <w:rPr>
          <w:sz w:val="24"/>
          <w:szCs w:val="24"/>
          <w:lang w:val="lt-LT"/>
        </w:rPr>
        <w:t>„7)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 – Bendrovei atsiranda techninės galimybės pačiai ruošti techninius projektus, rengti atnaujinimo ir plėtros strategijas, vystyti eismo reguliavimo priemonių renovaciją. Visa tai užtikrins saugos ir kokybės reikalavimus, tiekiant eismo reguliavimo priemonių priežiūros paslaugą miesto gyventojams.</w:t>
      </w:r>
    </w:p>
    <w:p w:rsidR="00E37CEB" w:rsidRPr="0067066B" w:rsidRDefault="00E37CEB" w:rsidP="00E37CEB">
      <w:pPr>
        <w:ind w:firstLine="720"/>
        <w:jc w:val="both"/>
        <w:rPr>
          <w:sz w:val="24"/>
          <w:szCs w:val="24"/>
          <w:lang w:val="lt-LT"/>
        </w:rPr>
      </w:pPr>
      <w:r w:rsidRPr="0067066B">
        <w:rPr>
          <w:sz w:val="24"/>
          <w:szCs w:val="24"/>
          <w:lang w:val="lt-LT"/>
        </w:rPr>
        <w:t xml:space="preserve">„9) investavimo tikslas ir siekiamas rezultatas nustatyti teisės aktuose, įgyvendinančiuose strateginio planavimo dokumentus“ – Investavimas padėtų </w:t>
      </w:r>
      <w:r w:rsidRPr="0067066B">
        <w:rPr>
          <w:rFonts w:eastAsia="Calibri"/>
          <w:iCs/>
          <w:sz w:val="24"/>
          <w:szCs w:val="24"/>
          <w:lang w:val="lt-LT"/>
        </w:rPr>
        <w:t>greičiau ir efektyviau įgyvendinti</w:t>
      </w:r>
      <w:r w:rsidRPr="0067066B">
        <w:rPr>
          <w:sz w:val="24"/>
          <w:szCs w:val="24"/>
          <w:lang w:val="lt-LT"/>
        </w:rPr>
        <w:t xml:space="preserve"> Klaipėdos miesto savivaldybės 2013 – 2020 m. strateginio plėtros plano (patvirtintas Klaipėdos miesto savivaldybės tarybos 2013-04-26 d. sprendimu Nr. T2-79, „Dėl Klaipėdos miesto savivaldybės 2013-2020 strateginio plėtros plano patvirtinimo“), </w:t>
      </w:r>
      <w:r w:rsidRPr="0067066B">
        <w:rPr>
          <w:color w:val="000000"/>
          <w:sz w:val="24"/>
          <w:szCs w:val="24"/>
          <w:lang w:val="lt-LT"/>
        </w:rPr>
        <w:t>1.5.2.1. priemonę. Joje numatytas siekis gerinti kompleksines, atitinkančias tarptautinius standartus, eismo saugumo gerinimo priemones ir jas įgyvendinti.</w:t>
      </w:r>
    </w:p>
    <w:p w:rsidR="00747E49" w:rsidRPr="00473CF3" w:rsidRDefault="00B841FB" w:rsidP="00245F47">
      <w:pPr>
        <w:ind w:firstLine="720"/>
        <w:jc w:val="both"/>
        <w:rPr>
          <w:sz w:val="24"/>
          <w:szCs w:val="24"/>
          <w:lang w:val="lt-LT"/>
        </w:rPr>
      </w:pPr>
      <w:r w:rsidRPr="00473CF3">
        <w:rPr>
          <w:sz w:val="24"/>
          <w:szCs w:val="24"/>
          <w:lang w:val="lt-LT"/>
        </w:rPr>
        <w:t>Lietuvos Respublikos valstybės ir savivaldybių turto valdymo, naudojimo ir disponavimo juo įstatymo 23 straipsni</w:t>
      </w:r>
      <w:r w:rsidR="003B53D7">
        <w:rPr>
          <w:sz w:val="24"/>
          <w:szCs w:val="24"/>
          <w:lang w:val="lt-LT"/>
        </w:rPr>
        <w:t>o 1 dalis</w:t>
      </w:r>
      <w:r w:rsidRPr="00473CF3">
        <w:rPr>
          <w:sz w:val="24"/>
          <w:szCs w:val="24"/>
          <w:lang w:val="lt-LT"/>
        </w:rPr>
        <w:t xml:space="preserve"> nustato, kad savivaldybių turtinės ir neturtinės teisės akcinėse bendrovėse įgyvendinamos Vyriausybės nustatyta tvarka</w:t>
      </w:r>
      <w:r w:rsidR="008948D8" w:rsidRPr="00473CF3">
        <w:rPr>
          <w:sz w:val="24"/>
          <w:szCs w:val="24"/>
          <w:lang w:val="lt-LT"/>
        </w:rPr>
        <w:t xml:space="preserve">. </w:t>
      </w:r>
      <w:r w:rsidR="006A5BC7" w:rsidRPr="00473CF3">
        <w:rPr>
          <w:sz w:val="24"/>
          <w:szCs w:val="24"/>
          <w:lang w:val="lt-LT"/>
        </w:rPr>
        <w:t>Savivaldybių turtinių ir neturtinių teisių įgyvendinimo akcinėse bendrovėse ir uždarosiose akcinėse bendrovėse taisyklių, patvirtintų Lietuvos Respublikos Vyriausybės 2007 m. birželio 6 d. nutarimu Nr. 567 „Dėl valstybės ir savivaldybių turtinių ir neturtinių teisių įgyvendinimo akcinėse bendrovėse ir uždarosiose akcinėse bendrovėse“</w:t>
      </w:r>
      <w:r w:rsidR="00487434" w:rsidRPr="00473CF3">
        <w:rPr>
          <w:sz w:val="24"/>
          <w:szCs w:val="24"/>
          <w:lang w:val="lt-LT"/>
        </w:rPr>
        <w:t xml:space="preserve"> </w:t>
      </w:r>
      <w:r w:rsidR="006A5BC7" w:rsidRPr="00473CF3">
        <w:rPr>
          <w:sz w:val="24"/>
          <w:szCs w:val="24"/>
          <w:lang w:val="lt-LT"/>
        </w:rPr>
        <w:t>19.1 papunk</w:t>
      </w:r>
      <w:r w:rsidR="00880211" w:rsidRPr="00473CF3">
        <w:rPr>
          <w:sz w:val="24"/>
          <w:szCs w:val="24"/>
          <w:lang w:val="lt-LT"/>
        </w:rPr>
        <w:t>tis</w:t>
      </w:r>
      <w:r w:rsidR="006A5BC7" w:rsidRPr="00473CF3">
        <w:rPr>
          <w:sz w:val="24"/>
          <w:szCs w:val="24"/>
          <w:lang w:val="lt-LT"/>
        </w:rPr>
        <w:t xml:space="preserve"> </w:t>
      </w:r>
      <w:r w:rsidR="00880211" w:rsidRPr="00473CF3">
        <w:rPr>
          <w:sz w:val="24"/>
          <w:szCs w:val="24"/>
          <w:lang w:val="lt-LT"/>
        </w:rPr>
        <w:t>nustato, kad</w:t>
      </w:r>
      <w:r w:rsidR="00880211" w:rsidRPr="00473CF3">
        <w:rPr>
          <w:bCs/>
          <w:sz w:val="24"/>
          <w:szCs w:val="24"/>
          <w:lang w:val="lt-LT"/>
        </w:rPr>
        <w:t xml:space="preserve"> tik vadovaudamasis savivaldybės tarybos sprendimais</w:t>
      </w:r>
      <w:r w:rsidR="00880211" w:rsidRPr="00473CF3">
        <w:rPr>
          <w:b/>
          <w:bCs/>
          <w:sz w:val="24"/>
          <w:szCs w:val="24"/>
          <w:lang w:val="lt-LT"/>
        </w:rPr>
        <w:t xml:space="preserve"> </w:t>
      </w:r>
      <w:r w:rsidR="00880211" w:rsidRPr="00473CF3">
        <w:rPr>
          <w:bCs/>
          <w:sz w:val="24"/>
          <w:szCs w:val="24"/>
          <w:lang w:val="lt-LT"/>
        </w:rPr>
        <w:t>dėl konkrečios bendrovės savivaldybės administracijos direktorius gali suteikti įgaliojimus</w:t>
      </w:r>
      <w:r w:rsidR="00880211" w:rsidRPr="00473CF3">
        <w:rPr>
          <w:sz w:val="24"/>
          <w:szCs w:val="24"/>
          <w:lang w:val="lt-LT"/>
        </w:rPr>
        <w:t xml:space="preserve"> balsuoti už</w:t>
      </w:r>
      <w:r w:rsidR="00985449" w:rsidRPr="00473CF3">
        <w:rPr>
          <w:sz w:val="24"/>
          <w:szCs w:val="24"/>
          <w:lang w:val="lt-LT"/>
        </w:rPr>
        <w:t xml:space="preserve"> (priimti rašytinį sprendimą)</w:t>
      </w:r>
      <w:r w:rsidR="00880211" w:rsidRPr="00473CF3">
        <w:rPr>
          <w:b/>
          <w:sz w:val="24"/>
          <w:szCs w:val="24"/>
          <w:lang w:val="lt-LT"/>
        </w:rPr>
        <w:t xml:space="preserve"> </w:t>
      </w:r>
      <w:r w:rsidR="00880211" w:rsidRPr="00473CF3">
        <w:rPr>
          <w:sz w:val="24"/>
          <w:szCs w:val="24"/>
          <w:lang w:val="lt-LT"/>
        </w:rPr>
        <w:t>bendrovės įstatinio kapitalo didinimą</w:t>
      </w:r>
      <w:r w:rsidR="00880211" w:rsidRPr="00473CF3">
        <w:rPr>
          <w:b/>
          <w:sz w:val="24"/>
          <w:szCs w:val="24"/>
          <w:lang w:val="lt-LT"/>
        </w:rPr>
        <w:t xml:space="preserve"> </w:t>
      </w:r>
      <w:r w:rsidR="00880211" w:rsidRPr="00473CF3">
        <w:rPr>
          <w:sz w:val="24"/>
          <w:szCs w:val="24"/>
          <w:lang w:val="lt-LT"/>
        </w:rPr>
        <w:t>papildomais įnašais, kai savivaldybei nuosavybės teise priklauso akcijos, suteikiančios daugiau kaip 1/2 visų balsų.</w:t>
      </w:r>
      <w:r w:rsidR="00A55234" w:rsidRPr="00473CF3">
        <w:rPr>
          <w:sz w:val="24"/>
          <w:szCs w:val="24"/>
          <w:lang w:val="lt-LT"/>
        </w:rPr>
        <w:t xml:space="preserve"> </w:t>
      </w:r>
    </w:p>
    <w:p w:rsidR="00571C80" w:rsidRPr="008532BF" w:rsidRDefault="00EB5E27" w:rsidP="00AD2E7C">
      <w:pPr>
        <w:ind w:firstLine="709"/>
        <w:jc w:val="both"/>
        <w:rPr>
          <w:sz w:val="22"/>
          <w:szCs w:val="22"/>
          <w:lang w:val="lt-LT"/>
        </w:rPr>
      </w:pPr>
      <w:r w:rsidRPr="00473CF3">
        <w:rPr>
          <w:sz w:val="24"/>
          <w:szCs w:val="24"/>
          <w:lang w:val="lt-LT"/>
        </w:rPr>
        <w:lastRenderedPageBreak/>
        <w:t>Vadovaujantis Lietuvos Respublikos akcinių bendrovių įstatymo 49</w:t>
      </w:r>
      <w:r w:rsidR="001A1397" w:rsidRPr="00473CF3">
        <w:rPr>
          <w:sz w:val="24"/>
          <w:szCs w:val="24"/>
          <w:lang w:val="lt-LT"/>
        </w:rPr>
        <w:t xml:space="preserve"> straipsnio 2 dalimi ir 50 strai</w:t>
      </w:r>
      <w:r w:rsidRPr="00473CF3">
        <w:rPr>
          <w:sz w:val="24"/>
          <w:szCs w:val="24"/>
          <w:lang w:val="lt-LT"/>
        </w:rPr>
        <w:t xml:space="preserve">psnio 1 dalimi, bendrovės įstatinis kapitalas papildomais akcininkų įnašais didinamas tik išleidžiant naujas akcijas. </w:t>
      </w:r>
      <w:r w:rsidR="005C6285" w:rsidRPr="00473CF3">
        <w:rPr>
          <w:sz w:val="24"/>
          <w:szCs w:val="24"/>
          <w:lang w:val="lt-LT"/>
        </w:rPr>
        <w:t xml:space="preserve">Įstatymo 45 straipsnio </w:t>
      </w:r>
      <w:r w:rsidR="00390F5F" w:rsidRPr="00473CF3">
        <w:rPr>
          <w:sz w:val="24"/>
          <w:szCs w:val="24"/>
          <w:lang w:val="lt-LT"/>
        </w:rPr>
        <w:t>2 dalis reglamentuoja, kad akcijos emisijos kaina turi būti ne mažesnė už jos nominalią vertę</w:t>
      </w:r>
      <w:r w:rsidR="00390F5F" w:rsidRPr="008532BF">
        <w:rPr>
          <w:sz w:val="24"/>
          <w:szCs w:val="24"/>
          <w:lang w:val="lt-LT"/>
        </w:rPr>
        <w:t xml:space="preserve">. </w:t>
      </w:r>
      <w:r w:rsidR="009637D6" w:rsidRPr="008532BF">
        <w:rPr>
          <w:color w:val="000000"/>
          <w:sz w:val="24"/>
          <w:szCs w:val="24"/>
          <w:lang w:val="lt-LT"/>
        </w:rPr>
        <w:t>To pati</w:t>
      </w:r>
      <w:r w:rsidR="00800226" w:rsidRPr="008532BF">
        <w:rPr>
          <w:color w:val="000000"/>
          <w:sz w:val="24"/>
          <w:szCs w:val="24"/>
          <w:lang w:val="lt-LT"/>
        </w:rPr>
        <w:t xml:space="preserve">es straipsnio 1 dalis </w:t>
      </w:r>
      <w:r w:rsidR="009637D6" w:rsidRPr="008532BF">
        <w:rPr>
          <w:color w:val="000000"/>
          <w:sz w:val="24"/>
          <w:szCs w:val="24"/>
          <w:lang w:val="lt-LT"/>
        </w:rPr>
        <w:t>nustato, kad a</w:t>
      </w:r>
      <w:r w:rsidR="00800226" w:rsidRPr="008532BF">
        <w:rPr>
          <w:color w:val="000000"/>
          <w:sz w:val="24"/>
          <w:szCs w:val="24"/>
          <w:lang w:val="lt-LT"/>
        </w:rPr>
        <w:t>kcijos gali būti apmokamos akcijas apmokančiam asmeniui nuosavybės teise priklausančiais nepiniginiais įnašais.</w:t>
      </w:r>
      <w:r w:rsidR="00800226" w:rsidRPr="008532BF">
        <w:rPr>
          <w:color w:val="000000"/>
          <w:sz w:val="22"/>
          <w:szCs w:val="22"/>
          <w:lang w:val="lt-LT"/>
        </w:rPr>
        <w:t> </w:t>
      </w:r>
    </w:p>
    <w:p w:rsidR="00C42D16" w:rsidRPr="003D6B1C" w:rsidRDefault="00222C7E" w:rsidP="003D6B1C">
      <w:pPr>
        <w:pStyle w:val="Pagrindinistekstas"/>
        <w:tabs>
          <w:tab w:val="left" w:pos="9639"/>
        </w:tabs>
        <w:spacing w:line="240" w:lineRule="auto"/>
        <w:ind w:firstLine="720"/>
        <w:jc w:val="both"/>
      </w:pPr>
      <w:r>
        <w:rPr>
          <w:szCs w:val="24"/>
        </w:rPr>
        <w:t>V</w:t>
      </w:r>
      <w:r w:rsidR="003D6B1C">
        <w:rPr>
          <w:szCs w:val="24"/>
        </w:rPr>
        <w:t xml:space="preserve">adovaujantis </w:t>
      </w:r>
      <w:r w:rsidR="003D6B1C" w:rsidRPr="00473CF3">
        <w:t>Sprendimo investuoti valstybės ir savivaldybių turtą priėmimo tvarkos aprašo, patvirtinto Lietuvos Respublikos 2007 m. liepos 4 d. nutarimo Nr. 758 „Dėl sprendimo investuoti valstybės ir savivaldybių turtą priėmimo tvarkos aprašo patvirtinimo“ 7 punkt</w:t>
      </w:r>
      <w:r w:rsidR="003D6B1C">
        <w:t>u, kuris</w:t>
      </w:r>
      <w:r w:rsidR="003D6B1C" w:rsidRPr="00473CF3">
        <w:t xml:space="preserve"> įtvirtina, kad pasiūlymus Savivaldybės tarybai dėl sprendimo investuoti savivaldybės turtą priėmimo teikia savi</w:t>
      </w:r>
      <w:r w:rsidR="003D6B1C">
        <w:t xml:space="preserve">valdybės vykdomoji institucija, </w:t>
      </w:r>
      <w:r w:rsidR="00AD2E7C" w:rsidRPr="00473CF3">
        <w:rPr>
          <w:szCs w:val="24"/>
        </w:rPr>
        <w:t>siūloma</w:t>
      </w:r>
      <w:r w:rsidR="00C42D16" w:rsidRPr="00473CF3">
        <w:rPr>
          <w:szCs w:val="24"/>
        </w:rPr>
        <w:t xml:space="preserve"> priimti sprendimą dėl </w:t>
      </w:r>
      <w:r w:rsidR="009070E9" w:rsidRPr="00473CF3">
        <w:rPr>
          <w:szCs w:val="24"/>
        </w:rPr>
        <w:t>Sav</w:t>
      </w:r>
      <w:r w:rsidR="00C42D16" w:rsidRPr="00473CF3">
        <w:rPr>
          <w:szCs w:val="24"/>
        </w:rPr>
        <w:t>ivaldybei</w:t>
      </w:r>
      <w:r w:rsidR="009070E9" w:rsidRPr="00473CF3">
        <w:rPr>
          <w:szCs w:val="24"/>
        </w:rPr>
        <w:t xml:space="preserve"> nuosavybės teise priklausan</w:t>
      </w:r>
      <w:r w:rsidR="00C42D16" w:rsidRPr="00473CF3">
        <w:rPr>
          <w:szCs w:val="24"/>
        </w:rPr>
        <w:t>čio</w:t>
      </w:r>
      <w:r w:rsidR="009070E9" w:rsidRPr="00473CF3">
        <w:rPr>
          <w:szCs w:val="24"/>
        </w:rPr>
        <w:t xml:space="preserve"> </w:t>
      </w:r>
      <w:r w:rsidR="00C42D16" w:rsidRPr="00473CF3">
        <w:rPr>
          <w:szCs w:val="24"/>
        </w:rPr>
        <w:t xml:space="preserve">ilgalaikio </w:t>
      </w:r>
      <w:r>
        <w:rPr>
          <w:szCs w:val="24"/>
        </w:rPr>
        <w:t xml:space="preserve">ir trumpalaikio </w:t>
      </w:r>
      <w:r w:rsidR="00C42D16" w:rsidRPr="00473CF3">
        <w:rPr>
          <w:szCs w:val="24"/>
        </w:rPr>
        <w:t xml:space="preserve">materialiojo </w:t>
      </w:r>
      <w:r w:rsidR="009070E9" w:rsidRPr="00473CF3">
        <w:rPr>
          <w:szCs w:val="24"/>
        </w:rPr>
        <w:t>turt</w:t>
      </w:r>
      <w:r w:rsidR="00C42D16" w:rsidRPr="00473CF3">
        <w:rPr>
          <w:szCs w:val="24"/>
        </w:rPr>
        <w:t>o,</w:t>
      </w:r>
      <w:r w:rsidR="009070E9" w:rsidRPr="00473CF3">
        <w:rPr>
          <w:szCs w:val="24"/>
        </w:rPr>
        <w:t xml:space="preserve"> </w:t>
      </w:r>
      <w:r w:rsidR="00C42D16" w:rsidRPr="00473CF3">
        <w:rPr>
          <w:szCs w:val="24"/>
        </w:rPr>
        <w:t xml:space="preserve">nurodyto sprendimo priede, </w:t>
      </w:r>
      <w:r w:rsidR="00111199" w:rsidRPr="00473CF3">
        <w:rPr>
          <w:szCs w:val="24"/>
        </w:rPr>
        <w:t xml:space="preserve">kurio rinkos vertė </w:t>
      </w:r>
      <w:r>
        <w:rPr>
          <w:szCs w:val="24"/>
        </w:rPr>
        <w:t>1 458 452</w:t>
      </w:r>
      <w:r w:rsidR="00111199" w:rsidRPr="00473CF3">
        <w:rPr>
          <w:szCs w:val="24"/>
        </w:rPr>
        <w:t xml:space="preserve"> Eur, </w:t>
      </w:r>
      <w:r w:rsidR="00C42D16" w:rsidRPr="00473CF3">
        <w:rPr>
          <w:szCs w:val="24"/>
        </w:rPr>
        <w:t>perdavimo, kaip savivaldybės turtinį įnašą, uždarajai akcinei bendrovei „Gatvių apšvietimas“, didinant šios Bendrovės įstatinį kapitalą. Šiuo nepiniginiu įnašu numatant</w:t>
      </w:r>
      <w:r w:rsidR="00DF4127" w:rsidRPr="00473CF3">
        <w:rPr>
          <w:szCs w:val="24"/>
        </w:rPr>
        <w:t xml:space="preserve"> įsigyti ir apmokėti </w:t>
      </w:r>
      <w:r w:rsidR="003204EF" w:rsidRPr="00473CF3">
        <w:rPr>
          <w:szCs w:val="24"/>
        </w:rPr>
        <w:t xml:space="preserve">Bendrovės </w:t>
      </w:r>
      <w:r w:rsidR="00C42D16" w:rsidRPr="00473CF3">
        <w:rPr>
          <w:szCs w:val="24"/>
        </w:rPr>
        <w:t>išleidžiam</w:t>
      </w:r>
      <w:r w:rsidR="00DF4127" w:rsidRPr="00473CF3">
        <w:rPr>
          <w:szCs w:val="24"/>
        </w:rPr>
        <w:t>as</w:t>
      </w:r>
      <w:r w:rsidR="00C42D16" w:rsidRPr="00473CF3">
        <w:rPr>
          <w:szCs w:val="24"/>
        </w:rPr>
        <w:t xml:space="preserve"> 0,29 Eur nominalios vertės </w:t>
      </w:r>
      <w:r>
        <w:rPr>
          <w:szCs w:val="24"/>
        </w:rPr>
        <w:t>5 029 144</w:t>
      </w:r>
      <w:r w:rsidR="00C42D16" w:rsidRPr="00473CF3">
        <w:rPr>
          <w:szCs w:val="24"/>
        </w:rPr>
        <w:t> vienet</w:t>
      </w:r>
      <w:r w:rsidR="00DF4127" w:rsidRPr="00473CF3">
        <w:rPr>
          <w:szCs w:val="24"/>
        </w:rPr>
        <w:t>us</w:t>
      </w:r>
      <w:r w:rsidR="00C42D16" w:rsidRPr="00473CF3">
        <w:rPr>
          <w:color w:val="000000"/>
          <w:spacing w:val="-3"/>
          <w:szCs w:val="24"/>
        </w:rPr>
        <w:t xml:space="preserve"> paprast</w:t>
      </w:r>
      <w:r>
        <w:rPr>
          <w:color w:val="000000"/>
          <w:spacing w:val="-3"/>
          <w:szCs w:val="24"/>
        </w:rPr>
        <w:t>ųjų</w:t>
      </w:r>
      <w:r w:rsidR="00C42D16" w:rsidRPr="00473CF3">
        <w:rPr>
          <w:color w:val="000000"/>
          <w:spacing w:val="-3"/>
          <w:szCs w:val="24"/>
        </w:rPr>
        <w:t xml:space="preserve"> vardin</w:t>
      </w:r>
      <w:r>
        <w:rPr>
          <w:color w:val="000000"/>
          <w:spacing w:val="-3"/>
          <w:szCs w:val="24"/>
        </w:rPr>
        <w:t xml:space="preserve">ių </w:t>
      </w:r>
      <w:r w:rsidR="00C42D16" w:rsidRPr="00473CF3">
        <w:rPr>
          <w:color w:val="000000"/>
          <w:spacing w:val="-3"/>
          <w:szCs w:val="24"/>
        </w:rPr>
        <w:t>akcij</w:t>
      </w:r>
      <w:r>
        <w:rPr>
          <w:color w:val="000000"/>
          <w:spacing w:val="-3"/>
          <w:szCs w:val="24"/>
        </w:rPr>
        <w:t>ų</w:t>
      </w:r>
      <w:r w:rsidR="00C42D16" w:rsidRPr="00473CF3">
        <w:rPr>
          <w:szCs w:val="24"/>
        </w:rPr>
        <w:t>, nustatant, kad akcijų emisijos kaina lygi jų nominaliai vertei</w:t>
      </w:r>
      <w:r w:rsidR="00C42D16" w:rsidRPr="00473CF3">
        <w:rPr>
          <w:color w:val="000000"/>
          <w:spacing w:val="-3"/>
          <w:szCs w:val="24"/>
        </w:rPr>
        <w:t xml:space="preserve">. </w:t>
      </w:r>
    </w:p>
    <w:p w:rsidR="00402012" w:rsidRPr="00473CF3" w:rsidRDefault="008A7582" w:rsidP="00A44D8A">
      <w:pPr>
        <w:ind w:firstLine="709"/>
        <w:jc w:val="both"/>
        <w:rPr>
          <w:sz w:val="24"/>
          <w:szCs w:val="24"/>
          <w:lang w:val="lt-LT"/>
        </w:rPr>
      </w:pPr>
      <w:r w:rsidRPr="00473CF3">
        <w:rPr>
          <w:b/>
          <w:sz w:val="24"/>
          <w:szCs w:val="24"/>
          <w:lang w:val="lt-LT"/>
        </w:rPr>
        <w:t xml:space="preserve">3. </w:t>
      </w:r>
      <w:r w:rsidR="007846C2" w:rsidRPr="00473CF3">
        <w:rPr>
          <w:b/>
          <w:sz w:val="24"/>
          <w:szCs w:val="24"/>
          <w:lang w:val="lt-LT"/>
        </w:rPr>
        <w:t>Kokių rezultatų laukiama.</w:t>
      </w:r>
      <w:r w:rsidR="007846C2" w:rsidRPr="00473CF3">
        <w:rPr>
          <w:sz w:val="24"/>
          <w:szCs w:val="24"/>
          <w:lang w:val="lt-LT"/>
        </w:rPr>
        <w:t xml:space="preserve"> </w:t>
      </w:r>
    </w:p>
    <w:p w:rsidR="002A2965" w:rsidRPr="00473CF3" w:rsidRDefault="002A2965" w:rsidP="00874DCA">
      <w:pPr>
        <w:pStyle w:val="Pagrindinistekstas"/>
        <w:tabs>
          <w:tab w:val="left" w:pos="9639"/>
        </w:tabs>
        <w:spacing w:line="240" w:lineRule="auto"/>
        <w:ind w:firstLine="720"/>
        <w:jc w:val="both"/>
        <w:rPr>
          <w:szCs w:val="24"/>
        </w:rPr>
      </w:pPr>
      <w:r w:rsidRPr="00473CF3">
        <w:rPr>
          <w:szCs w:val="24"/>
        </w:rPr>
        <w:t xml:space="preserve">Bus investuotas Savivaldybės </w:t>
      </w:r>
      <w:r w:rsidR="00D03C65" w:rsidRPr="00473CF3">
        <w:rPr>
          <w:szCs w:val="24"/>
        </w:rPr>
        <w:t>ilgalaikis materialus</w:t>
      </w:r>
      <w:r w:rsidRPr="00473CF3">
        <w:rPr>
          <w:szCs w:val="24"/>
        </w:rPr>
        <w:t xml:space="preserve"> turtas ir padidintas </w:t>
      </w:r>
      <w:r w:rsidR="00D03C65" w:rsidRPr="00473CF3">
        <w:rPr>
          <w:szCs w:val="24"/>
        </w:rPr>
        <w:t>uždarosios akcinės bendrovės</w:t>
      </w:r>
      <w:r w:rsidRPr="00473CF3">
        <w:rPr>
          <w:szCs w:val="24"/>
        </w:rPr>
        <w:t xml:space="preserve"> „Gatvių a</w:t>
      </w:r>
      <w:r w:rsidR="00D03C65" w:rsidRPr="00473CF3">
        <w:rPr>
          <w:szCs w:val="24"/>
        </w:rPr>
        <w:t>pšvietimas“ įstatinis kapitalas.</w:t>
      </w:r>
    </w:p>
    <w:p w:rsidR="00DA01AF" w:rsidRPr="00473CF3" w:rsidRDefault="00DA01AF" w:rsidP="00DA01AF">
      <w:pPr>
        <w:pStyle w:val="Pagrindinistekstas"/>
        <w:tabs>
          <w:tab w:val="left" w:pos="9639"/>
        </w:tabs>
        <w:spacing w:line="240" w:lineRule="auto"/>
        <w:ind w:firstLine="720"/>
        <w:rPr>
          <w:szCs w:val="24"/>
        </w:rPr>
      </w:pPr>
      <w:r w:rsidRPr="00473CF3">
        <w:rPr>
          <w:b/>
          <w:szCs w:val="24"/>
        </w:rPr>
        <w:t>4. Sprendimo projekto rengimo metu gauti specialistų vertinimai.</w:t>
      </w:r>
    </w:p>
    <w:p w:rsidR="007846C2" w:rsidRPr="00473CF3" w:rsidRDefault="007846C2" w:rsidP="00DA01AF">
      <w:pPr>
        <w:pStyle w:val="Pagrindinistekstas"/>
        <w:tabs>
          <w:tab w:val="left" w:pos="9639"/>
        </w:tabs>
        <w:spacing w:line="240" w:lineRule="auto"/>
        <w:ind w:left="720" w:firstLine="0"/>
        <w:jc w:val="both"/>
        <w:rPr>
          <w:szCs w:val="24"/>
        </w:rPr>
      </w:pPr>
      <w:r w:rsidRPr="00473CF3">
        <w:rPr>
          <w:szCs w:val="24"/>
        </w:rPr>
        <w:t>Negauta.</w:t>
      </w:r>
    </w:p>
    <w:p w:rsidR="00F15FAE" w:rsidRPr="00473CF3" w:rsidRDefault="008A7582" w:rsidP="00CF52FB">
      <w:pPr>
        <w:pStyle w:val="Pagrindinistekstas"/>
        <w:tabs>
          <w:tab w:val="left" w:pos="9639"/>
        </w:tabs>
        <w:spacing w:line="240" w:lineRule="auto"/>
        <w:ind w:firstLine="720"/>
        <w:jc w:val="both"/>
        <w:rPr>
          <w:szCs w:val="24"/>
        </w:rPr>
      </w:pPr>
      <w:r w:rsidRPr="00473CF3">
        <w:rPr>
          <w:b/>
          <w:szCs w:val="24"/>
        </w:rPr>
        <w:t xml:space="preserve">5. </w:t>
      </w:r>
      <w:r w:rsidR="007846C2" w:rsidRPr="00473CF3">
        <w:rPr>
          <w:b/>
          <w:szCs w:val="24"/>
        </w:rPr>
        <w:t>Išlaidų sąmatos, skaičiavimai, reikalingi pagrindimai ir paaiškinimai.</w:t>
      </w:r>
      <w:r w:rsidR="007846C2" w:rsidRPr="00473CF3">
        <w:rPr>
          <w:szCs w:val="24"/>
        </w:rPr>
        <w:t xml:space="preserve"> </w:t>
      </w:r>
    </w:p>
    <w:p w:rsidR="007C15E5" w:rsidRPr="00473CF3" w:rsidRDefault="005F522D" w:rsidP="00914E83">
      <w:pPr>
        <w:ind w:firstLine="720"/>
        <w:jc w:val="both"/>
        <w:rPr>
          <w:rFonts w:ascii="Calibri" w:hAnsi="Calibri" w:cs="Calibri"/>
          <w:color w:val="000000"/>
          <w:sz w:val="22"/>
          <w:szCs w:val="22"/>
          <w:lang w:val="lt-LT"/>
        </w:rPr>
      </w:pPr>
      <w:r w:rsidRPr="00473CF3">
        <w:rPr>
          <w:sz w:val="24"/>
          <w:szCs w:val="24"/>
          <w:lang w:val="lt-LT"/>
        </w:rPr>
        <w:t xml:space="preserve">Šiuo metu </w:t>
      </w:r>
      <w:r w:rsidR="00914E83" w:rsidRPr="00473CF3">
        <w:rPr>
          <w:sz w:val="24"/>
          <w:szCs w:val="24"/>
          <w:lang w:val="lt-LT"/>
        </w:rPr>
        <w:t>U</w:t>
      </w:r>
      <w:r w:rsidR="00173643" w:rsidRPr="00473CF3">
        <w:rPr>
          <w:sz w:val="24"/>
          <w:szCs w:val="24"/>
          <w:lang w:val="lt-LT"/>
        </w:rPr>
        <w:t>AB „</w:t>
      </w:r>
      <w:r w:rsidR="00DD304B" w:rsidRPr="00473CF3">
        <w:rPr>
          <w:sz w:val="24"/>
          <w:szCs w:val="24"/>
          <w:lang w:val="lt-LT"/>
        </w:rPr>
        <w:t>Gatvių apšvietimas</w:t>
      </w:r>
      <w:r w:rsidR="00126F73">
        <w:rPr>
          <w:sz w:val="24"/>
          <w:szCs w:val="24"/>
          <w:lang w:val="lt-LT"/>
        </w:rPr>
        <w:t xml:space="preserve">“ </w:t>
      </w:r>
      <w:r w:rsidR="00173643" w:rsidRPr="00473CF3">
        <w:rPr>
          <w:sz w:val="24"/>
          <w:szCs w:val="24"/>
          <w:lang w:val="lt-LT"/>
        </w:rPr>
        <w:t>įstatini</w:t>
      </w:r>
      <w:r w:rsidR="00420CB6" w:rsidRPr="00473CF3">
        <w:rPr>
          <w:sz w:val="24"/>
          <w:szCs w:val="24"/>
          <w:lang w:val="lt-LT"/>
        </w:rPr>
        <w:t xml:space="preserve">o kapitalo dydis </w:t>
      </w:r>
      <w:r w:rsidR="00A130E8">
        <w:rPr>
          <w:color w:val="000000"/>
          <w:sz w:val="24"/>
          <w:szCs w:val="24"/>
          <w:lang w:val="lt-LT"/>
        </w:rPr>
        <w:t>6 121 263,</w:t>
      </w:r>
      <w:r w:rsidR="00126F73">
        <w:rPr>
          <w:color w:val="000000"/>
          <w:sz w:val="24"/>
          <w:szCs w:val="24"/>
          <w:lang w:val="lt-LT"/>
        </w:rPr>
        <w:t xml:space="preserve">16 </w:t>
      </w:r>
      <w:r w:rsidR="00420CB6" w:rsidRPr="00473CF3">
        <w:rPr>
          <w:sz w:val="24"/>
          <w:szCs w:val="24"/>
          <w:lang w:val="lt-LT"/>
        </w:rPr>
        <w:t>Eur</w:t>
      </w:r>
      <w:r w:rsidR="00173643" w:rsidRPr="00473CF3">
        <w:rPr>
          <w:b/>
          <w:sz w:val="24"/>
          <w:szCs w:val="24"/>
          <w:lang w:val="lt-LT"/>
        </w:rPr>
        <w:t>,</w:t>
      </w:r>
      <w:r w:rsidR="00C63FE8" w:rsidRPr="00473CF3">
        <w:rPr>
          <w:sz w:val="24"/>
          <w:szCs w:val="24"/>
          <w:lang w:val="lt-LT"/>
        </w:rPr>
        <w:t xml:space="preserve"> </w:t>
      </w:r>
      <w:r w:rsidRPr="00473CF3">
        <w:rPr>
          <w:sz w:val="24"/>
          <w:szCs w:val="24"/>
          <w:lang w:val="lt-LT"/>
        </w:rPr>
        <w:t xml:space="preserve">po padidinimo, bendrovės įstatinis kapitalas sudarytų </w:t>
      </w:r>
      <w:r w:rsidR="00126F73">
        <w:rPr>
          <w:sz w:val="24"/>
          <w:szCs w:val="24"/>
          <w:lang w:val="lt-LT"/>
        </w:rPr>
        <w:t>7 579 714,92</w:t>
      </w:r>
      <w:r w:rsidR="00C45D12" w:rsidRPr="00473CF3">
        <w:rPr>
          <w:sz w:val="24"/>
          <w:szCs w:val="24"/>
          <w:lang w:val="lt-LT"/>
        </w:rPr>
        <w:t xml:space="preserve"> </w:t>
      </w:r>
      <w:r w:rsidRPr="00473CF3">
        <w:rPr>
          <w:sz w:val="24"/>
          <w:szCs w:val="24"/>
          <w:lang w:val="lt-LT"/>
        </w:rPr>
        <w:t xml:space="preserve">Eur. </w:t>
      </w:r>
      <w:r w:rsidR="001A7B9F" w:rsidRPr="00473CF3">
        <w:rPr>
          <w:sz w:val="24"/>
          <w:szCs w:val="24"/>
          <w:lang w:val="lt-LT"/>
        </w:rPr>
        <w:t xml:space="preserve">Pokyčiai </w:t>
      </w:r>
      <w:r w:rsidR="00060056" w:rsidRPr="00473CF3">
        <w:rPr>
          <w:sz w:val="24"/>
          <w:szCs w:val="24"/>
          <w:lang w:val="lt-LT"/>
        </w:rPr>
        <w:t>vienintelio</w:t>
      </w:r>
      <w:r w:rsidR="001A7B9F" w:rsidRPr="00473CF3">
        <w:rPr>
          <w:sz w:val="24"/>
          <w:szCs w:val="24"/>
          <w:lang w:val="lt-LT"/>
        </w:rPr>
        <w:t xml:space="preserve"> </w:t>
      </w:r>
      <w:r w:rsidR="00060056" w:rsidRPr="00473CF3">
        <w:rPr>
          <w:sz w:val="24"/>
          <w:szCs w:val="24"/>
          <w:lang w:val="lt-LT"/>
        </w:rPr>
        <w:t>akcininko</w:t>
      </w:r>
      <w:r w:rsidR="001A7B9F" w:rsidRPr="00473CF3">
        <w:rPr>
          <w:sz w:val="24"/>
          <w:szCs w:val="24"/>
          <w:lang w:val="lt-LT"/>
        </w:rPr>
        <w:t xml:space="preserve"> atžvilgiu nurodyti lentelėje: </w:t>
      </w:r>
    </w:p>
    <w:tbl>
      <w:tblPr>
        <w:tblStyle w:val="Lentelstinklelis"/>
        <w:tblW w:w="0" w:type="auto"/>
        <w:tblLook w:val="01E0" w:firstRow="1" w:lastRow="1" w:firstColumn="1" w:lastColumn="1" w:noHBand="0" w:noVBand="0"/>
      </w:tblPr>
      <w:tblGrid>
        <w:gridCol w:w="556"/>
        <w:gridCol w:w="1991"/>
        <w:gridCol w:w="1843"/>
        <w:gridCol w:w="1701"/>
        <w:gridCol w:w="1984"/>
        <w:gridCol w:w="1553"/>
      </w:tblGrid>
      <w:tr w:rsidR="00173643" w:rsidRPr="00473CF3" w:rsidTr="00C5739F">
        <w:trPr>
          <w:trHeight w:val="821"/>
        </w:trPr>
        <w:tc>
          <w:tcPr>
            <w:tcW w:w="556" w:type="dxa"/>
          </w:tcPr>
          <w:p w:rsidR="00173643" w:rsidRPr="00473CF3" w:rsidRDefault="00173643" w:rsidP="00BC5E06">
            <w:pPr>
              <w:rPr>
                <w:lang w:val="lt-LT"/>
              </w:rPr>
            </w:pPr>
            <w:r w:rsidRPr="00473CF3">
              <w:rPr>
                <w:lang w:val="lt-LT"/>
              </w:rPr>
              <w:t>Eil. Nr.</w:t>
            </w:r>
          </w:p>
        </w:tc>
        <w:tc>
          <w:tcPr>
            <w:tcW w:w="1991" w:type="dxa"/>
          </w:tcPr>
          <w:p w:rsidR="00173643" w:rsidRPr="00473CF3" w:rsidRDefault="00173643" w:rsidP="00BC5E06">
            <w:pPr>
              <w:jc w:val="center"/>
              <w:rPr>
                <w:lang w:val="lt-LT"/>
              </w:rPr>
            </w:pPr>
            <w:r w:rsidRPr="00473CF3">
              <w:rPr>
                <w:lang w:val="lt-LT"/>
              </w:rPr>
              <w:t>Akcininkas</w:t>
            </w:r>
          </w:p>
        </w:tc>
        <w:tc>
          <w:tcPr>
            <w:tcW w:w="1843" w:type="dxa"/>
          </w:tcPr>
          <w:p w:rsidR="00173643" w:rsidRPr="00473CF3" w:rsidRDefault="00173643" w:rsidP="00BC5E06">
            <w:pPr>
              <w:jc w:val="center"/>
              <w:rPr>
                <w:lang w:val="lt-LT"/>
              </w:rPr>
            </w:pPr>
            <w:r w:rsidRPr="00473CF3">
              <w:rPr>
                <w:lang w:val="lt-LT"/>
              </w:rPr>
              <w:t>Akcijų skaičius vnt. prieš kapitalo padidinimą</w:t>
            </w:r>
          </w:p>
        </w:tc>
        <w:tc>
          <w:tcPr>
            <w:tcW w:w="1701" w:type="dxa"/>
          </w:tcPr>
          <w:p w:rsidR="00173643" w:rsidRPr="00473CF3" w:rsidRDefault="00173643" w:rsidP="00BC5E06">
            <w:pPr>
              <w:jc w:val="center"/>
              <w:rPr>
                <w:lang w:val="lt-LT"/>
              </w:rPr>
            </w:pPr>
            <w:r w:rsidRPr="00473CF3">
              <w:rPr>
                <w:lang w:val="lt-LT"/>
              </w:rPr>
              <w:t>Akcijų dalis proc. prieš kapitalo padidinimą</w:t>
            </w:r>
          </w:p>
        </w:tc>
        <w:tc>
          <w:tcPr>
            <w:tcW w:w="1984" w:type="dxa"/>
          </w:tcPr>
          <w:p w:rsidR="00173643" w:rsidRPr="00473CF3" w:rsidRDefault="00173643" w:rsidP="00C87EC6">
            <w:pPr>
              <w:jc w:val="center"/>
              <w:rPr>
                <w:lang w:val="lt-LT"/>
              </w:rPr>
            </w:pPr>
            <w:r w:rsidRPr="00473CF3">
              <w:rPr>
                <w:lang w:val="lt-LT"/>
              </w:rPr>
              <w:t>Akcijų skaičius vnt. po kapitalo padidinimo</w:t>
            </w:r>
            <w:r w:rsidR="002B3EA3" w:rsidRPr="00473CF3">
              <w:rPr>
                <w:lang w:val="lt-LT"/>
              </w:rPr>
              <w:t xml:space="preserve"> </w:t>
            </w:r>
            <w:r w:rsidR="00AC384E" w:rsidRPr="00473CF3">
              <w:rPr>
                <w:lang w:val="lt-LT"/>
              </w:rPr>
              <w:br/>
            </w:r>
            <w:r w:rsidR="00C87EC6">
              <w:rPr>
                <w:lang w:val="lt-LT"/>
              </w:rPr>
              <w:t>5 029 144</w:t>
            </w:r>
            <w:r w:rsidR="002B3EA3" w:rsidRPr="00473CF3">
              <w:rPr>
                <w:lang w:val="lt-LT"/>
              </w:rPr>
              <w:t xml:space="preserve"> vnt. akcijų</w:t>
            </w:r>
          </w:p>
        </w:tc>
        <w:tc>
          <w:tcPr>
            <w:tcW w:w="1553" w:type="dxa"/>
          </w:tcPr>
          <w:p w:rsidR="00173643" w:rsidRPr="00473CF3" w:rsidRDefault="00173643" w:rsidP="00BC5E06">
            <w:pPr>
              <w:jc w:val="center"/>
              <w:rPr>
                <w:lang w:val="lt-LT"/>
              </w:rPr>
            </w:pPr>
            <w:r w:rsidRPr="00473CF3">
              <w:rPr>
                <w:lang w:val="lt-LT"/>
              </w:rPr>
              <w:t>Akcijų dalis proc. po kapitalo padidinimo</w:t>
            </w:r>
          </w:p>
        </w:tc>
      </w:tr>
      <w:tr w:rsidR="00173643" w:rsidRPr="00473CF3" w:rsidTr="00C5739F">
        <w:trPr>
          <w:trHeight w:val="309"/>
        </w:trPr>
        <w:tc>
          <w:tcPr>
            <w:tcW w:w="556" w:type="dxa"/>
          </w:tcPr>
          <w:p w:rsidR="00173643" w:rsidRPr="00473CF3" w:rsidRDefault="00173643" w:rsidP="00517E6E">
            <w:pPr>
              <w:jc w:val="both"/>
              <w:rPr>
                <w:lang w:val="lt-LT"/>
              </w:rPr>
            </w:pPr>
            <w:r w:rsidRPr="00473CF3">
              <w:rPr>
                <w:lang w:val="lt-LT"/>
              </w:rPr>
              <w:t>1.</w:t>
            </w:r>
          </w:p>
        </w:tc>
        <w:tc>
          <w:tcPr>
            <w:tcW w:w="1991" w:type="dxa"/>
          </w:tcPr>
          <w:p w:rsidR="00173643" w:rsidRPr="00473CF3" w:rsidRDefault="00173643" w:rsidP="00BC5E06">
            <w:pPr>
              <w:rPr>
                <w:lang w:val="lt-LT"/>
              </w:rPr>
            </w:pPr>
            <w:r w:rsidRPr="00473CF3">
              <w:rPr>
                <w:lang w:val="lt-LT"/>
              </w:rPr>
              <w:t>Klaipėdos miesto savivaldybė</w:t>
            </w:r>
          </w:p>
        </w:tc>
        <w:tc>
          <w:tcPr>
            <w:tcW w:w="1843" w:type="dxa"/>
            <w:vAlign w:val="center"/>
          </w:tcPr>
          <w:p w:rsidR="00173643" w:rsidRPr="00473CF3" w:rsidRDefault="00126F73" w:rsidP="00173643">
            <w:pPr>
              <w:jc w:val="center"/>
              <w:rPr>
                <w:lang w:val="lt-LT"/>
              </w:rPr>
            </w:pPr>
            <w:r w:rsidRPr="00473CF3">
              <w:rPr>
                <w:color w:val="000000"/>
                <w:lang w:val="lt-LT"/>
              </w:rPr>
              <w:t>21 107 804</w:t>
            </w:r>
          </w:p>
        </w:tc>
        <w:tc>
          <w:tcPr>
            <w:tcW w:w="1701" w:type="dxa"/>
            <w:vAlign w:val="center"/>
          </w:tcPr>
          <w:p w:rsidR="00173643" w:rsidRPr="00473CF3" w:rsidRDefault="00213913" w:rsidP="00173643">
            <w:pPr>
              <w:jc w:val="center"/>
              <w:rPr>
                <w:lang w:val="lt-LT"/>
              </w:rPr>
            </w:pPr>
            <w:r w:rsidRPr="00473CF3">
              <w:rPr>
                <w:lang w:val="lt-LT"/>
              </w:rPr>
              <w:t>100</w:t>
            </w:r>
          </w:p>
        </w:tc>
        <w:tc>
          <w:tcPr>
            <w:tcW w:w="1984" w:type="dxa"/>
            <w:vAlign w:val="center"/>
          </w:tcPr>
          <w:p w:rsidR="00173643" w:rsidRPr="00473CF3" w:rsidRDefault="00126F73" w:rsidP="00107917">
            <w:pPr>
              <w:jc w:val="center"/>
              <w:rPr>
                <w:color w:val="000000"/>
                <w:lang w:val="lt-LT"/>
              </w:rPr>
            </w:pPr>
            <w:r>
              <w:rPr>
                <w:color w:val="000000"/>
                <w:lang w:val="lt-LT"/>
              </w:rPr>
              <w:t>26 136 948</w:t>
            </w:r>
          </w:p>
        </w:tc>
        <w:tc>
          <w:tcPr>
            <w:tcW w:w="1553" w:type="dxa"/>
            <w:vAlign w:val="center"/>
          </w:tcPr>
          <w:p w:rsidR="00173643" w:rsidRPr="00473CF3" w:rsidRDefault="00F65150" w:rsidP="008E7BB5">
            <w:pPr>
              <w:jc w:val="center"/>
              <w:rPr>
                <w:lang w:val="lt-LT"/>
              </w:rPr>
            </w:pPr>
            <w:r w:rsidRPr="00473CF3">
              <w:rPr>
                <w:lang w:val="lt-LT"/>
              </w:rPr>
              <w:t>100</w:t>
            </w:r>
          </w:p>
        </w:tc>
      </w:tr>
    </w:tbl>
    <w:p w:rsidR="002A2965" w:rsidRPr="00473CF3" w:rsidRDefault="00F54C29" w:rsidP="0084047B">
      <w:pPr>
        <w:pStyle w:val="Pagrindinistekstas"/>
        <w:tabs>
          <w:tab w:val="left" w:pos="9639"/>
        </w:tabs>
        <w:spacing w:line="240" w:lineRule="auto"/>
        <w:ind w:firstLine="0"/>
        <w:jc w:val="both"/>
        <w:rPr>
          <w:szCs w:val="24"/>
        </w:rPr>
      </w:pPr>
      <w:r w:rsidRPr="00473CF3">
        <w:rPr>
          <w:szCs w:val="24"/>
        </w:rPr>
        <w:t xml:space="preserve">            </w:t>
      </w:r>
      <w:r w:rsidR="008A7582" w:rsidRPr="00473CF3">
        <w:rPr>
          <w:b/>
          <w:szCs w:val="24"/>
        </w:rPr>
        <w:t xml:space="preserve">6. </w:t>
      </w:r>
      <w:r w:rsidR="007846C2" w:rsidRPr="00473CF3">
        <w:rPr>
          <w:b/>
          <w:szCs w:val="24"/>
        </w:rPr>
        <w:t>Lėšų poreikis sprendimo įgyvendinimui.</w:t>
      </w:r>
      <w:r w:rsidR="007846C2" w:rsidRPr="00473CF3">
        <w:rPr>
          <w:szCs w:val="24"/>
        </w:rPr>
        <w:t xml:space="preserve"> Savivaldybės biudžeto lėš</w:t>
      </w:r>
      <w:r w:rsidR="00B86B43" w:rsidRPr="00473CF3">
        <w:rPr>
          <w:szCs w:val="24"/>
        </w:rPr>
        <w:t>oms</w:t>
      </w:r>
      <w:r w:rsidR="003052DC" w:rsidRPr="00473CF3">
        <w:rPr>
          <w:szCs w:val="24"/>
        </w:rPr>
        <w:t xml:space="preserve"> poreikio nėra</w:t>
      </w:r>
      <w:r w:rsidR="007846C2" w:rsidRPr="00473CF3">
        <w:rPr>
          <w:szCs w:val="24"/>
        </w:rPr>
        <w:t>.</w:t>
      </w:r>
    </w:p>
    <w:p w:rsidR="00807258" w:rsidRPr="00473CF3" w:rsidRDefault="008A7582" w:rsidP="00CF52FB">
      <w:pPr>
        <w:pStyle w:val="Pagrindinistekstas"/>
        <w:tabs>
          <w:tab w:val="left" w:pos="9639"/>
        </w:tabs>
        <w:spacing w:line="240" w:lineRule="auto"/>
        <w:ind w:firstLine="720"/>
        <w:jc w:val="both"/>
        <w:rPr>
          <w:b/>
          <w:szCs w:val="24"/>
        </w:rPr>
      </w:pPr>
      <w:r w:rsidRPr="00473CF3">
        <w:rPr>
          <w:b/>
          <w:szCs w:val="24"/>
        </w:rPr>
        <w:t xml:space="preserve">7. </w:t>
      </w:r>
      <w:r w:rsidR="007846C2" w:rsidRPr="00473CF3">
        <w:rPr>
          <w:b/>
          <w:szCs w:val="24"/>
        </w:rPr>
        <w:t>Galimos teigiamos ar neigiamos sprendimo priėmimo pasekmės.</w:t>
      </w:r>
    </w:p>
    <w:p w:rsidR="00B65C69" w:rsidRPr="00473CF3" w:rsidRDefault="0035401F" w:rsidP="00C5739F">
      <w:pPr>
        <w:pStyle w:val="Pagrindinistekstas"/>
        <w:tabs>
          <w:tab w:val="left" w:pos="9639"/>
        </w:tabs>
        <w:spacing w:line="240" w:lineRule="auto"/>
        <w:ind w:firstLine="720"/>
        <w:jc w:val="both"/>
        <w:rPr>
          <w:szCs w:val="24"/>
        </w:rPr>
      </w:pPr>
      <w:r w:rsidRPr="00473CF3">
        <w:rPr>
          <w:rStyle w:val="fontstyle36"/>
          <w:szCs w:val="24"/>
        </w:rPr>
        <w:t xml:space="preserve">Savivaldybės investicija </w:t>
      </w:r>
      <w:r w:rsidRPr="00473CF3">
        <w:rPr>
          <w:szCs w:val="24"/>
        </w:rPr>
        <w:t>užtikrins UAB „Gatvių apšvietimas“ akcijų įsigijimą</w:t>
      </w:r>
      <w:r w:rsidRPr="00473CF3">
        <w:rPr>
          <w:rStyle w:val="fontstyle36"/>
          <w:szCs w:val="24"/>
        </w:rPr>
        <w:t xml:space="preserve">, </w:t>
      </w:r>
      <w:r w:rsidR="00343BF0" w:rsidRPr="00473CF3">
        <w:rPr>
          <w:color w:val="000000"/>
          <w:spacing w:val="-3"/>
          <w:szCs w:val="24"/>
        </w:rPr>
        <w:t>sudarys sąlygas</w:t>
      </w:r>
      <w:r w:rsidRPr="00473CF3">
        <w:rPr>
          <w:color w:val="000000"/>
          <w:spacing w:val="-3"/>
          <w:szCs w:val="24"/>
        </w:rPr>
        <w:t xml:space="preserve"> </w:t>
      </w:r>
      <w:r w:rsidRPr="00473CF3">
        <w:rPr>
          <w:rStyle w:val="fontstyle36"/>
          <w:szCs w:val="24"/>
        </w:rPr>
        <w:t xml:space="preserve">kurti ir plėtoti infrastruktūrą, naudingą visuomenei, pagerinti viešųjų paslaugų kokybę, </w:t>
      </w:r>
      <w:r w:rsidR="00D03C65" w:rsidRPr="00473CF3">
        <w:rPr>
          <w:rStyle w:val="fontstyle36"/>
          <w:szCs w:val="24"/>
        </w:rPr>
        <w:t xml:space="preserve">sukurti pridėtinę vertę, </w:t>
      </w:r>
      <w:r w:rsidRPr="00473CF3">
        <w:rPr>
          <w:rStyle w:val="fontstyle36"/>
          <w:szCs w:val="24"/>
        </w:rPr>
        <w:t>užtikrinti gaunamą teigiamą socialinį rezultat</w:t>
      </w:r>
      <w:r w:rsidR="00874DCA" w:rsidRPr="00473CF3">
        <w:rPr>
          <w:rStyle w:val="fontstyle36"/>
          <w:szCs w:val="24"/>
        </w:rPr>
        <w:t>ą</w:t>
      </w:r>
      <w:r w:rsidR="007571DB">
        <w:rPr>
          <w:rStyle w:val="fontstyle36"/>
          <w:szCs w:val="24"/>
        </w:rPr>
        <w:t xml:space="preserve">, </w:t>
      </w:r>
      <w:r w:rsidR="00343BF0" w:rsidRPr="00473CF3">
        <w:rPr>
          <w:rStyle w:val="fontstyle36"/>
          <w:szCs w:val="24"/>
        </w:rPr>
        <w:t>bei</w:t>
      </w:r>
      <w:r w:rsidRPr="00473CF3">
        <w:rPr>
          <w:rStyle w:val="fontstyle36"/>
          <w:szCs w:val="24"/>
        </w:rPr>
        <w:t xml:space="preserve"> veiksmingesnį Lietuvos Respublikos įstatymuose ir Vyriausybės nutarimuose nustatytų valstybės ir savivaldybės funkcijų atlikim</w:t>
      </w:r>
      <w:r w:rsidR="00D03C65" w:rsidRPr="00473CF3">
        <w:rPr>
          <w:rStyle w:val="fontstyle36"/>
          <w:szCs w:val="24"/>
        </w:rPr>
        <w:t xml:space="preserve">ą, operatyviau ir efektyviau įgyvendinti strateginio planavimo </w:t>
      </w:r>
      <w:r w:rsidR="007571DB">
        <w:rPr>
          <w:rStyle w:val="fontstyle36"/>
          <w:szCs w:val="24"/>
        </w:rPr>
        <w:t>dokumentuose nustatytus tikslus, skatinti Lietuvos ekonomikos augimą.</w:t>
      </w:r>
    </w:p>
    <w:p w:rsidR="00C5739F" w:rsidRPr="00473CF3" w:rsidRDefault="00C5739F" w:rsidP="00CF52FB">
      <w:pPr>
        <w:jc w:val="both"/>
        <w:rPr>
          <w:sz w:val="24"/>
          <w:szCs w:val="24"/>
          <w:lang w:val="lt-LT"/>
        </w:rPr>
      </w:pPr>
    </w:p>
    <w:p w:rsidR="009D3C44" w:rsidRDefault="009D3C44" w:rsidP="00CF52FB">
      <w:pPr>
        <w:jc w:val="both"/>
        <w:rPr>
          <w:sz w:val="24"/>
          <w:szCs w:val="24"/>
          <w:lang w:val="lt-LT"/>
        </w:rPr>
      </w:pPr>
    </w:p>
    <w:p w:rsidR="00D21463" w:rsidRPr="00473CF3" w:rsidRDefault="007846C2" w:rsidP="00CF52FB">
      <w:pPr>
        <w:jc w:val="both"/>
        <w:rPr>
          <w:sz w:val="24"/>
          <w:szCs w:val="24"/>
          <w:lang w:val="lt-LT"/>
        </w:rPr>
      </w:pPr>
      <w:r w:rsidRPr="00473CF3">
        <w:rPr>
          <w:sz w:val="24"/>
          <w:szCs w:val="24"/>
          <w:lang w:val="lt-LT"/>
        </w:rPr>
        <w:t>Turto skyriaus vedėj</w:t>
      </w:r>
      <w:r w:rsidR="00A111BC" w:rsidRPr="00473CF3">
        <w:rPr>
          <w:sz w:val="24"/>
          <w:szCs w:val="24"/>
          <w:lang w:val="lt-LT"/>
        </w:rPr>
        <w:t>a</w:t>
      </w:r>
      <w:r w:rsidR="008A7582" w:rsidRPr="00473CF3">
        <w:rPr>
          <w:sz w:val="24"/>
          <w:szCs w:val="24"/>
          <w:lang w:val="lt-LT"/>
        </w:rPr>
        <w:t>s</w:t>
      </w:r>
      <w:r w:rsidR="008A7582" w:rsidRPr="00473CF3">
        <w:rPr>
          <w:sz w:val="24"/>
          <w:szCs w:val="24"/>
          <w:lang w:val="lt-LT"/>
        </w:rPr>
        <w:tab/>
      </w:r>
      <w:r w:rsidR="008A7582" w:rsidRPr="00473CF3">
        <w:rPr>
          <w:sz w:val="24"/>
          <w:szCs w:val="24"/>
          <w:lang w:val="lt-LT"/>
        </w:rPr>
        <w:tab/>
      </w:r>
      <w:r w:rsidR="008A7582" w:rsidRPr="00473CF3">
        <w:rPr>
          <w:sz w:val="24"/>
          <w:szCs w:val="24"/>
          <w:lang w:val="lt-LT"/>
        </w:rPr>
        <w:tab/>
      </w:r>
      <w:r w:rsidR="008A7582" w:rsidRPr="00473CF3">
        <w:rPr>
          <w:sz w:val="24"/>
          <w:szCs w:val="24"/>
          <w:lang w:val="lt-LT"/>
        </w:rPr>
        <w:tab/>
        <w:t xml:space="preserve">                   </w:t>
      </w:r>
      <w:r w:rsidR="00485739" w:rsidRPr="00473CF3">
        <w:rPr>
          <w:sz w:val="24"/>
          <w:szCs w:val="24"/>
          <w:lang w:val="lt-LT"/>
        </w:rPr>
        <w:t>Edvardas Simokaitis</w:t>
      </w:r>
    </w:p>
    <w:sectPr w:rsidR="00D21463" w:rsidRPr="00473CF3" w:rsidSect="00946F68">
      <w:pgSz w:w="11906" w:h="16838"/>
      <w:pgMar w:top="397" w:right="567" w:bottom="24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B32329"/>
    <w:multiLevelType w:val="hybridMultilevel"/>
    <w:tmpl w:val="9F6A130A"/>
    <w:lvl w:ilvl="0" w:tplc="EAC4044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130E2"/>
    <w:rsid w:val="000416CC"/>
    <w:rsid w:val="00060056"/>
    <w:rsid w:val="000674EA"/>
    <w:rsid w:val="0009674D"/>
    <w:rsid w:val="000B1E15"/>
    <w:rsid w:val="000B24E5"/>
    <w:rsid w:val="000E3C1F"/>
    <w:rsid w:val="000F6FF5"/>
    <w:rsid w:val="00107917"/>
    <w:rsid w:val="00111199"/>
    <w:rsid w:val="001127EA"/>
    <w:rsid w:val="00126F73"/>
    <w:rsid w:val="00141EE8"/>
    <w:rsid w:val="0014222B"/>
    <w:rsid w:val="001467BC"/>
    <w:rsid w:val="00157976"/>
    <w:rsid w:val="00173643"/>
    <w:rsid w:val="001A1397"/>
    <w:rsid w:val="001A7B9F"/>
    <w:rsid w:val="001B7973"/>
    <w:rsid w:val="001C35C2"/>
    <w:rsid w:val="001D73A5"/>
    <w:rsid w:val="001E5D84"/>
    <w:rsid w:val="001E5F07"/>
    <w:rsid w:val="001E64B1"/>
    <w:rsid w:val="0021093C"/>
    <w:rsid w:val="00213913"/>
    <w:rsid w:val="002155FC"/>
    <w:rsid w:val="0022152F"/>
    <w:rsid w:val="00222C7E"/>
    <w:rsid w:val="00231710"/>
    <w:rsid w:val="002326DC"/>
    <w:rsid w:val="0023695B"/>
    <w:rsid w:val="00237700"/>
    <w:rsid w:val="00241464"/>
    <w:rsid w:val="00245F47"/>
    <w:rsid w:val="00266F70"/>
    <w:rsid w:val="00275F6D"/>
    <w:rsid w:val="0029248C"/>
    <w:rsid w:val="002A0B93"/>
    <w:rsid w:val="002A2965"/>
    <w:rsid w:val="002A3D4A"/>
    <w:rsid w:val="002B3EA3"/>
    <w:rsid w:val="002B50A1"/>
    <w:rsid w:val="002D3637"/>
    <w:rsid w:val="002F048A"/>
    <w:rsid w:val="002F6F19"/>
    <w:rsid w:val="00301306"/>
    <w:rsid w:val="003043E1"/>
    <w:rsid w:val="003052DC"/>
    <w:rsid w:val="00316C92"/>
    <w:rsid w:val="003204EF"/>
    <w:rsid w:val="00322B6C"/>
    <w:rsid w:val="003263C4"/>
    <w:rsid w:val="003307EE"/>
    <w:rsid w:val="0033754F"/>
    <w:rsid w:val="00343BF0"/>
    <w:rsid w:val="0034662B"/>
    <w:rsid w:val="003504BE"/>
    <w:rsid w:val="0035401F"/>
    <w:rsid w:val="00367D89"/>
    <w:rsid w:val="00382DAD"/>
    <w:rsid w:val="00390F5F"/>
    <w:rsid w:val="00396007"/>
    <w:rsid w:val="003A4B6E"/>
    <w:rsid w:val="003B3D9F"/>
    <w:rsid w:val="003B53D7"/>
    <w:rsid w:val="003C0B56"/>
    <w:rsid w:val="003C3618"/>
    <w:rsid w:val="003D680B"/>
    <w:rsid w:val="003D6942"/>
    <w:rsid w:val="003D6B1C"/>
    <w:rsid w:val="003E14B7"/>
    <w:rsid w:val="003E7311"/>
    <w:rsid w:val="003F0E21"/>
    <w:rsid w:val="0040035E"/>
    <w:rsid w:val="00402012"/>
    <w:rsid w:val="00402175"/>
    <w:rsid w:val="0040406A"/>
    <w:rsid w:val="00406E9F"/>
    <w:rsid w:val="00420CB6"/>
    <w:rsid w:val="00425AC4"/>
    <w:rsid w:val="004343CE"/>
    <w:rsid w:val="004459DA"/>
    <w:rsid w:val="00450D59"/>
    <w:rsid w:val="004513E4"/>
    <w:rsid w:val="00460898"/>
    <w:rsid w:val="00462B31"/>
    <w:rsid w:val="00473CF3"/>
    <w:rsid w:val="0047407B"/>
    <w:rsid w:val="004757C1"/>
    <w:rsid w:val="00485739"/>
    <w:rsid w:val="00487434"/>
    <w:rsid w:val="00492001"/>
    <w:rsid w:val="004A6A7F"/>
    <w:rsid w:val="004B02D1"/>
    <w:rsid w:val="004C3D5B"/>
    <w:rsid w:val="004D2016"/>
    <w:rsid w:val="004D30B6"/>
    <w:rsid w:val="004D410D"/>
    <w:rsid w:val="004F645D"/>
    <w:rsid w:val="00501A8F"/>
    <w:rsid w:val="00517E6E"/>
    <w:rsid w:val="00522DB3"/>
    <w:rsid w:val="00535AB9"/>
    <w:rsid w:val="00537048"/>
    <w:rsid w:val="00554A68"/>
    <w:rsid w:val="0055594D"/>
    <w:rsid w:val="00565106"/>
    <w:rsid w:val="00566CE1"/>
    <w:rsid w:val="00570E09"/>
    <w:rsid w:val="00571C80"/>
    <w:rsid w:val="00580172"/>
    <w:rsid w:val="005859B4"/>
    <w:rsid w:val="0059013E"/>
    <w:rsid w:val="005910C2"/>
    <w:rsid w:val="00592969"/>
    <w:rsid w:val="00597148"/>
    <w:rsid w:val="00597C59"/>
    <w:rsid w:val="005A2BE1"/>
    <w:rsid w:val="005A6293"/>
    <w:rsid w:val="005B0494"/>
    <w:rsid w:val="005B7641"/>
    <w:rsid w:val="005C46B7"/>
    <w:rsid w:val="005C6285"/>
    <w:rsid w:val="005D7C9D"/>
    <w:rsid w:val="005E7A42"/>
    <w:rsid w:val="005F0EE8"/>
    <w:rsid w:val="005F522D"/>
    <w:rsid w:val="005F5387"/>
    <w:rsid w:val="0061214B"/>
    <w:rsid w:val="00623AF4"/>
    <w:rsid w:val="00636F08"/>
    <w:rsid w:val="006509EB"/>
    <w:rsid w:val="006516AA"/>
    <w:rsid w:val="00655EA1"/>
    <w:rsid w:val="00666D82"/>
    <w:rsid w:val="0067066B"/>
    <w:rsid w:val="00685ED6"/>
    <w:rsid w:val="00692582"/>
    <w:rsid w:val="00696F2A"/>
    <w:rsid w:val="006A104A"/>
    <w:rsid w:val="006A5BC7"/>
    <w:rsid w:val="006C53A8"/>
    <w:rsid w:val="006D27A6"/>
    <w:rsid w:val="006D34D3"/>
    <w:rsid w:val="006D72AB"/>
    <w:rsid w:val="006E3237"/>
    <w:rsid w:val="006F10E0"/>
    <w:rsid w:val="006F6B68"/>
    <w:rsid w:val="00706887"/>
    <w:rsid w:val="007079D0"/>
    <w:rsid w:val="00712058"/>
    <w:rsid w:val="007256D0"/>
    <w:rsid w:val="00726B59"/>
    <w:rsid w:val="00736711"/>
    <w:rsid w:val="00747E49"/>
    <w:rsid w:val="007571DB"/>
    <w:rsid w:val="0078359E"/>
    <w:rsid w:val="007846C2"/>
    <w:rsid w:val="007A0ACD"/>
    <w:rsid w:val="007A5AD9"/>
    <w:rsid w:val="007C15E5"/>
    <w:rsid w:val="007C4A49"/>
    <w:rsid w:val="007D4673"/>
    <w:rsid w:val="007E2E08"/>
    <w:rsid w:val="007E5901"/>
    <w:rsid w:val="007E5BD7"/>
    <w:rsid w:val="007F138E"/>
    <w:rsid w:val="0080018D"/>
    <w:rsid w:val="00800226"/>
    <w:rsid w:val="0080190F"/>
    <w:rsid w:val="00807258"/>
    <w:rsid w:val="00814D1B"/>
    <w:rsid w:val="00822F9A"/>
    <w:rsid w:val="00834B61"/>
    <w:rsid w:val="00835F25"/>
    <w:rsid w:val="0084047B"/>
    <w:rsid w:val="00843A67"/>
    <w:rsid w:val="00844668"/>
    <w:rsid w:val="008532BF"/>
    <w:rsid w:val="00862F32"/>
    <w:rsid w:val="00870B7F"/>
    <w:rsid w:val="00871091"/>
    <w:rsid w:val="0087321D"/>
    <w:rsid w:val="00874DCA"/>
    <w:rsid w:val="0087771F"/>
    <w:rsid w:val="00880211"/>
    <w:rsid w:val="00892028"/>
    <w:rsid w:val="00892537"/>
    <w:rsid w:val="008948D8"/>
    <w:rsid w:val="00895005"/>
    <w:rsid w:val="0089541C"/>
    <w:rsid w:val="0089563B"/>
    <w:rsid w:val="00896F93"/>
    <w:rsid w:val="008A7582"/>
    <w:rsid w:val="008B76A5"/>
    <w:rsid w:val="008C09EA"/>
    <w:rsid w:val="008C3F6D"/>
    <w:rsid w:val="008D1899"/>
    <w:rsid w:val="008E7BB5"/>
    <w:rsid w:val="009007DB"/>
    <w:rsid w:val="00906F84"/>
    <w:rsid w:val="009070E9"/>
    <w:rsid w:val="00914E83"/>
    <w:rsid w:val="00922415"/>
    <w:rsid w:val="009271E7"/>
    <w:rsid w:val="00927F20"/>
    <w:rsid w:val="00931518"/>
    <w:rsid w:val="0093314F"/>
    <w:rsid w:val="00942D9D"/>
    <w:rsid w:val="00946F68"/>
    <w:rsid w:val="00950F2D"/>
    <w:rsid w:val="009539FA"/>
    <w:rsid w:val="00955276"/>
    <w:rsid w:val="00957026"/>
    <w:rsid w:val="009637D6"/>
    <w:rsid w:val="0097382E"/>
    <w:rsid w:val="009779D4"/>
    <w:rsid w:val="00985449"/>
    <w:rsid w:val="00994B3A"/>
    <w:rsid w:val="00996A3B"/>
    <w:rsid w:val="009B3A9F"/>
    <w:rsid w:val="009C3FC6"/>
    <w:rsid w:val="009D3C44"/>
    <w:rsid w:val="009E09CE"/>
    <w:rsid w:val="009E1C5F"/>
    <w:rsid w:val="009E3123"/>
    <w:rsid w:val="009E5396"/>
    <w:rsid w:val="00A00226"/>
    <w:rsid w:val="00A07221"/>
    <w:rsid w:val="00A10ABA"/>
    <w:rsid w:val="00A111BC"/>
    <w:rsid w:val="00A11E63"/>
    <w:rsid w:val="00A130E8"/>
    <w:rsid w:val="00A173F6"/>
    <w:rsid w:val="00A4210B"/>
    <w:rsid w:val="00A44D8A"/>
    <w:rsid w:val="00A55234"/>
    <w:rsid w:val="00A55B9B"/>
    <w:rsid w:val="00A56B29"/>
    <w:rsid w:val="00A7119E"/>
    <w:rsid w:val="00A7175D"/>
    <w:rsid w:val="00A91E3A"/>
    <w:rsid w:val="00AB14F3"/>
    <w:rsid w:val="00AB4221"/>
    <w:rsid w:val="00AB660C"/>
    <w:rsid w:val="00AC384E"/>
    <w:rsid w:val="00AC4DF5"/>
    <w:rsid w:val="00AD2E7C"/>
    <w:rsid w:val="00AE4126"/>
    <w:rsid w:val="00AE54EC"/>
    <w:rsid w:val="00AF4860"/>
    <w:rsid w:val="00B06C3F"/>
    <w:rsid w:val="00B07723"/>
    <w:rsid w:val="00B11956"/>
    <w:rsid w:val="00B14689"/>
    <w:rsid w:val="00B152E8"/>
    <w:rsid w:val="00B22AE0"/>
    <w:rsid w:val="00B33419"/>
    <w:rsid w:val="00B4323F"/>
    <w:rsid w:val="00B44719"/>
    <w:rsid w:val="00B52F28"/>
    <w:rsid w:val="00B55CA9"/>
    <w:rsid w:val="00B65C69"/>
    <w:rsid w:val="00B66F25"/>
    <w:rsid w:val="00B72AFF"/>
    <w:rsid w:val="00B731DF"/>
    <w:rsid w:val="00B759FE"/>
    <w:rsid w:val="00B82938"/>
    <w:rsid w:val="00B841FB"/>
    <w:rsid w:val="00B853D4"/>
    <w:rsid w:val="00B85D3A"/>
    <w:rsid w:val="00B86B43"/>
    <w:rsid w:val="00B9397C"/>
    <w:rsid w:val="00BA316C"/>
    <w:rsid w:val="00BB581F"/>
    <w:rsid w:val="00BC5E06"/>
    <w:rsid w:val="00BE50AF"/>
    <w:rsid w:val="00C11955"/>
    <w:rsid w:val="00C1606C"/>
    <w:rsid w:val="00C17099"/>
    <w:rsid w:val="00C31F1E"/>
    <w:rsid w:val="00C40470"/>
    <w:rsid w:val="00C42D16"/>
    <w:rsid w:val="00C45D12"/>
    <w:rsid w:val="00C557A3"/>
    <w:rsid w:val="00C5739F"/>
    <w:rsid w:val="00C63FE8"/>
    <w:rsid w:val="00C743A2"/>
    <w:rsid w:val="00C838FE"/>
    <w:rsid w:val="00C8546C"/>
    <w:rsid w:val="00C87EC6"/>
    <w:rsid w:val="00CC0A07"/>
    <w:rsid w:val="00CD5ED1"/>
    <w:rsid w:val="00CF52FB"/>
    <w:rsid w:val="00D01D35"/>
    <w:rsid w:val="00D03707"/>
    <w:rsid w:val="00D03C65"/>
    <w:rsid w:val="00D11782"/>
    <w:rsid w:val="00D12B86"/>
    <w:rsid w:val="00D14B0E"/>
    <w:rsid w:val="00D152CC"/>
    <w:rsid w:val="00D20F14"/>
    <w:rsid w:val="00D21463"/>
    <w:rsid w:val="00D31101"/>
    <w:rsid w:val="00D47251"/>
    <w:rsid w:val="00D65A2C"/>
    <w:rsid w:val="00D65D64"/>
    <w:rsid w:val="00D6626A"/>
    <w:rsid w:val="00D67A46"/>
    <w:rsid w:val="00D763D0"/>
    <w:rsid w:val="00D81444"/>
    <w:rsid w:val="00D84475"/>
    <w:rsid w:val="00D85EAC"/>
    <w:rsid w:val="00D87874"/>
    <w:rsid w:val="00DA01AF"/>
    <w:rsid w:val="00DA1F48"/>
    <w:rsid w:val="00DA4C0A"/>
    <w:rsid w:val="00DA72F5"/>
    <w:rsid w:val="00DA7D27"/>
    <w:rsid w:val="00DB0E0F"/>
    <w:rsid w:val="00DB51A0"/>
    <w:rsid w:val="00DB669B"/>
    <w:rsid w:val="00DC1AA7"/>
    <w:rsid w:val="00DC299F"/>
    <w:rsid w:val="00DD304B"/>
    <w:rsid w:val="00DE6765"/>
    <w:rsid w:val="00DF11A3"/>
    <w:rsid w:val="00DF4127"/>
    <w:rsid w:val="00E13850"/>
    <w:rsid w:val="00E21A35"/>
    <w:rsid w:val="00E244EB"/>
    <w:rsid w:val="00E37CEB"/>
    <w:rsid w:val="00E40FC8"/>
    <w:rsid w:val="00E50FD5"/>
    <w:rsid w:val="00E628EB"/>
    <w:rsid w:val="00E667B2"/>
    <w:rsid w:val="00E852B1"/>
    <w:rsid w:val="00E94A14"/>
    <w:rsid w:val="00EA4269"/>
    <w:rsid w:val="00EB02C6"/>
    <w:rsid w:val="00EB2B45"/>
    <w:rsid w:val="00EB5E27"/>
    <w:rsid w:val="00EB716C"/>
    <w:rsid w:val="00EC2823"/>
    <w:rsid w:val="00EC2FD1"/>
    <w:rsid w:val="00ED2779"/>
    <w:rsid w:val="00ED738F"/>
    <w:rsid w:val="00EE0039"/>
    <w:rsid w:val="00EE6C84"/>
    <w:rsid w:val="00EF1AAA"/>
    <w:rsid w:val="00EF3A63"/>
    <w:rsid w:val="00F0166B"/>
    <w:rsid w:val="00F10D34"/>
    <w:rsid w:val="00F15FAE"/>
    <w:rsid w:val="00F2275D"/>
    <w:rsid w:val="00F34DB2"/>
    <w:rsid w:val="00F371BB"/>
    <w:rsid w:val="00F37EF1"/>
    <w:rsid w:val="00F4238F"/>
    <w:rsid w:val="00F4333F"/>
    <w:rsid w:val="00F54C29"/>
    <w:rsid w:val="00F557A7"/>
    <w:rsid w:val="00F56D2A"/>
    <w:rsid w:val="00F6012B"/>
    <w:rsid w:val="00F65150"/>
    <w:rsid w:val="00F679A5"/>
    <w:rsid w:val="00F71E0F"/>
    <w:rsid w:val="00F74EA1"/>
    <w:rsid w:val="00F75F01"/>
    <w:rsid w:val="00F804C5"/>
    <w:rsid w:val="00F958DA"/>
    <w:rsid w:val="00F966A7"/>
    <w:rsid w:val="00F97343"/>
    <w:rsid w:val="00FA046C"/>
    <w:rsid w:val="00FA10F3"/>
    <w:rsid w:val="00FA4B0E"/>
    <w:rsid w:val="00FA658D"/>
    <w:rsid w:val="00FB37DD"/>
    <w:rsid w:val="00FB5B6C"/>
    <w:rsid w:val="00FC6AA9"/>
    <w:rsid w:val="00FC7160"/>
    <w:rsid w:val="00FD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45CE"/>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7846C2"/>
  </w:style>
  <w:style w:type="paragraph" w:customStyle="1" w:styleId="pasiulymai3">
    <w:name w:val="pasiulymai3"/>
    <w:basedOn w:val="prastasis"/>
    <w:uiPriority w:val="99"/>
    <w:rsid w:val="00D12B86"/>
    <w:pPr>
      <w:spacing w:before="100" w:beforeAutospacing="1" w:after="100" w:afterAutospacing="1"/>
    </w:pPr>
    <w:rPr>
      <w:sz w:val="24"/>
      <w:szCs w:val="24"/>
      <w:lang w:val="lt-LT"/>
    </w:rPr>
  </w:style>
  <w:style w:type="table" w:styleId="Lentelstinklelis">
    <w:name w:val="Table Grid"/>
    <w:basedOn w:val="prastojilentel"/>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7740</Words>
  <Characters>4413</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12129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2018-07-16T06:10:00Z</cp:lastPrinted>
  <dcterms:created xsi:type="dcterms:W3CDTF">2018-07-25T13:50:00Z</dcterms:created>
  <dcterms:modified xsi:type="dcterms:W3CDTF">2018-07-25T13:50:00Z</dcterms:modified>
</cp:coreProperties>
</file>