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8D4B8B" w:rsidTr="00EC21AD">
        <w:tc>
          <w:tcPr>
            <w:tcW w:w="4110" w:type="dxa"/>
          </w:tcPr>
          <w:p w:rsidR="0006079E" w:rsidRPr="008D4B8B" w:rsidRDefault="0006079E" w:rsidP="0006079E">
            <w:pPr>
              <w:tabs>
                <w:tab w:val="left" w:pos="5070"/>
                <w:tab w:val="left" w:pos="5366"/>
                <w:tab w:val="left" w:pos="6771"/>
                <w:tab w:val="left" w:pos="7363"/>
              </w:tabs>
              <w:jc w:val="both"/>
            </w:pPr>
            <w:r w:rsidRPr="008D4B8B">
              <w:t>PATVIRTINTA</w:t>
            </w:r>
          </w:p>
        </w:tc>
      </w:tr>
      <w:tr w:rsidR="0006079E" w:rsidRPr="008D4B8B" w:rsidTr="00EC21AD">
        <w:tc>
          <w:tcPr>
            <w:tcW w:w="4110" w:type="dxa"/>
          </w:tcPr>
          <w:p w:rsidR="0006079E" w:rsidRPr="008D4B8B" w:rsidRDefault="0006079E" w:rsidP="0006079E">
            <w:r w:rsidRPr="008D4B8B">
              <w:t>Klaipėdos miesto savivaldybės</w:t>
            </w:r>
          </w:p>
        </w:tc>
      </w:tr>
      <w:tr w:rsidR="0006079E" w:rsidRPr="008D4B8B" w:rsidTr="00EC21AD">
        <w:tc>
          <w:tcPr>
            <w:tcW w:w="4110" w:type="dxa"/>
          </w:tcPr>
          <w:p w:rsidR="0006079E" w:rsidRPr="008D4B8B" w:rsidRDefault="0006079E" w:rsidP="0006079E">
            <w:r w:rsidRPr="008D4B8B">
              <w:t xml:space="preserve">tarybos </w:t>
            </w:r>
            <w:bookmarkStart w:id="0" w:name="registravimoDataIlga"/>
            <w:r w:rsidRPr="008D4B8B">
              <w:rPr>
                <w:noProof/>
              </w:rPr>
              <w:fldChar w:fldCharType="begin">
                <w:ffData>
                  <w:name w:val="registravimoDataIlga"/>
                  <w:enabled/>
                  <w:calcOnExit w:val="0"/>
                  <w:textInput>
                    <w:maxLength w:val="1"/>
                  </w:textInput>
                </w:ffData>
              </w:fldChar>
            </w:r>
            <w:r w:rsidRPr="008D4B8B">
              <w:rPr>
                <w:noProof/>
              </w:rPr>
              <w:instrText xml:space="preserve"> FORMTEXT </w:instrText>
            </w:r>
            <w:r w:rsidRPr="008D4B8B">
              <w:rPr>
                <w:noProof/>
              </w:rPr>
            </w:r>
            <w:r w:rsidRPr="008D4B8B">
              <w:rPr>
                <w:noProof/>
              </w:rPr>
              <w:fldChar w:fldCharType="separate"/>
            </w:r>
            <w:r w:rsidRPr="008D4B8B">
              <w:rPr>
                <w:noProof/>
              </w:rPr>
              <w:t> </w:t>
            </w:r>
            <w:r w:rsidRPr="008D4B8B">
              <w:rPr>
                <w:noProof/>
              </w:rPr>
              <w:fldChar w:fldCharType="end"/>
            </w:r>
            <w:bookmarkEnd w:id="0"/>
          </w:p>
        </w:tc>
      </w:tr>
      <w:tr w:rsidR="0006079E" w:rsidRPr="008D4B8B" w:rsidTr="00EC21AD">
        <w:tc>
          <w:tcPr>
            <w:tcW w:w="4110" w:type="dxa"/>
          </w:tcPr>
          <w:p w:rsidR="0006079E" w:rsidRPr="008D4B8B" w:rsidRDefault="0006079E" w:rsidP="004832C8">
            <w:pPr>
              <w:tabs>
                <w:tab w:val="left" w:pos="5070"/>
                <w:tab w:val="left" w:pos="5366"/>
                <w:tab w:val="left" w:pos="6771"/>
                <w:tab w:val="left" w:pos="7363"/>
              </w:tabs>
            </w:pPr>
            <w:r w:rsidRPr="008D4B8B">
              <w:t xml:space="preserve">sprendimu Nr. </w:t>
            </w:r>
            <w:bookmarkStart w:id="1" w:name="registravimoNr"/>
            <w:r w:rsidR="004832C8" w:rsidRPr="008D4B8B">
              <w:t>.</w:t>
            </w:r>
            <w:bookmarkEnd w:id="1"/>
          </w:p>
        </w:tc>
      </w:tr>
    </w:tbl>
    <w:p w:rsidR="00832CC9" w:rsidRPr="008D4B8B" w:rsidRDefault="00832CC9" w:rsidP="0006079E">
      <w:pPr>
        <w:jc w:val="center"/>
      </w:pPr>
    </w:p>
    <w:p w:rsidR="00BA72F4" w:rsidRPr="008D4B8B" w:rsidRDefault="00BA72F4" w:rsidP="00832CC9">
      <w:pPr>
        <w:ind w:firstLine="709"/>
        <w:jc w:val="both"/>
      </w:pPr>
    </w:p>
    <w:p w:rsidR="00BA72F4" w:rsidRDefault="00BA72F4" w:rsidP="00BA72F4">
      <w:pPr>
        <w:jc w:val="center"/>
        <w:rPr>
          <w:b/>
          <w:bCs/>
        </w:rPr>
      </w:pPr>
      <w:r w:rsidRPr="008D4B8B">
        <w:rPr>
          <w:b/>
          <w:noProof/>
        </w:rPr>
        <w:t xml:space="preserve">KLAIPĖDOS MIESTO SAVIVALDYBĖS </w:t>
      </w:r>
      <w:r w:rsidRPr="008D4B8B">
        <w:rPr>
          <w:b/>
          <w:bCs/>
        </w:rPr>
        <w:t>2019–2021 METŲ STRATEGINIS VEIKLOS PLANAS</w:t>
      </w:r>
    </w:p>
    <w:p w:rsidR="00911FE6" w:rsidRPr="008D4B8B" w:rsidRDefault="00911FE6" w:rsidP="00BA72F4">
      <w:pPr>
        <w:jc w:val="center"/>
        <w:rPr>
          <w:b/>
        </w:rPr>
      </w:pPr>
      <w:bookmarkStart w:id="2" w:name="_GoBack"/>
      <w:bookmarkEnd w:id="2"/>
    </w:p>
    <w:p w:rsidR="00BA72F4" w:rsidRPr="008D4B8B" w:rsidRDefault="00BA72F4" w:rsidP="00BA72F4">
      <w:pPr>
        <w:jc w:val="center"/>
        <w:rPr>
          <w:b/>
        </w:rPr>
      </w:pPr>
      <w:r w:rsidRPr="008D4B8B">
        <w:rPr>
          <w:b/>
        </w:rPr>
        <w:t>I SKYRIUS</w:t>
      </w:r>
    </w:p>
    <w:p w:rsidR="00BA72F4" w:rsidRPr="008D4B8B" w:rsidRDefault="00BA72F4" w:rsidP="00BA72F4">
      <w:pPr>
        <w:jc w:val="center"/>
        <w:rPr>
          <w:b/>
        </w:rPr>
      </w:pPr>
      <w:r w:rsidRPr="008D4B8B">
        <w:rPr>
          <w:b/>
        </w:rPr>
        <w:t>VEIKLOS KONTEKSTAS</w:t>
      </w:r>
    </w:p>
    <w:p w:rsidR="00BA72F4" w:rsidRPr="008D4B8B" w:rsidRDefault="00BA72F4" w:rsidP="00BA72F4">
      <w:pPr>
        <w:jc w:val="both"/>
        <w:rPr>
          <w:b/>
          <w:bCs/>
        </w:rPr>
      </w:pPr>
    </w:p>
    <w:p w:rsidR="00BA72F4" w:rsidRPr="008D4B8B" w:rsidRDefault="00BA72F4" w:rsidP="00BA72F4">
      <w:pPr>
        <w:ind w:firstLine="720"/>
        <w:jc w:val="both"/>
      </w:pPr>
      <w:r w:rsidRPr="008D4B8B">
        <w:rPr>
          <w:bCs/>
        </w:rPr>
        <w:t xml:space="preserve">Klaipėdos miesto savivaldybės, kaip institucijos, misija – </w:t>
      </w:r>
      <w:r w:rsidRPr="008D4B8B">
        <w:t>t</w:t>
      </w:r>
      <w:r w:rsidRPr="008D4B8B">
        <w:rPr>
          <w:bCs/>
        </w:rPr>
        <w:t xml:space="preserve">eikti miesto bendruomenei kokybiškas paslaugas, </w:t>
      </w:r>
      <w:r w:rsidRPr="008D4B8B">
        <w:t xml:space="preserve">atitinkančias </w:t>
      </w:r>
      <w:r w:rsidRPr="008D4B8B">
        <w:rPr>
          <w:bCs/>
        </w:rPr>
        <w:t xml:space="preserve">suinteresuotų šalių </w:t>
      </w:r>
      <w:r w:rsidRPr="008D4B8B">
        <w:t>išreikštus poreikius bei lūkesčius.</w:t>
      </w:r>
    </w:p>
    <w:p w:rsidR="00BA72F4" w:rsidRPr="008D4B8B" w:rsidRDefault="00BA72F4" w:rsidP="00BA72F4">
      <w:pPr>
        <w:tabs>
          <w:tab w:val="left" w:pos="5070"/>
          <w:tab w:val="left" w:pos="5366"/>
          <w:tab w:val="left" w:pos="6771"/>
          <w:tab w:val="left" w:pos="7363"/>
        </w:tabs>
        <w:ind w:firstLine="709"/>
        <w:jc w:val="both"/>
      </w:pPr>
      <w:r w:rsidRPr="008D4B8B">
        <w:t>Klaipėdos miesto savivaldybės 2019–2021 m. strateginis veiklos planas parengtas remiantis Klaipėdos miesto savivaldybės 2013–2020 metų strateginiu plėtros planu, patvirtintu Klaipėdos miesto savivaldybės tarybos 2013 m. balandžio 26 d. sprendimu Nr. T2-79 (</w:t>
      </w:r>
      <w:r w:rsidRPr="008D4B8B">
        <w:rPr>
          <w:rStyle w:val="Grietas"/>
          <w:b w:val="0"/>
          <w:bCs/>
        </w:rPr>
        <w:t>pakeistas 2016 m. spalio 27 d. sprendimu Nr. T2-262)</w:t>
      </w:r>
      <w:r w:rsidRPr="008D4B8B">
        <w:t>. Taip pat vadovautasi kitais strateginio planavimo dokumentais, tarp kurių svarbu paminėti Klaipėdos miesto savivaldybės tarybos 2015 m. liepos 30 d. sprendimu Nr. T2</w:t>
      </w:r>
      <w:r w:rsidRPr="008D4B8B">
        <w:noBreakHyphen/>
        <w:t>187 patvirtintus Klaipėdos miesto savivaldybės 2015–2019 metų veiklos prioritetus, kuriais remiantis buvo formuojama savivaldybės veiklos strategija ir finansavimo paskirstymas strateginio veiklos plano programoms.</w:t>
      </w:r>
    </w:p>
    <w:p w:rsidR="00BA72F4" w:rsidRPr="008D4B8B" w:rsidRDefault="00BA72F4" w:rsidP="00BA72F4">
      <w:pPr>
        <w:tabs>
          <w:tab w:val="left" w:pos="5070"/>
          <w:tab w:val="left" w:pos="5366"/>
          <w:tab w:val="left" w:pos="6771"/>
          <w:tab w:val="left" w:pos="7363"/>
        </w:tabs>
        <w:jc w:val="both"/>
      </w:pPr>
    </w:p>
    <w:p w:rsidR="00BA72F4" w:rsidRPr="008D4B8B" w:rsidRDefault="00BA72F4" w:rsidP="00BA72F4">
      <w:pPr>
        <w:tabs>
          <w:tab w:val="left" w:pos="5070"/>
          <w:tab w:val="left" w:pos="5366"/>
          <w:tab w:val="left" w:pos="6771"/>
          <w:tab w:val="left" w:pos="7363"/>
        </w:tabs>
        <w:jc w:val="center"/>
        <w:rPr>
          <w:b/>
        </w:rPr>
      </w:pPr>
      <w:r w:rsidRPr="008D4B8B">
        <w:rPr>
          <w:b/>
        </w:rPr>
        <w:t>II SKYRIUS</w:t>
      </w:r>
    </w:p>
    <w:p w:rsidR="00BA72F4" w:rsidRPr="008D4B8B" w:rsidRDefault="00BA72F4" w:rsidP="00BA72F4">
      <w:pPr>
        <w:tabs>
          <w:tab w:val="left" w:pos="5070"/>
          <w:tab w:val="left" w:pos="5366"/>
          <w:tab w:val="left" w:pos="6771"/>
          <w:tab w:val="left" w:pos="7363"/>
        </w:tabs>
        <w:jc w:val="center"/>
        <w:rPr>
          <w:b/>
        </w:rPr>
      </w:pPr>
      <w:r w:rsidRPr="008D4B8B">
        <w:rPr>
          <w:b/>
        </w:rPr>
        <w:t>KLAIPĖDOS MIESTO VYSTYMOSI PROBLEMATIKA</w:t>
      </w:r>
    </w:p>
    <w:p w:rsidR="00BA72F4" w:rsidRPr="008D4B8B" w:rsidRDefault="00BA72F4" w:rsidP="00BA72F4">
      <w:pPr>
        <w:tabs>
          <w:tab w:val="left" w:pos="5070"/>
          <w:tab w:val="left" w:pos="5366"/>
          <w:tab w:val="left" w:pos="6771"/>
          <w:tab w:val="left" w:pos="7363"/>
        </w:tabs>
        <w:jc w:val="center"/>
        <w:rPr>
          <w:b/>
        </w:rPr>
      </w:pPr>
    </w:p>
    <w:p w:rsidR="00BA72F4" w:rsidRPr="008D4B8B" w:rsidRDefault="00BA72F4" w:rsidP="00BA72F4">
      <w:pPr>
        <w:tabs>
          <w:tab w:val="left" w:pos="720"/>
        </w:tabs>
        <w:ind w:firstLine="709"/>
        <w:jc w:val="both"/>
        <w:rPr>
          <w:noProof/>
        </w:rPr>
      </w:pPr>
      <w:r w:rsidRPr="008D4B8B">
        <w:rPr>
          <w:noProof/>
        </w:rPr>
        <w:t xml:space="preserve">Viena didžiausių problemų, kurias patiria Lietuva ir Klaipėdos miestas, yra prastėjantys demografiniai rodikliai. Mažėja gyventojų skaičius – per pastaruosius dešimt metų mieste gyventojų sumažėjo 19,4 proc.: 2008 metais Klaipėdos mieste gyveno 183,8 tūkst. gyventojų, 2018 m. – 148,1 tūkst. (žr. 1 pav.). </w:t>
      </w:r>
    </w:p>
    <w:p w:rsidR="00BA72F4" w:rsidRPr="008D4B8B" w:rsidRDefault="00BA72F4" w:rsidP="00BA72F4">
      <w:pPr>
        <w:tabs>
          <w:tab w:val="left" w:pos="720"/>
        </w:tabs>
        <w:jc w:val="both"/>
        <w:rPr>
          <w:noProof/>
        </w:rPr>
      </w:pPr>
    </w:p>
    <w:p w:rsidR="00BA72F4" w:rsidRPr="008D4B8B" w:rsidRDefault="00BA72F4" w:rsidP="00BA72F4">
      <w:pPr>
        <w:tabs>
          <w:tab w:val="left" w:pos="720"/>
        </w:tabs>
        <w:ind w:firstLine="709"/>
        <w:jc w:val="both"/>
        <w:rPr>
          <w:noProof/>
        </w:rPr>
      </w:pPr>
      <w:r w:rsidRPr="008D4B8B">
        <w:rPr>
          <w:noProof/>
          <w:lang w:val="en-US"/>
        </w:rPr>
        <w:drawing>
          <wp:inline distT="0" distB="0" distL="0" distR="0" wp14:anchorId="20F6DA11" wp14:editId="3410CC94">
            <wp:extent cx="5311775" cy="2647950"/>
            <wp:effectExtent l="0" t="0" r="3175" b="0"/>
            <wp:docPr id="1"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A72F4" w:rsidRPr="008D4B8B" w:rsidRDefault="00BA72F4" w:rsidP="00BA72F4">
      <w:pPr>
        <w:tabs>
          <w:tab w:val="left" w:pos="720"/>
        </w:tabs>
        <w:jc w:val="center"/>
      </w:pPr>
      <w:r w:rsidRPr="008D4B8B">
        <w:t xml:space="preserve">1 pav. Klaipėdos m. gyventojų skaičius liepos 1 d. 2008–2018 m. </w:t>
      </w:r>
    </w:p>
    <w:p w:rsidR="00BA72F4" w:rsidRPr="008D4B8B" w:rsidRDefault="00BA72F4" w:rsidP="00BA72F4">
      <w:pPr>
        <w:tabs>
          <w:tab w:val="left" w:pos="720"/>
        </w:tabs>
        <w:jc w:val="center"/>
      </w:pPr>
      <w:r w:rsidRPr="008D4B8B">
        <w:t>Šaltinis – Lietuvos statistikos departamentas.</w:t>
      </w:r>
    </w:p>
    <w:p w:rsidR="00BA72F4" w:rsidRPr="008D4B8B" w:rsidRDefault="00BA72F4" w:rsidP="00BA72F4">
      <w:pPr>
        <w:tabs>
          <w:tab w:val="left" w:pos="720"/>
        </w:tabs>
        <w:jc w:val="center"/>
      </w:pPr>
    </w:p>
    <w:p w:rsidR="00BA72F4" w:rsidRPr="008D4B8B" w:rsidRDefault="00BA72F4" w:rsidP="00BA72F4">
      <w:pPr>
        <w:tabs>
          <w:tab w:val="left" w:pos="720"/>
        </w:tabs>
        <w:ind w:firstLine="709"/>
        <w:jc w:val="both"/>
      </w:pPr>
      <w:r w:rsidRPr="008D4B8B">
        <w:rPr>
          <w:noProof/>
        </w:rPr>
        <w:t xml:space="preserve">Gyventojų mažėja dėl kelių priežasčių – </w:t>
      </w:r>
      <w:r w:rsidRPr="008D4B8B">
        <w:t xml:space="preserve">neigiama natūrali gyventojų kaita, migracija į užsienio šalis, vidinė migracija į kitas savivaldybes. Pastaroji priežastis turi didelės įtakos gyventojų skaičiaus mažėjimui Klaipėdos mieste, nes gyventojai, turintys didesnes pajamas, dažnai yra linkę </w:t>
      </w:r>
      <w:r w:rsidRPr="008D4B8B">
        <w:lastRenderedPageBreak/>
        <w:t>persikelti į kaimyninę Klaipėdos rajono savivaldybę, kuri yra tarp keleto šalies savivaldybių, kuriose gyventojų skaičius ne mažėja, o auga. Gyventojų netenkina gyvenimo kokybė miesto daugiabučių namų kvartaluose (ypač pietinėje miesto dalyje), kur dauguma namų yra energiškai neefektyvūs, neestetiškos išvaizdos, viešųjų erdvių ir kiemų infrastruktūra susidėvėjusi ir nepatraukli, nesutvarkyti želdiniai, trūksta vietų automobiliams statyti.  Dėl to žmonės siekia susikurti naują gyvenimo kokybę individualių namų kvartaluose užmiestyje.</w:t>
      </w:r>
    </w:p>
    <w:p w:rsidR="00BA72F4" w:rsidRPr="008D4B8B" w:rsidRDefault="00BA72F4" w:rsidP="00BA72F4">
      <w:pPr>
        <w:tabs>
          <w:tab w:val="left" w:pos="720"/>
        </w:tabs>
        <w:ind w:firstLine="709"/>
        <w:jc w:val="both"/>
      </w:pPr>
      <w:r w:rsidRPr="008D4B8B">
        <w:t xml:space="preserve">Kita problema – senėjanti visuomenė. Keičiasi visuomenės struktūra – mažėja darbingo amžiaus, vaikų procentas, daugėja pensinio amžiaus žmonių. Klaipėdos miesto gyventojų vidutinis amžius per pastaruosius keliolika metų išaugo šešeriais metais (2001 m. jis sudarė 36 m., o pastaruosius trejus metus  – 42 m.) (žr. 2 pav.). Demografinės senatvės koeficientas, kuris rodo, kiek </w:t>
      </w:r>
      <w:r w:rsidRPr="008D4B8B">
        <w:rPr>
          <w:shd w:val="clear" w:color="auto" w:fill="FFFFFF"/>
        </w:rPr>
        <w:t>pagyvenusių (65 metų ir vyresnio amžiaus) žmonių tenka šimtui vaikų iki 15 metų amžiaus, Klaipėdos mieste nuo 2001 m. išaugo beveik dvigubai (žr. 3 pav.), tačiau treti metai šis rodiklis išlieka stabilus.</w:t>
      </w:r>
      <w:r w:rsidRPr="008D4B8B">
        <w:t xml:space="preserve"> Ši tendencija būdinga daugumai Europos šalių, ne išimtis yra Lietuva ir Klaipėdos miestas. Jauni žmonės išvyksta studijuoti ar dirbti į šalies sostinę, užsienio valstybes, nebegrįžta į gimtąjį miestą. Šalys ir miestai, kuriuose trūksta jaunimo, darbingo amžiaus žmonių, nėra patrauklūs investuotojams. Taip pat augant demografinės senatvės koeficiento reikšmei, svarbu miesto infrastruktūrą bei viešąsias paslaugas pritaikyti besikeičiančiai visuomenės struktūrai.</w:t>
      </w:r>
    </w:p>
    <w:p w:rsidR="00BA72F4" w:rsidRPr="008D4B8B" w:rsidRDefault="00BA72F4" w:rsidP="00BA72F4">
      <w:pPr>
        <w:tabs>
          <w:tab w:val="left" w:pos="720"/>
        </w:tabs>
        <w:ind w:firstLine="709"/>
        <w:jc w:val="both"/>
      </w:pPr>
    </w:p>
    <w:p w:rsidR="00BA72F4" w:rsidRPr="008D4B8B" w:rsidRDefault="00BA72F4" w:rsidP="00BA72F4">
      <w:pPr>
        <w:tabs>
          <w:tab w:val="left" w:pos="720"/>
        </w:tabs>
        <w:ind w:firstLine="709"/>
        <w:jc w:val="both"/>
      </w:pPr>
    </w:p>
    <w:p w:rsidR="00BA72F4" w:rsidRPr="008D4B8B" w:rsidRDefault="00BA72F4" w:rsidP="00BA72F4">
      <w:pPr>
        <w:tabs>
          <w:tab w:val="left" w:pos="720"/>
        </w:tabs>
        <w:ind w:firstLine="709"/>
        <w:jc w:val="both"/>
      </w:pPr>
      <w:r w:rsidRPr="008D4B8B">
        <w:rPr>
          <w:noProof/>
          <w:lang w:val="en-US"/>
        </w:rPr>
        <w:drawing>
          <wp:inline distT="0" distB="0" distL="0" distR="0" wp14:anchorId="391885E2" wp14:editId="3F432617">
            <wp:extent cx="5518150" cy="2751455"/>
            <wp:effectExtent l="0" t="0" r="6350" b="10795"/>
            <wp:docPr id="2"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A72F4" w:rsidRPr="008D4B8B" w:rsidRDefault="00BA72F4" w:rsidP="00BA72F4">
      <w:pPr>
        <w:tabs>
          <w:tab w:val="left" w:pos="720"/>
        </w:tabs>
      </w:pPr>
    </w:p>
    <w:p w:rsidR="00BA72F4" w:rsidRPr="008D4B8B" w:rsidRDefault="00BA72F4" w:rsidP="00BA72F4">
      <w:pPr>
        <w:tabs>
          <w:tab w:val="left" w:pos="720"/>
        </w:tabs>
        <w:jc w:val="center"/>
      </w:pPr>
      <w:r w:rsidRPr="008D4B8B">
        <w:t xml:space="preserve">2 pav. Klaipėdos miesto gyventojų medianinis amžius metų pradžioje 2001–2018 m. </w:t>
      </w:r>
    </w:p>
    <w:p w:rsidR="00BA72F4" w:rsidRPr="008D4B8B" w:rsidRDefault="00BA72F4" w:rsidP="00BA72F4">
      <w:pPr>
        <w:tabs>
          <w:tab w:val="left" w:pos="720"/>
        </w:tabs>
        <w:jc w:val="center"/>
      </w:pPr>
      <w:r w:rsidRPr="008D4B8B">
        <w:t>Šaltinis – Lietuvos statistikos departamentas.</w:t>
      </w:r>
    </w:p>
    <w:p w:rsidR="00BA72F4" w:rsidRPr="008D4B8B" w:rsidRDefault="00BA72F4" w:rsidP="00BA72F4">
      <w:pPr>
        <w:tabs>
          <w:tab w:val="left" w:pos="720"/>
        </w:tabs>
        <w:jc w:val="center"/>
        <w:rPr>
          <w:shd w:val="clear" w:color="auto" w:fill="FFFFFF"/>
        </w:rPr>
      </w:pPr>
    </w:p>
    <w:p w:rsidR="00BA72F4" w:rsidRPr="008D4B8B" w:rsidRDefault="00BA72F4" w:rsidP="00BA72F4">
      <w:pPr>
        <w:tabs>
          <w:tab w:val="left" w:pos="720"/>
        </w:tabs>
        <w:jc w:val="center"/>
        <w:rPr>
          <w:shd w:val="clear" w:color="auto" w:fill="FFFFFF"/>
        </w:rPr>
      </w:pPr>
      <w:r w:rsidRPr="008D4B8B">
        <w:rPr>
          <w:noProof/>
          <w:lang w:val="en-US"/>
        </w:rPr>
        <w:lastRenderedPageBreak/>
        <w:drawing>
          <wp:inline distT="0" distB="0" distL="0" distR="0" wp14:anchorId="7CD5026B" wp14:editId="4ECBA341">
            <wp:extent cx="6130290" cy="2512695"/>
            <wp:effectExtent l="0" t="0" r="3810" b="1905"/>
            <wp:docPr id="3"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A72F4" w:rsidRPr="008D4B8B" w:rsidRDefault="00BA72F4" w:rsidP="00BA72F4">
      <w:pPr>
        <w:tabs>
          <w:tab w:val="left" w:pos="720"/>
        </w:tabs>
        <w:rPr>
          <w:shd w:val="clear" w:color="auto" w:fill="FFFFFF"/>
        </w:rPr>
      </w:pPr>
    </w:p>
    <w:p w:rsidR="00BA72F4" w:rsidRPr="008D4B8B" w:rsidRDefault="00BA72F4" w:rsidP="00BA72F4">
      <w:pPr>
        <w:tabs>
          <w:tab w:val="left" w:pos="720"/>
        </w:tabs>
        <w:jc w:val="center"/>
      </w:pPr>
      <w:r w:rsidRPr="008D4B8B">
        <w:rPr>
          <w:shd w:val="clear" w:color="auto" w:fill="FFFFFF"/>
        </w:rPr>
        <w:t>3 pav. Klaipėdos miesto demografinės senatvės koeficientas (pagyvenusių (65 metų ir vyresnio amžiaus) žmonių skaičius, tenkantis šimtui vaikų iki 15 metų amžiaus) 2001–2018 m.</w:t>
      </w:r>
      <w:r w:rsidRPr="008D4B8B">
        <w:t xml:space="preserve"> </w:t>
      </w:r>
    </w:p>
    <w:p w:rsidR="00BA72F4" w:rsidRPr="008D4B8B" w:rsidRDefault="00BA72F4" w:rsidP="00BA72F4">
      <w:pPr>
        <w:tabs>
          <w:tab w:val="left" w:pos="720"/>
        </w:tabs>
        <w:jc w:val="center"/>
      </w:pPr>
      <w:r w:rsidRPr="008D4B8B">
        <w:t>Šaltinis – Lietuvos statistikos departamentas.</w:t>
      </w:r>
    </w:p>
    <w:p w:rsidR="00BA72F4" w:rsidRPr="008D4B8B" w:rsidRDefault="00BA72F4" w:rsidP="00BA72F4">
      <w:pPr>
        <w:tabs>
          <w:tab w:val="left" w:pos="720"/>
        </w:tabs>
        <w:jc w:val="center"/>
      </w:pPr>
    </w:p>
    <w:p w:rsidR="00BA72F4" w:rsidRPr="008D4B8B" w:rsidRDefault="00BA72F4" w:rsidP="00BA72F4">
      <w:pPr>
        <w:tabs>
          <w:tab w:val="left" w:pos="720"/>
        </w:tabs>
        <w:ind w:firstLine="709"/>
        <w:jc w:val="both"/>
      </w:pPr>
      <w:r w:rsidRPr="008D4B8B">
        <w:t>Aktuali problema yra netolygus socialinių paslaugų pasiskirstymas Klaipėdos mieste bei priemiesčio teritorijose. Daugiausiai socialinių paslaugų infrastruktūros objektų – lopšelių, darželių, mokyklų, neformaliojo ugdymo įstaigų ir pan. sutelkta pietinėje miesto dalyje, o šiaurinėje miesto dalyje jaučiamas minėtos infrastruktūros trūkumas. Dar labiau socialinė infrastruktūra nėra išvystyta priemiesčio teritorijose, į kurias pastarąjį dešimtmetį persikraustė nemažai klaipėdiečių. Dėl netolygaus socialinės infrastruktūros pasiskirstymo žmonės yra priversti vežti vaikus į lopšelius, darželius, mokyklas bei popamokines veiklas į kitą miesto dalį, dažniausiai vykstama individualiais automobiliais, tai sukuria didelius eismo srautus miesto gatvėse, nesaugias eismo sąlygas, automobilių stovėjimo vietų trūkumo problemas, automobilių išmetamomis dujomis teršiamas oras.</w:t>
      </w:r>
    </w:p>
    <w:p w:rsidR="00BA72F4" w:rsidRPr="008D4B8B" w:rsidRDefault="00BA72F4" w:rsidP="00BA72F4">
      <w:pPr>
        <w:tabs>
          <w:tab w:val="left" w:pos="720"/>
        </w:tabs>
        <w:jc w:val="both"/>
      </w:pPr>
      <w:r w:rsidRPr="008D4B8B">
        <w:tab/>
        <w:t xml:space="preserve">Klaipėdos miesto ekonominiai rodikliai yra vieni geriausių tarp šalies savivaldybių. Mieste mažėja nedarbo lygis, 2017 m. jis sudarė 6,4 proc. (registruotų bedarbių ir darbingo amžiaus gyventojų santykis, žr. 4 pav.), tiesa, šis rodiklis nėra toks geras, koks buvo iki 2008 m. ekonominio nuosmukio, kai rodiklis siekė tik 3,0–3,5 proc. Tačiau Klaipėdos miesto situacija, vertinant pagal šį rodiklį, yra žymiai geresnė nei kitų šalies vietovių. </w:t>
      </w:r>
    </w:p>
    <w:p w:rsidR="00BA72F4" w:rsidRPr="008D4B8B" w:rsidRDefault="00BA72F4" w:rsidP="00BA72F4">
      <w:pPr>
        <w:tabs>
          <w:tab w:val="left" w:pos="720"/>
        </w:tabs>
        <w:jc w:val="both"/>
      </w:pPr>
    </w:p>
    <w:p w:rsidR="00BA72F4" w:rsidRPr="008D4B8B" w:rsidRDefault="00BA72F4" w:rsidP="00BA72F4">
      <w:pPr>
        <w:tabs>
          <w:tab w:val="left" w:pos="720"/>
        </w:tabs>
        <w:jc w:val="both"/>
      </w:pPr>
      <w:r w:rsidRPr="008D4B8B">
        <w:rPr>
          <w:noProof/>
          <w:lang w:val="en-US"/>
        </w:rPr>
        <w:drawing>
          <wp:inline distT="0" distB="0" distL="0" distR="0" wp14:anchorId="12CAC27A" wp14:editId="1FC76332">
            <wp:extent cx="6130290" cy="1892300"/>
            <wp:effectExtent l="0" t="0" r="3810" b="12700"/>
            <wp:docPr id="4"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A72F4" w:rsidRPr="008D4B8B" w:rsidRDefault="00BA72F4" w:rsidP="00BA72F4">
      <w:pPr>
        <w:tabs>
          <w:tab w:val="left" w:pos="720"/>
        </w:tabs>
        <w:jc w:val="both"/>
      </w:pPr>
    </w:p>
    <w:p w:rsidR="00BA72F4" w:rsidRPr="008D4B8B" w:rsidRDefault="00BA72F4" w:rsidP="00BA72F4">
      <w:pPr>
        <w:tabs>
          <w:tab w:val="left" w:pos="720"/>
        </w:tabs>
        <w:jc w:val="center"/>
      </w:pPr>
      <w:r w:rsidRPr="008D4B8B">
        <w:t>4 pav. Lietuvos Respublikos ir Klaipėdos miesto registruotų bedarbių ir darbingo amžiaus gyventojų santykis 2005–2017 m. Šaltinis – Lietuvos statistikos departamentas.</w:t>
      </w:r>
    </w:p>
    <w:p w:rsidR="00BA72F4" w:rsidRPr="008D4B8B" w:rsidRDefault="00BA72F4" w:rsidP="00BA72F4">
      <w:pPr>
        <w:ind w:firstLine="709"/>
        <w:jc w:val="center"/>
        <w:rPr>
          <w:b/>
          <w:noProof/>
        </w:rPr>
      </w:pPr>
    </w:p>
    <w:p w:rsidR="00BA72F4" w:rsidRPr="008D4B8B" w:rsidRDefault="00BA72F4" w:rsidP="00BA72F4">
      <w:pPr>
        <w:ind w:firstLine="709"/>
        <w:jc w:val="both"/>
        <w:rPr>
          <w:noProof/>
        </w:rPr>
      </w:pPr>
      <w:r w:rsidRPr="008D4B8B">
        <w:rPr>
          <w:noProof/>
        </w:rPr>
        <w:t xml:space="preserve">Mieste veikiančių mažų ir vidutinių įmonių skaičius pastaraisiais metais augo ir 2018 m. sudarė 5451 (žr. 5 pav.). Gyventojų verslumo koeficientas 2018 m. sudarė 36,76 (tūkstančiui </w:t>
      </w:r>
      <w:r w:rsidRPr="008D4B8B">
        <w:rPr>
          <w:noProof/>
        </w:rPr>
        <w:lastRenderedPageBreak/>
        <w:t>gyventojų teko 36,76 mažos ir vidutinės įmonės) (žr. 6 pav.). Vertinant pagal šį rodiklį, Klaipėdos miestas 2018 m. užėmė 3 vietą tarp didžiųjų Lietuvos miestų (2018 m. Vilniuje tūkstančiui gyventojų teko 54,99 mažos ir vidutinės įmonės, Kaune atitinkamai 40, Šiauliuose – 29,53, o Panevėžyje – 29,29)</w:t>
      </w:r>
    </w:p>
    <w:p w:rsidR="00BA72F4" w:rsidRPr="008D4B8B" w:rsidRDefault="00BA72F4" w:rsidP="00BA72F4">
      <w:pPr>
        <w:ind w:firstLine="709"/>
        <w:jc w:val="both"/>
        <w:rPr>
          <w:noProof/>
        </w:rPr>
      </w:pPr>
    </w:p>
    <w:p w:rsidR="00BA72F4" w:rsidRPr="008D4B8B" w:rsidRDefault="00BA72F4" w:rsidP="00BA72F4">
      <w:pPr>
        <w:ind w:firstLine="709"/>
        <w:jc w:val="both"/>
        <w:rPr>
          <w:noProof/>
        </w:rPr>
      </w:pPr>
      <w:r w:rsidRPr="008D4B8B">
        <w:rPr>
          <w:noProof/>
          <w:lang w:val="en-US"/>
        </w:rPr>
        <w:drawing>
          <wp:inline distT="0" distB="0" distL="0" distR="0" wp14:anchorId="079382B0" wp14:editId="64B5EAD7">
            <wp:extent cx="4866005" cy="2345690"/>
            <wp:effectExtent l="0" t="0" r="10795" b="16510"/>
            <wp:docPr id="5"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A72F4" w:rsidRPr="008D4B8B" w:rsidRDefault="00BA72F4" w:rsidP="00BA72F4">
      <w:pPr>
        <w:tabs>
          <w:tab w:val="left" w:pos="720"/>
        </w:tabs>
        <w:jc w:val="center"/>
      </w:pPr>
      <w:r w:rsidRPr="008D4B8B">
        <w:t xml:space="preserve">5 pav. Klaipėdos mieste veikiančių mažų ir vidutinių įmonių skaičius 2005–2018 m. </w:t>
      </w:r>
    </w:p>
    <w:p w:rsidR="00BA72F4" w:rsidRPr="008D4B8B" w:rsidRDefault="00BA72F4" w:rsidP="00BA72F4">
      <w:pPr>
        <w:tabs>
          <w:tab w:val="left" w:pos="720"/>
        </w:tabs>
        <w:jc w:val="center"/>
      </w:pPr>
      <w:r w:rsidRPr="008D4B8B">
        <w:t>Šaltinis – Lietuvos statistikos departamentas.</w:t>
      </w:r>
    </w:p>
    <w:p w:rsidR="00BA72F4" w:rsidRPr="008D4B8B" w:rsidRDefault="00BA72F4" w:rsidP="00BA72F4">
      <w:pPr>
        <w:tabs>
          <w:tab w:val="left" w:pos="720"/>
        </w:tabs>
        <w:jc w:val="center"/>
      </w:pPr>
    </w:p>
    <w:p w:rsidR="00BA72F4" w:rsidRPr="008D4B8B" w:rsidRDefault="00BA72F4" w:rsidP="00BA72F4">
      <w:pPr>
        <w:tabs>
          <w:tab w:val="left" w:pos="720"/>
        </w:tabs>
        <w:jc w:val="center"/>
      </w:pPr>
      <w:r w:rsidRPr="008D4B8B">
        <w:rPr>
          <w:noProof/>
          <w:lang w:val="en-US"/>
        </w:rPr>
        <w:drawing>
          <wp:inline distT="0" distB="0" distL="0" distR="0" wp14:anchorId="41094E8A" wp14:editId="15F0445D">
            <wp:extent cx="4683125" cy="2273935"/>
            <wp:effectExtent l="0" t="0" r="3175" b="12065"/>
            <wp:docPr id="6"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A72F4" w:rsidRPr="008D4B8B" w:rsidRDefault="00BA72F4" w:rsidP="00BA72F4">
      <w:pPr>
        <w:tabs>
          <w:tab w:val="left" w:pos="720"/>
        </w:tabs>
        <w:jc w:val="center"/>
      </w:pPr>
    </w:p>
    <w:p w:rsidR="00BA72F4" w:rsidRPr="008D4B8B" w:rsidRDefault="00BA72F4" w:rsidP="00BA72F4">
      <w:pPr>
        <w:tabs>
          <w:tab w:val="left" w:pos="720"/>
        </w:tabs>
        <w:jc w:val="center"/>
      </w:pPr>
      <w:r w:rsidRPr="008D4B8B">
        <w:t xml:space="preserve">6 pav. Klaipėdos mieste veikiančių mažų ir vidutinių įmonių skaičius, tenkantis 1000 gyv. </w:t>
      </w:r>
    </w:p>
    <w:p w:rsidR="00BA72F4" w:rsidRPr="008D4B8B" w:rsidRDefault="00BA72F4" w:rsidP="00BA72F4">
      <w:pPr>
        <w:tabs>
          <w:tab w:val="left" w:pos="720"/>
        </w:tabs>
        <w:jc w:val="center"/>
      </w:pPr>
      <w:r w:rsidRPr="008D4B8B">
        <w:t>2010–2018 m. Šaltinis – Lietuvos statistikos departamentas.</w:t>
      </w:r>
    </w:p>
    <w:p w:rsidR="00BA72F4" w:rsidRPr="008D4B8B" w:rsidRDefault="00BA72F4" w:rsidP="00BA72F4">
      <w:pPr>
        <w:tabs>
          <w:tab w:val="left" w:pos="720"/>
        </w:tabs>
        <w:jc w:val="center"/>
      </w:pPr>
    </w:p>
    <w:p w:rsidR="00BA72F4" w:rsidRPr="008D4B8B" w:rsidRDefault="00BA72F4" w:rsidP="00BA72F4">
      <w:pPr>
        <w:tabs>
          <w:tab w:val="left" w:pos="720"/>
        </w:tabs>
        <w:ind w:firstLine="709"/>
        <w:jc w:val="both"/>
      </w:pPr>
      <w:r w:rsidRPr="008D4B8B">
        <w:t>Tiesioginių užsienio investicijų (TUI) dydis, tenkantis vienam žmogui, per pastaruosius penkerius metus augo ir 2017 m. vienam Klaipėdos miesto gyventojui teko 6122 Eur TUI. Šis rodiklis buvo aukštesnis nei šalies vidurkis ir tarp didžiųjų miestų Klaipėdą lenkė tik sostinė Vilnius (žr. 7 pav.).</w:t>
      </w:r>
    </w:p>
    <w:p w:rsidR="00BA72F4" w:rsidRPr="008D4B8B" w:rsidRDefault="00BA72F4" w:rsidP="00BA72F4">
      <w:pPr>
        <w:jc w:val="center"/>
        <w:rPr>
          <w:b/>
          <w:noProof/>
        </w:rPr>
      </w:pPr>
    </w:p>
    <w:p w:rsidR="00BA72F4" w:rsidRPr="008D4B8B" w:rsidRDefault="00BA72F4" w:rsidP="00BA72F4">
      <w:pPr>
        <w:jc w:val="center"/>
        <w:rPr>
          <w:b/>
          <w:noProof/>
        </w:rPr>
      </w:pPr>
    </w:p>
    <w:p w:rsidR="00BA72F4" w:rsidRPr="008D4B8B" w:rsidRDefault="00BA72F4" w:rsidP="00BA72F4">
      <w:pPr>
        <w:jc w:val="center"/>
        <w:rPr>
          <w:b/>
          <w:noProof/>
        </w:rPr>
      </w:pPr>
      <w:r w:rsidRPr="008D4B8B">
        <w:rPr>
          <w:noProof/>
          <w:lang w:val="en-US"/>
        </w:rPr>
        <w:lastRenderedPageBreak/>
        <w:drawing>
          <wp:inline distT="0" distB="0" distL="0" distR="0" wp14:anchorId="1D16CB3E" wp14:editId="6AE1220D">
            <wp:extent cx="6130290" cy="4190365"/>
            <wp:effectExtent l="0" t="0" r="3810" b="635"/>
            <wp:docPr id="7"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A72F4" w:rsidRPr="008D4B8B" w:rsidRDefault="00BA72F4" w:rsidP="00BA72F4">
      <w:pPr>
        <w:jc w:val="center"/>
        <w:rPr>
          <w:b/>
          <w:noProof/>
        </w:rPr>
      </w:pPr>
    </w:p>
    <w:p w:rsidR="00BA72F4" w:rsidRPr="008D4B8B" w:rsidRDefault="00BA72F4" w:rsidP="00BA72F4">
      <w:pPr>
        <w:tabs>
          <w:tab w:val="left" w:pos="720"/>
        </w:tabs>
        <w:jc w:val="center"/>
      </w:pPr>
      <w:r w:rsidRPr="008D4B8B">
        <w:t>7 pav. Lietuvos Respublikos, Vilniaus m., Kauno m., Klaipėdos m., Šiaulių m. tiesioginės užsienio investicijos, tenkančios vienam gyventojui 2010–2017 m. Šaltinis – Lietuvos statistikos departamentas.</w:t>
      </w:r>
    </w:p>
    <w:p w:rsidR="00BA72F4" w:rsidRPr="008D4B8B" w:rsidRDefault="00BA72F4" w:rsidP="00BA72F4">
      <w:pPr>
        <w:tabs>
          <w:tab w:val="left" w:pos="720"/>
        </w:tabs>
        <w:jc w:val="center"/>
      </w:pPr>
    </w:p>
    <w:p w:rsidR="00BA72F4" w:rsidRPr="008D4B8B" w:rsidRDefault="00BA72F4" w:rsidP="00BA72F4">
      <w:pPr>
        <w:tabs>
          <w:tab w:val="left" w:pos="720"/>
        </w:tabs>
        <w:ind w:firstLine="709"/>
        <w:jc w:val="both"/>
      </w:pPr>
      <w:r w:rsidRPr="008D4B8B">
        <w:t xml:space="preserve">Vidutinis mėnesinis (bruto) darbo užmokestis Klaipėdos mieste pastaraisiais metais augo ir 2018 m. sudarė 943,5 Eur. Tai daugiau nei šalies vidurkis (884,8 Eur), tarp didžiųjų šalies miestų pagal šį rodiklį Klaipėda nusileido tik sostinei (žr. 8 pav.) </w:t>
      </w:r>
    </w:p>
    <w:p w:rsidR="00BA72F4" w:rsidRPr="008D4B8B" w:rsidRDefault="00BA72F4" w:rsidP="00BA72F4">
      <w:pPr>
        <w:tabs>
          <w:tab w:val="left" w:pos="720"/>
        </w:tabs>
        <w:ind w:firstLine="709"/>
        <w:jc w:val="both"/>
      </w:pPr>
    </w:p>
    <w:p w:rsidR="00BA72F4" w:rsidRPr="008D4B8B" w:rsidRDefault="00BA72F4" w:rsidP="00BA72F4">
      <w:pPr>
        <w:ind w:firstLine="709"/>
        <w:jc w:val="center"/>
        <w:rPr>
          <w:b/>
          <w:noProof/>
        </w:rPr>
      </w:pPr>
      <w:r w:rsidRPr="008D4B8B">
        <w:rPr>
          <w:noProof/>
          <w:lang w:val="en-US"/>
        </w:rPr>
        <w:drawing>
          <wp:inline distT="0" distB="0" distL="0" distR="0" wp14:anchorId="0E7FCB77" wp14:editId="4EF8F237">
            <wp:extent cx="5359400" cy="2162810"/>
            <wp:effectExtent l="0" t="0" r="12700" b="8890"/>
            <wp:docPr id="8"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A72F4" w:rsidRPr="008D4B8B" w:rsidRDefault="00BA72F4" w:rsidP="00BA72F4">
      <w:pPr>
        <w:jc w:val="center"/>
        <w:rPr>
          <w:b/>
          <w:noProof/>
        </w:rPr>
      </w:pPr>
    </w:p>
    <w:p w:rsidR="00BA72F4" w:rsidRPr="008D4B8B" w:rsidRDefault="00BA72F4" w:rsidP="00BA72F4">
      <w:pPr>
        <w:ind w:firstLine="720"/>
        <w:jc w:val="center"/>
        <w:rPr>
          <w:bCs/>
        </w:rPr>
      </w:pPr>
      <w:r w:rsidRPr="008D4B8B">
        <w:rPr>
          <w:bCs/>
        </w:rPr>
        <w:t xml:space="preserve">8 pav. Vidutinis mėnesinis (neto) darbo užmokestis Eur/mėn. 2018 m. </w:t>
      </w:r>
      <w:r w:rsidRPr="008D4B8B">
        <w:t>Šaltinis – Lietuvos statistikos departamentas.</w:t>
      </w:r>
    </w:p>
    <w:p w:rsidR="00BA72F4" w:rsidRPr="008D4B8B" w:rsidRDefault="00BA72F4" w:rsidP="00BA72F4">
      <w:pPr>
        <w:ind w:firstLine="709"/>
        <w:jc w:val="center"/>
        <w:rPr>
          <w:b/>
          <w:noProof/>
        </w:rPr>
      </w:pPr>
    </w:p>
    <w:p w:rsidR="00BA72F4" w:rsidRPr="008D4B8B" w:rsidRDefault="00BA72F4" w:rsidP="00BA72F4">
      <w:pPr>
        <w:pStyle w:val="prastasiniatinklio"/>
        <w:shd w:val="clear" w:color="auto" w:fill="FFFFFF"/>
        <w:ind w:firstLine="720"/>
        <w:jc w:val="both"/>
        <w:rPr>
          <w:rFonts w:ascii="Times New Roman" w:eastAsia="Calibri" w:hAnsi="Times New Roman" w:cs="Times New Roman"/>
          <w:noProof/>
          <w:lang w:val="lt-LT"/>
        </w:rPr>
      </w:pPr>
      <w:r w:rsidRPr="008D4B8B">
        <w:rPr>
          <w:rFonts w:ascii="Times New Roman" w:eastAsia="Calibri" w:hAnsi="Times New Roman" w:cs="Times New Roman"/>
          <w:noProof/>
          <w:lang w:val="lt-LT"/>
        </w:rPr>
        <w:t xml:space="preserve">Kadangi Klaipėdos mieste veikia daug uosto, pramonės, logistikos įmonių, miesto gatvėmis vyksta intensyvus eismas, miesto savivaldybei ir miestiečiams viena iš svarbiausių aktualijų yra aplinkos tarša ir jos prevencija. </w:t>
      </w:r>
    </w:p>
    <w:p w:rsidR="00BA72F4" w:rsidRPr="008D4B8B" w:rsidRDefault="00BA72F4" w:rsidP="00BA72F4">
      <w:pPr>
        <w:pStyle w:val="prastasiniatinklio"/>
        <w:shd w:val="clear" w:color="auto" w:fill="FFFFFF"/>
        <w:ind w:firstLine="720"/>
        <w:jc w:val="both"/>
        <w:rPr>
          <w:rFonts w:ascii="Times New Roman" w:eastAsia="Calibri" w:hAnsi="Times New Roman" w:cs="Times New Roman"/>
          <w:lang w:val="lt-LT"/>
        </w:rPr>
      </w:pPr>
      <w:r w:rsidRPr="008D4B8B">
        <w:rPr>
          <w:rFonts w:ascii="Times New Roman" w:eastAsia="Calibri" w:hAnsi="Times New Roman" w:cs="Times New Roman"/>
          <w:noProof/>
          <w:lang w:val="lt-LT"/>
        </w:rPr>
        <w:lastRenderedPageBreak/>
        <w:t xml:space="preserve">Siekiant matuoti aplinkos taršos rodiklius, kasmet atliekamas aplinkos monitoringas, kurio metu atliekami oro, paviršinių vandens telkinių, maudyklų, dirvožemio užterštumo tyrimai, triukšmo monitoringas. Monitoringo rezultatai viešai prieinami interneto svetainėje www.aplinka.klaipeda.lt.  </w:t>
      </w:r>
    </w:p>
    <w:p w:rsidR="00BA72F4" w:rsidRPr="008D4B8B" w:rsidRDefault="00BA72F4" w:rsidP="00BA72F4">
      <w:pPr>
        <w:pStyle w:val="prastasiniatinklio"/>
        <w:shd w:val="clear" w:color="auto" w:fill="FFFFFF"/>
        <w:ind w:firstLine="720"/>
        <w:jc w:val="both"/>
        <w:rPr>
          <w:rFonts w:ascii="Times New Roman" w:eastAsia="Calibri" w:hAnsi="Times New Roman" w:cs="Times New Roman"/>
          <w:lang w:val="lt-LT"/>
        </w:rPr>
      </w:pPr>
      <w:r w:rsidRPr="008D4B8B">
        <w:rPr>
          <w:rFonts w:ascii="Times New Roman" w:eastAsia="Calibri" w:hAnsi="Times New Roman" w:cs="Times New Roman"/>
          <w:lang w:val="lt-LT"/>
        </w:rPr>
        <w:t>Oro kokybė. Klaipėdos miesto savivaldybės orą labiausiai teršia autotransporto išmetamosios dujos ir stambių pramoninių ūkio subjektų teršalų išmetimai. Higieniniu požiūriu pagrindiniai teršalai: anglies monoksidas (CO) ir kietosios dalelės (toliau – KD</w:t>
      </w:r>
      <w:r w:rsidRPr="008D4B8B">
        <w:rPr>
          <w:rFonts w:ascii="Times New Roman" w:eastAsia="Calibri" w:hAnsi="Times New Roman" w:cs="Times New Roman"/>
          <w:vertAlign w:val="subscript"/>
          <w:lang w:val="lt-LT"/>
        </w:rPr>
        <w:t>10</w:t>
      </w:r>
      <w:r w:rsidRPr="008D4B8B">
        <w:rPr>
          <w:rFonts w:ascii="Times New Roman" w:eastAsia="Calibri" w:hAnsi="Times New Roman" w:cs="Times New Roman"/>
          <w:lang w:val="lt-LT"/>
        </w:rPr>
        <w:t xml:space="preserve">). </w:t>
      </w:r>
    </w:p>
    <w:p w:rsidR="00BA72F4" w:rsidRPr="008D4B8B" w:rsidRDefault="00BA72F4" w:rsidP="00BA72F4">
      <w:pPr>
        <w:pStyle w:val="prastasiniatinklio"/>
        <w:shd w:val="clear" w:color="auto" w:fill="FFFFFF"/>
        <w:ind w:firstLine="720"/>
        <w:jc w:val="both"/>
        <w:rPr>
          <w:rFonts w:ascii="Times New Roman" w:eastAsia="Times New Roman" w:hAnsi="Times New Roman" w:cs="Times New Roman"/>
          <w:lang w:val="lt-LT" w:eastAsia="lt-LT"/>
        </w:rPr>
      </w:pPr>
      <w:r w:rsidRPr="008D4B8B">
        <w:rPr>
          <w:rFonts w:ascii="Times New Roman" w:hAnsi="Times New Roman" w:cs="Times New Roman"/>
          <w:lang w:val="lt-LT" w:eastAsia="lt-LT"/>
        </w:rPr>
        <w:t xml:space="preserve">Oro kokybę Klaipėdos mieste taip pat matuoja dvi stacionarios taršos matavimo stotys,  kurių viena veikia miesto centre, kita – Šilutės pl. Vadovaujantis norminiais rodikliais, per metus neturėtų būti daugiau nei 35 parų, kai yra viršijama kietųjų dalelių paros ribinė vertė. 2015–2017 m. norminiai rodikliai nebuvo viršyti, o iki 2018 m. gruodžio 15 d. Šilutės pl. esančioje matavimo stotyje fiksuotos net 58 paros, kai oro tarša viršijo ribines vertes (žr. 9 pav.). Oro taršai kietosiomis dalelėmis 2018 m. įtakos turėjo išaugę transporto srautai šioje miesto dalyje ir tai, kad ilgą laiką laikėsi sausi orai, iškrito palyginti mažai kritulių.  </w:t>
      </w:r>
    </w:p>
    <w:p w:rsidR="00BA72F4" w:rsidRPr="008D4B8B" w:rsidRDefault="00BA72F4" w:rsidP="00BA72F4">
      <w:pPr>
        <w:pStyle w:val="prastasiniatinklio"/>
        <w:shd w:val="clear" w:color="auto" w:fill="FFFFFF"/>
        <w:ind w:firstLine="720"/>
        <w:jc w:val="both"/>
        <w:rPr>
          <w:rFonts w:ascii="Times New Roman" w:eastAsia="Calibri" w:hAnsi="Times New Roman" w:cs="Times New Roman"/>
          <w:noProof/>
          <w:lang w:val="lt-LT"/>
        </w:rPr>
      </w:pPr>
      <w:r w:rsidRPr="008D4B8B">
        <w:rPr>
          <w:rFonts w:ascii="Times New Roman" w:eastAsia="Calibri" w:hAnsi="Times New Roman" w:cs="Times New Roman"/>
          <w:noProof/>
          <w:lang w:val="en-US"/>
        </w:rPr>
        <w:drawing>
          <wp:inline distT="0" distB="0" distL="0" distR="0" wp14:anchorId="57AD41B6" wp14:editId="2E1C44FE">
            <wp:extent cx="5669280" cy="3093085"/>
            <wp:effectExtent l="0" t="0" r="7620" b="12065"/>
            <wp:docPr id="9" name="Diagrama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A72F4" w:rsidRPr="008D4B8B" w:rsidRDefault="00BA72F4" w:rsidP="00BA72F4">
      <w:pPr>
        <w:tabs>
          <w:tab w:val="left" w:pos="1296"/>
          <w:tab w:val="center" w:pos="4153"/>
          <w:tab w:val="right" w:pos="8306"/>
        </w:tabs>
        <w:jc w:val="center"/>
        <w:rPr>
          <w:bCs/>
        </w:rPr>
      </w:pPr>
      <w:r w:rsidRPr="008D4B8B">
        <w:rPr>
          <w:bCs/>
        </w:rPr>
        <w:t>9 pav. Parų skaičius, kai Klaipėdos mieste buvo viršyta kietųjų dalelių (KD</w:t>
      </w:r>
      <w:r w:rsidRPr="008D4B8B">
        <w:rPr>
          <w:bCs/>
          <w:vertAlign w:val="subscript"/>
        </w:rPr>
        <w:t>10</w:t>
      </w:r>
      <w:r w:rsidRPr="008D4B8B">
        <w:rPr>
          <w:bCs/>
        </w:rPr>
        <w:t>) paros ribinė vertė 2009–2018 m.  Šaltinis – Lietuvos aplinkos apsaugos agentūra, portalas www.gamta.lt, 2015 m.</w:t>
      </w:r>
    </w:p>
    <w:p w:rsidR="00BA72F4" w:rsidRPr="008D4B8B" w:rsidRDefault="00BA72F4" w:rsidP="00BA72F4">
      <w:pPr>
        <w:tabs>
          <w:tab w:val="left" w:pos="1296"/>
          <w:tab w:val="center" w:pos="4153"/>
          <w:tab w:val="right" w:pos="8306"/>
        </w:tabs>
        <w:jc w:val="center"/>
        <w:rPr>
          <w:bCs/>
        </w:rPr>
      </w:pPr>
      <w:r w:rsidRPr="008D4B8B">
        <w:rPr>
          <w:bCs/>
        </w:rPr>
        <w:t>*2018 m. duomenys išankstiniai (2018 m. gruodžio 5 d. duomenys).</w:t>
      </w:r>
    </w:p>
    <w:p w:rsidR="00BA72F4" w:rsidRPr="008D4B8B" w:rsidRDefault="00BA72F4" w:rsidP="00BA72F4">
      <w:pPr>
        <w:tabs>
          <w:tab w:val="left" w:pos="1296"/>
          <w:tab w:val="center" w:pos="4153"/>
          <w:tab w:val="right" w:pos="8306"/>
        </w:tabs>
        <w:jc w:val="center"/>
        <w:rPr>
          <w:bCs/>
        </w:rPr>
      </w:pPr>
    </w:p>
    <w:p w:rsidR="00BA72F4" w:rsidRPr="008D4B8B" w:rsidRDefault="00BA72F4" w:rsidP="00BA72F4">
      <w:pPr>
        <w:pStyle w:val="Default"/>
        <w:ind w:firstLine="709"/>
        <w:jc w:val="both"/>
      </w:pPr>
      <w:r w:rsidRPr="008D4B8B">
        <w:t>Vykdant Klaipėdos miesto aplinkos monitoringo programą, 2018 m. aplinkos oro stebėsena buvo vykdyta 28 vietose, kuriose matuojamas užterštumas azoto dioksidu, sieros dioksidu, kietosiomis dalelėmis, anglies monoksidu ir lakiaisiais organiniais junginiais (LOJ). 2018 m. III ketvirtyje NO</w:t>
      </w:r>
      <w:r w:rsidRPr="008D4B8B">
        <w:rPr>
          <w:vertAlign w:val="subscript"/>
        </w:rPr>
        <w:t>2</w:t>
      </w:r>
      <w:r w:rsidRPr="008D4B8B">
        <w:t xml:space="preserve"> koncentracijos aplinkos ore kito nuo 12,02 iki 58,94 μg/m3. Didžiausios koncentracijos registruotos tyrimo taške Pilies g. SO</w:t>
      </w:r>
      <w:r w:rsidRPr="008D4B8B">
        <w:rPr>
          <w:vertAlign w:val="subscript"/>
        </w:rPr>
        <w:t>2</w:t>
      </w:r>
      <w:r w:rsidRPr="008D4B8B">
        <w:t xml:space="preserve"> koncentracijos aplinkos buvo nedidelės ir kito &lt;2,01 – 4,65 μg/m3 ribose. Didžiausia koncentracija registruota tyrimo taške Vingio g. LOJ koncentracijų dinamika aplinkos ore: benzeno 0,37–2,93 μg/m</w:t>
      </w:r>
      <w:r w:rsidRPr="008D4B8B">
        <w:rPr>
          <w:vertAlign w:val="superscript"/>
        </w:rPr>
        <w:t>3</w:t>
      </w:r>
      <w:r w:rsidRPr="008D4B8B">
        <w:t>; tolueno 0,66–244,65 μg/m</w:t>
      </w:r>
      <w:r w:rsidRPr="008D4B8B">
        <w:rPr>
          <w:vertAlign w:val="superscript"/>
        </w:rPr>
        <w:t>3</w:t>
      </w:r>
      <w:r w:rsidRPr="008D4B8B">
        <w:t>; etilbenzeno &lt;0,51–29,31 μg/m</w:t>
      </w:r>
      <w:r w:rsidRPr="008D4B8B">
        <w:rPr>
          <w:vertAlign w:val="superscript"/>
        </w:rPr>
        <w:t>3</w:t>
      </w:r>
      <w:r w:rsidRPr="008D4B8B">
        <w:t>; mp-ksileno 0,65-86,41 μg/m</w:t>
      </w:r>
      <w:r w:rsidRPr="008D4B8B">
        <w:rPr>
          <w:vertAlign w:val="superscript"/>
        </w:rPr>
        <w:t>3</w:t>
      </w:r>
      <w:r w:rsidRPr="008D4B8B">
        <w:t>; o-ksileno &lt;0,51-44,21 μg/m</w:t>
      </w:r>
      <w:r w:rsidRPr="008D4B8B">
        <w:rPr>
          <w:vertAlign w:val="superscript"/>
        </w:rPr>
        <w:t>3</w:t>
      </w:r>
      <w:r w:rsidRPr="008D4B8B">
        <w:t>. KD</w:t>
      </w:r>
      <w:r w:rsidRPr="008D4B8B">
        <w:rPr>
          <w:vertAlign w:val="subscript"/>
        </w:rPr>
        <w:t>10</w:t>
      </w:r>
      <w:r w:rsidRPr="008D4B8B">
        <w:t xml:space="preserve"> koncentracijų vertės aplinkos ore kito 13,81–34,66 μg/</w:t>
      </w:r>
    </w:p>
    <w:p w:rsidR="00BA72F4" w:rsidRPr="008D4B8B" w:rsidRDefault="00BA72F4" w:rsidP="00BA72F4">
      <w:pPr>
        <w:shd w:val="clear" w:color="auto" w:fill="FFFFFF"/>
        <w:ind w:firstLine="709"/>
        <w:jc w:val="both"/>
      </w:pPr>
      <w:r w:rsidRPr="008D4B8B">
        <w:t xml:space="preserve">Triukšmo monitoringas. 2017 m. triukšmo tyrimai buvo atliekami 42-ose miesto vietose. Jose maksimalus triukšmo lygis kito nuo 47,8 dBA iki 88,4 dBA. Dienos metu ribinis dydis viršytas 36, vakaro metu 31 ir nakties 28 tyrimo vietose. Didžiausias triukšmo lygis išmatuotas prie Klaipėdos vaikų ligoninės (K. Donelaičio g. 7), gyvenamųjų namų H. Manto g. 5, Tiltų g. 27, Pilies g. 3, Vingio g. 47, Sendvario progimnazijos, pietinėje Rimkų gyvenvietės dalyje, pravažiuojant traukiniams, krovininiams automobiliams, autobusams. </w:t>
      </w:r>
    </w:p>
    <w:p w:rsidR="00BA72F4" w:rsidRPr="008D4B8B" w:rsidRDefault="00BA72F4" w:rsidP="00BA72F4">
      <w:pPr>
        <w:shd w:val="clear" w:color="auto" w:fill="FFFFFF"/>
        <w:ind w:firstLine="709"/>
        <w:jc w:val="both"/>
        <w:rPr>
          <w:shd w:val="clear" w:color="auto" w:fill="FFFFFF"/>
        </w:rPr>
      </w:pPr>
      <w:r w:rsidRPr="008D4B8B">
        <w:rPr>
          <w:bCs/>
          <w:shd w:val="clear" w:color="auto" w:fill="FFFFFF"/>
        </w:rPr>
        <w:t>Vykdant paviršinių vandens telkinių</w:t>
      </w:r>
      <w:r w:rsidRPr="008D4B8B">
        <w:rPr>
          <w:shd w:val="clear" w:color="auto" w:fill="FFFFFF"/>
        </w:rPr>
        <w:t xml:space="preserve"> monitoringą siekiama nustatyti vandens telkinių būklę, cheminių medžiagų kiekį, jų koncentracijos pokyčius, antropogeninės taršos mastą ir poveikį </w:t>
      </w:r>
      <w:r w:rsidRPr="008D4B8B">
        <w:rPr>
          <w:shd w:val="clear" w:color="auto" w:fill="FFFFFF"/>
        </w:rPr>
        <w:lastRenderedPageBreak/>
        <w:t xml:space="preserve">telkinių būklei. 2018 m. tyrimai parodė, kad pagal ekologinę būklę bei ekologinio potencialo klasę geresnės būklės yra Klaipėdos miesto upės – Danės upė, Smeltalė, Klaipėdos kanalas, o prastenės būklės yra tvenkiniai – Jono kalnelio, Žardės, Malūno parko, Draugystės parko ir kt. </w:t>
      </w:r>
    </w:p>
    <w:p w:rsidR="00BA72F4" w:rsidRPr="008D4B8B" w:rsidRDefault="00BA72F4" w:rsidP="00BA72F4">
      <w:pPr>
        <w:ind w:firstLine="709"/>
        <w:jc w:val="both"/>
        <w:rPr>
          <w:shd w:val="clear" w:color="auto" w:fill="FFFFFF"/>
        </w:rPr>
      </w:pPr>
      <w:r w:rsidRPr="008D4B8B">
        <w:rPr>
          <w:shd w:val="clear" w:color="auto" w:fill="FFFFFF"/>
        </w:rPr>
        <w:t>Apibendrinus 2018 m. I–III ketvirčiais vykdytą Klaipėdos miesto aplinkos monitoringą matyti, kad Klaipėdos gamtinės aplinkos kokybė yra vidutiniška – būdinga daugumai  didmiesčių.</w:t>
      </w:r>
    </w:p>
    <w:p w:rsidR="00BA72F4" w:rsidRPr="008D4B8B" w:rsidRDefault="00BA72F4" w:rsidP="00BA72F4">
      <w:pPr>
        <w:ind w:firstLine="709"/>
        <w:jc w:val="both"/>
        <w:rPr>
          <w:noProof/>
        </w:rPr>
      </w:pPr>
      <w:r w:rsidRPr="008D4B8B">
        <w:rPr>
          <w:shd w:val="clear" w:color="auto" w:fill="FFFFFF"/>
        </w:rPr>
        <w:t>Siekiant geresnės aplinkos oro kokybės, reikia mažinti eismo srautus, todėl labai svarbu išvystyti susiekimo viešuoju transportu infrastruktūrą bei maršrutus, propaguoti naudojimąsi ne individualiu automobiliu, o viešuoju transportu, pėsčiomis, dviračiu.</w:t>
      </w:r>
      <w:r w:rsidRPr="008D4B8B">
        <w:rPr>
          <w:color w:val="FF0000"/>
          <w:shd w:val="clear" w:color="auto" w:fill="FFFFFF"/>
        </w:rPr>
        <w:t xml:space="preserve"> </w:t>
      </w:r>
      <w:r w:rsidRPr="008D4B8B">
        <w:rPr>
          <w:shd w:val="clear" w:color="auto" w:fill="FFFFFF"/>
        </w:rPr>
        <w:t xml:space="preserve">Pastaraisiais metais viešasis transportas tapo patrauklesnis – </w:t>
      </w:r>
      <w:r w:rsidRPr="008D4B8B">
        <w:t xml:space="preserve">visi miesto autobusai tapo ne tik žemagrindžiai, bet ir bendro spalvinio sprendinio, miesto maršrutuose nebeliko senesnių kaip 20 metų autobusų, visose transporto priemonėse įrengtos elektroninės švieslentės bei salonuose įrengtos filmavimo kameros. Demografinės tendencijos lėmė antrus metus iš eilės bendrą kelionių viešuoju transportu mažėjimą – </w:t>
      </w:r>
      <w:r w:rsidRPr="008D4B8B">
        <w:rPr>
          <w:shd w:val="clear" w:color="auto" w:fill="FFFFFF"/>
        </w:rPr>
        <w:t xml:space="preserve">2017 m. vienam  klaipėdiečiui per metus vidutiniškai teko 195 kelionės autobusu (žr. 10 pav.). </w:t>
      </w:r>
    </w:p>
    <w:p w:rsidR="00BA72F4" w:rsidRPr="008D4B8B" w:rsidRDefault="00BA72F4" w:rsidP="00BA72F4">
      <w:pPr>
        <w:ind w:firstLine="709"/>
        <w:jc w:val="both"/>
        <w:rPr>
          <w:noProof/>
        </w:rPr>
      </w:pPr>
    </w:p>
    <w:p w:rsidR="00BA72F4" w:rsidRPr="008D4B8B" w:rsidRDefault="00BA72F4" w:rsidP="00BA72F4">
      <w:pPr>
        <w:ind w:firstLine="709"/>
        <w:jc w:val="both"/>
        <w:rPr>
          <w:noProof/>
        </w:rPr>
      </w:pPr>
      <w:r w:rsidRPr="008D4B8B">
        <w:rPr>
          <w:noProof/>
          <w:lang w:val="en-US"/>
        </w:rPr>
        <w:drawing>
          <wp:inline distT="0" distB="0" distL="0" distR="0" wp14:anchorId="2CBEC6C6" wp14:editId="76E8C9E6">
            <wp:extent cx="5669280" cy="3363595"/>
            <wp:effectExtent l="0" t="0" r="7620" b="8255"/>
            <wp:docPr id="10" name="Diagrama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A72F4" w:rsidRPr="008D4B8B" w:rsidRDefault="00BA72F4" w:rsidP="00BA72F4">
      <w:pPr>
        <w:rPr>
          <w:b/>
          <w:noProof/>
        </w:rPr>
      </w:pPr>
      <w:r w:rsidRPr="008D4B8B">
        <w:rPr>
          <w:noProof/>
          <w:lang w:eastAsia="lt-LT"/>
        </w:rPr>
        <w:t xml:space="preserve"> </w:t>
      </w:r>
    </w:p>
    <w:p w:rsidR="00BA72F4" w:rsidRPr="008D4B8B" w:rsidRDefault="00BA72F4" w:rsidP="00BA72F4">
      <w:pPr>
        <w:ind w:firstLine="709"/>
        <w:jc w:val="center"/>
        <w:rPr>
          <w:noProof/>
        </w:rPr>
      </w:pPr>
      <w:r w:rsidRPr="008D4B8B">
        <w:rPr>
          <w:noProof/>
        </w:rPr>
        <w:t>10 pav. Vienam gyventojui vidutiniškai per metus tenkančių kelionių autobusu skaičius. Šaltinis – Lietuvos statistikos departamentas.</w:t>
      </w:r>
    </w:p>
    <w:p w:rsidR="00BA72F4" w:rsidRPr="008D4B8B" w:rsidRDefault="00BA72F4" w:rsidP="00BA72F4">
      <w:pPr>
        <w:ind w:firstLine="709"/>
        <w:jc w:val="center"/>
        <w:rPr>
          <w:noProof/>
        </w:rPr>
      </w:pPr>
    </w:p>
    <w:p w:rsidR="00BA72F4" w:rsidRPr="008D4B8B" w:rsidRDefault="00BA72F4" w:rsidP="00BA72F4">
      <w:pPr>
        <w:ind w:firstLine="709"/>
        <w:jc w:val="both"/>
        <w:rPr>
          <w:noProof/>
        </w:rPr>
      </w:pPr>
      <w:r w:rsidRPr="008D4B8B">
        <w:rPr>
          <w:noProof/>
        </w:rPr>
        <w:t>Rengiant Klaipėdos miesto savivaldybės darnaus judumo planą, buvo atlikta modalinio kelionių pasiskirstymo analizė, kuri parodė, kad 34 procentai miesto gyventojų kasdieninėms kelionėms renkasi individualų automobilį, 30 procentų keliauja viešuoju transportu, 33 proc. – pėsčiomis, o 3 proc. – dviračiais (žr. 11 pav.).</w:t>
      </w:r>
    </w:p>
    <w:p w:rsidR="00BA72F4" w:rsidRPr="008D4B8B" w:rsidRDefault="00BA72F4" w:rsidP="00BA72F4">
      <w:pPr>
        <w:ind w:firstLine="709"/>
        <w:jc w:val="both"/>
        <w:rPr>
          <w:noProof/>
        </w:rPr>
      </w:pPr>
    </w:p>
    <w:p w:rsidR="00BA72F4" w:rsidRPr="008D4B8B" w:rsidRDefault="00BA72F4" w:rsidP="00BA72F4">
      <w:pPr>
        <w:ind w:firstLine="709"/>
        <w:jc w:val="center"/>
        <w:rPr>
          <w:noProof/>
        </w:rPr>
      </w:pPr>
      <w:r w:rsidRPr="008D4B8B">
        <w:rPr>
          <w:noProof/>
          <w:lang w:val="en-US"/>
        </w:rPr>
        <w:lastRenderedPageBreak/>
        <w:drawing>
          <wp:inline distT="0" distB="0" distL="0" distR="0" wp14:anchorId="2DDC63BC" wp14:editId="44CE753D">
            <wp:extent cx="4580255" cy="2751455"/>
            <wp:effectExtent l="0" t="0" r="10795" b="10795"/>
            <wp:docPr id="11" name="Diagrama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A72F4" w:rsidRPr="008D4B8B" w:rsidRDefault="00BA72F4" w:rsidP="00BA72F4">
      <w:pPr>
        <w:ind w:firstLine="709"/>
        <w:jc w:val="center"/>
        <w:rPr>
          <w:noProof/>
        </w:rPr>
      </w:pPr>
    </w:p>
    <w:p w:rsidR="00BA72F4" w:rsidRPr="008D4B8B" w:rsidRDefault="00BA72F4" w:rsidP="00BA72F4">
      <w:pPr>
        <w:ind w:firstLine="709"/>
        <w:jc w:val="center"/>
        <w:rPr>
          <w:noProof/>
        </w:rPr>
      </w:pPr>
      <w:r w:rsidRPr="008D4B8B">
        <w:rPr>
          <w:noProof/>
        </w:rPr>
        <w:t>11 pav. Modalinis kelionių pasiskirstymas Klaipėdos mieste 2017 m., proc. Šaltinis – Klaipėdos miesto savivaldybės darnaus judumo planas, patvirtintas Klaipėdos miesto savivaldybės 2018 m. rugsėjo 13 d. sprendimu Nr. T2-185.</w:t>
      </w:r>
    </w:p>
    <w:p w:rsidR="00BA72F4" w:rsidRPr="008D4B8B" w:rsidRDefault="00BA72F4" w:rsidP="00BA72F4">
      <w:pPr>
        <w:ind w:firstLine="709"/>
        <w:jc w:val="center"/>
        <w:rPr>
          <w:noProof/>
        </w:rPr>
      </w:pPr>
    </w:p>
    <w:p w:rsidR="00BA72F4" w:rsidRPr="008D4B8B" w:rsidRDefault="00BA72F4" w:rsidP="00BA72F4">
      <w:pPr>
        <w:ind w:firstLine="709"/>
        <w:jc w:val="both"/>
        <w:rPr>
          <w:noProof/>
        </w:rPr>
      </w:pPr>
      <w:r w:rsidRPr="008D4B8B">
        <w:rPr>
          <w:noProof/>
        </w:rPr>
        <w:t xml:space="preserve">Siekiant, kad daugiau žmonių naudotųsi ne individualiu automobiliu, o keliautų pėsčiomis, dviračiais bei viešuoju transportu, svarbu pritaikyti susisiekimo infrastruktūrą pėstiesiems, dviratininkams ir sudaryti saugias eismo sąlygas visiems eismo dalyviams. Nors per pastarąjį dešimtmetį kelių eismo įvykių, registruotų Klaipėdos mieste, taip pat kelių eismo įvykiuose sužeistų ir žuvusių asmenų  skaičius išliko stabilus (žr. 12 pav.), ir, lyginant su kitomis Lietuvos savivaldybėmis, nebuvo išskirtinis, tačiau, lyginant su saugiais Europos miestais, šis skaičius yra per didelis. </w:t>
      </w:r>
    </w:p>
    <w:p w:rsidR="00BA72F4" w:rsidRPr="008D4B8B" w:rsidRDefault="00BA72F4" w:rsidP="00BA72F4">
      <w:pPr>
        <w:ind w:firstLine="709"/>
        <w:jc w:val="both"/>
        <w:rPr>
          <w:noProof/>
        </w:rPr>
      </w:pPr>
    </w:p>
    <w:p w:rsidR="00BA72F4" w:rsidRPr="008D4B8B" w:rsidRDefault="00BA72F4" w:rsidP="00BA72F4">
      <w:pPr>
        <w:ind w:firstLine="709"/>
        <w:jc w:val="both"/>
        <w:rPr>
          <w:noProof/>
        </w:rPr>
      </w:pPr>
      <w:r w:rsidRPr="008D4B8B">
        <w:rPr>
          <w:noProof/>
          <w:lang w:val="en-US"/>
        </w:rPr>
        <w:drawing>
          <wp:inline distT="0" distB="0" distL="0" distR="0" wp14:anchorId="7AEAF9E9" wp14:editId="7B5A0D77">
            <wp:extent cx="5478145" cy="3506470"/>
            <wp:effectExtent l="0" t="0" r="8255" b="17780"/>
            <wp:docPr id="12" name="Diagrama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A72F4" w:rsidRPr="008D4B8B" w:rsidRDefault="00BA72F4" w:rsidP="00BA72F4">
      <w:pPr>
        <w:rPr>
          <w:noProof/>
        </w:rPr>
      </w:pPr>
    </w:p>
    <w:p w:rsidR="00BA72F4" w:rsidRPr="008D4B8B" w:rsidRDefault="00BA72F4" w:rsidP="00BA72F4">
      <w:pPr>
        <w:ind w:firstLine="709"/>
        <w:jc w:val="center"/>
        <w:rPr>
          <w:noProof/>
        </w:rPr>
      </w:pPr>
      <w:r w:rsidRPr="008D4B8B">
        <w:rPr>
          <w:noProof/>
        </w:rPr>
        <w:t>12 pav. Kelių eismo įvykių, kelių eismo įvykiuose sužeistųjų ir žuvusiųjų skaičius Klaipėdos mieste 2006–2017 m. Šaltinis – Lietuvos statistikos departamentas.</w:t>
      </w:r>
    </w:p>
    <w:p w:rsidR="00BA72F4" w:rsidRPr="008D4B8B" w:rsidRDefault="00BA72F4" w:rsidP="00BA72F4">
      <w:pPr>
        <w:ind w:firstLine="709"/>
        <w:jc w:val="center"/>
        <w:rPr>
          <w:noProof/>
        </w:rPr>
      </w:pPr>
    </w:p>
    <w:p w:rsidR="00BA72F4" w:rsidRPr="008D4B8B" w:rsidRDefault="00BA72F4" w:rsidP="00BA72F4">
      <w:pPr>
        <w:ind w:firstLine="709"/>
        <w:jc w:val="both"/>
        <w:rPr>
          <w:noProof/>
        </w:rPr>
      </w:pPr>
      <w:r w:rsidRPr="008D4B8B">
        <w:rPr>
          <w:noProof/>
        </w:rPr>
        <w:t>Klaipėda yra daugiafunkcis miestas, kuriame vystomos uosto, pramonės, logistikos, kito verslo veiklos, tačiau labai svarbi ūkio šaka yra ir turizmo sektorius. Miestas priima kruizinius laivus, kuriais kasmet atvyksta tūkstančiai turistų, organizuojami dideli tarptautiniai jūriniai renginiai – regatos, pritraukiančios turistus iš šalies ir užsienio, taip pat organizuojami įvairūs kultūriniai renginiai – šventės, festivaliai, koncertai ir t. t. Turizmo daromą poveikį miesto ekonomikai geriausiai atspindi apgyvendinimo įstaigų užimtumo rodikliai, nes tyrimų duomenys patvirtina, kad daugiausiai pinigų mieste išleidžia turistai, kurie apsistoja nakvoti bent vienai nakčiai. Statistikos duomenys rodo, kad 2018 m. apgyvendinimo įstaigose apsistojančių  asmenų skaičius, lyginant su praėjusių metų rezultatais, išaugo 9,8 proc.  (žr. 13 pav.).</w:t>
      </w:r>
    </w:p>
    <w:p w:rsidR="00BA72F4" w:rsidRPr="008D4B8B" w:rsidRDefault="00BA72F4" w:rsidP="00BA72F4">
      <w:pPr>
        <w:rPr>
          <w:noProof/>
        </w:rPr>
      </w:pPr>
    </w:p>
    <w:p w:rsidR="00BA72F4" w:rsidRPr="008D4B8B" w:rsidRDefault="00BA72F4" w:rsidP="00BA72F4">
      <w:pPr>
        <w:ind w:firstLine="709"/>
        <w:jc w:val="center"/>
        <w:rPr>
          <w:noProof/>
        </w:rPr>
      </w:pPr>
      <w:r w:rsidRPr="008D4B8B">
        <w:rPr>
          <w:noProof/>
          <w:lang w:val="en-US"/>
        </w:rPr>
        <w:drawing>
          <wp:inline distT="0" distB="0" distL="0" distR="0" wp14:anchorId="23825EF3" wp14:editId="06FF00DF">
            <wp:extent cx="5048885" cy="3180715"/>
            <wp:effectExtent l="0" t="0" r="18415" b="635"/>
            <wp:docPr id="13" name="Diagrama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A72F4" w:rsidRPr="008D4B8B" w:rsidRDefault="00BA72F4" w:rsidP="00BA72F4">
      <w:pPr>
        <w:rPr>
          <w:noProof/>
        </w:rPr>
      </w:pPr>
    </w:p>
    <w:p w:rsidR="00BA72F4" w:rsidRPr="008D4B8B" w:rsidRDefault="00BA72F4" w:rsidP="00BA72F4">
      <w:pPr>
        <w:ind w:firstLine="709"/>
        <w:jc w:val="center"/>
        <w:rPr>
          <w:noProof/>
        </w:rPr>
      </w:pPr>
      <w:r w:rsidRPr="008D4B8B">
        <w:rPr>
          <w:noProof/>
        </w:rPr>
        <w:t>13 pav. Apgyvendintų turistų skaičius apgyvendinimo įstaigose Klaipėdos mieste 2012–2017 m. Šaltinis – Lietuvos statistikos departamentas.</w:t>
      </w:r>
    </w:p>
    <w:p w:rsidR="00BA72F4" w:rsidRPr="008D4B8B" w:rsidRDefault="00BA72F4" w:rsidP="00BA72F4">
      <w:pPr>
        <w:ind w:firstLine="709"/>
        <w:jc w:val="center"/>
        <w:rPr>
          <w:b/>
          <w:noProof/>
        </w:rPr>
      </w:pPr>
      <w:r w:rsidRPr="008D4B8B">
        <w:rPr>
          <w:b/>
          <w:noProof/>
          <w:lang w:eastAsia="lt-LT"/>
        </w:rPr>
        <w:t xml:space="preserve"> </w:t>
      </w:r>
    </w:p>
    <w:p w:rsidR="00BA72F4" w:rsidRPr="008D4B8B" w:rsidRDefault="00BA72F4" w:rsidP="00BA72F4">
      <w:pPr>
        <w:jc w:val="center"/>
        <w:rPr>
          <w:b/>
          <w:noProof/>
        </w:rPr>
      </w:pPr>
      <w:r w:rsidRPr="008D4B8B">
        <w:rPr>
          <w:b/>
          <w:noProof/>
        </w:rPr>
        <w:t xml:space="preserve">III SKYRIUS </w:t>
      </w:r>
    </w:p>
    <w:p w:rsidR="00BA72F4" w:rsidRPr="008D4B8B" w:rsidRDefault="00BA72F4" w:rsidP="00BA72F4">
      <w:pPr>
        <w:jc w:val="center"/>
        <w:rPr>
          <w:b/>
          <w:noProof/>
        </w:rPr>
      </w:pPr>
      <w:r w:rsidRPr="008D4B8B">
        <w:rPr>
          <w:b/>
          <w:noProof/>
        </w:rPr>
        <w:t>KLAIPĖDOS MIESTO VYSTYMO PRIORITETAI</w:t>
      </w:r>
    </w:p>
    <w:p w:rsidR="00BA72F4" w:rsidRPr="008D4B8B" w:rsidRDefault="00BA72F4" w:rsidP="00BA72F4">
      <w:pPr>
        <w:rPr>
          <w:b/>
          <w:noProof/>
        </w:rPr>
      </w:pPr>
    </w:p>
    <w:p w:rsidR="00BA72F4" w:rsidRPr="008D4B8B" w:rsidRDefault="00BA72F4" w:rsidP="00BA72F4">
      <w:pPr>
        <w:ind w:firstLine="709"/>
        <w:jc w:val="both"/>
        <w:rPr>
          <w:noProof/>
        </w:rPr>
      </w:pPr>
      <w:r w:rsidRPr="008D4B8B">
        <w:rPr>
          <w:noProof/>
        </w:rPr>
        <w:t xml:space="preserve">Klaipėdos miesto savivaldybės </w:t>
      </w:r>
      <w:r w:rsidRPr="008D4B8B">
        <w:t xml:space="preserve">2013–2020 m. </w:t>
      </w:r>
      <w:r w:rsidRPr="008D4B8B">
        <w:rPr>
          <w:noProof/>
        </w:rPr>
        <w:t>strateginiame plėtros</w:t>
      </w:r>
      <w:r w:rsidRPr="008D4B8B">
        <w:rPr>
          <w:b/>
          <w:noProof/>
        </w:rPr>
        <w:t xml:space="preserve"> </w:t>
      </w:r>
      <w:r w:rsidRPr="008D4B8B">
        <w:rPr>
          <w:noProof/>
        </w:rPr>
        <w:t>plane išskirti trys miesto vystymo prioritetai: 1. Sveika, sumani ir saugi bendruomenė; 2. Tvari urbanistinė raida; 3. Miesto konkurencingumo didinimas. Toliau pateikiama glausta informacija, ką Klaipėdos miesto savivaldybės institucijos ketina nuveikti 2019–2021 m., įgyvendindamos prioritetuose numatytus tikslus, uždavinius ir priemones. Reikėtų pažymėti tai, kad 2019 m. bus pradėtas rengti Klaipėdos miesto savivaldybės  2021–2030 metų  strateginis plėtros planas, rengimo metu bus peržiūrėti dabartiniai  miesto prioritetai, įvertinta jų atitiktis  dabartinei situacijai, suformuoti naujo laikotarpio prioritetai, tikslai ir uždaviniai.</w:t>
      </w:r>
    </w:p>
    <w:p w:rsidR="00BA72F4" w:rsidRPr="008D4B8B" w:rsidRDefault="00BA72F4" w:rsidP="00BA72F4">
      <w:pPr>
        <w:ind w:firstLine="709"/>
        <w:jc w:val="both"/>
        <w:rPr>
          <w:noProof/>
        </w:rPr>
      </w:pPr>
    </w:p>
    <w:p w:rsidR="00BA72F4" w:rsidRPr="008D4B8B" w:rsidRDefault="00BA72F4" w:rsidP="00BA72F4">
      <w:pPr>
        <w:jc w:val="center"/>
        <w:rPr>
          <w:b/>
          <w:noProof/>
        </w:rPr>
      </w:pPr>
      <w:r w:rsidRPr="008D4B8B">
        <w:rPr>
          <w:b/>
          <w:noProof/>
        </w:rPr>
        <w:t xml:space="preserve">PIRMASIS SKIRSNIS </w:t>
      </w:r>
    </w:p>
    <w:p w:rsidR="00BA72F4" w:rsidRPr="008D4B8B" w:rsidRDefault="00BA72F4" w:rsidP="00BA72F4">
      <w:pPr>
        <w:jc w:val="center"/>
        <w:rPr>
          <w:b/>
          <w:noProof/>
        </w:rPr>
      </w:pPr>
      <w:r w:rsidRPr="008D4B8B">
        <w:rPr>
          <w:b/>
          <w:noProof/>
        </w:rPr>
        <w:t>SVEIKA, SUMANI IR SAUGI BENDRUOMENĖ</w:t>
      </w:r>
    </w:p>
    <w:p w:rsidR="00BA72F4" w:rsidRPr="008D4B8B" w:rsidRDefault="00BA72F4" w:rsidP="00BA72F4">
      <w:pPr>
        <w:jc w:val="center"/>
        <w:rPr>
          <w:b/>
          <w:noProof/>
        </w:rPr>
      </w:pPr>
    </w:p>
    <w:p w:rsidR="00BA72F4" w:rsidRPr="008D4B8B" w:rsidRDefault="00BA72F4" w:rsidP="00BA72F4">
      <w:pPr>
        <w:ind w:firstLine="709"/>
        <w:jc w:val="both"/>
        <w:rPr>
          <w:noProof/>
        </w:rPr>
      </w:pPr>
      <w:r w:rsidRPr="008D4B8B">
        <w:rPr>
          <w:noProof/>
        </w:rPr>
        <w:t xml:space="preserve">Norėdama skatinti gyventojų bendruomeniškumą, savivaldybė ketina toliau remti nevyriausybinių organizacijų (NVO) veiklą. Savivaldybė nuosekliai didina finansavimo lygį nebiudžetiniame sektoriuje veikiančių organizacijų projektams, programoms vykdyti (palyginti, nuo 1,7 mln. Eur 2015 m. finansavimas išaugo iki 2,9 mln. 2018 m.), siekia įtraukti gyventojus į </w:t>
      </w:r>
      <w:r w:rsidRPr="008D4B8B">
        <w:rPr>
          <w:noProof/>
        </w:rPr>
        <w:lastRenderedPageBreak/>
        <w:t>sprendimų priėmimą, ypač svarstant aktualius daugiabučių namų kiemų tvarkymo, įvairių paslaugų teikimo klausimus.</w:t>
      </w:r>
    </w:p>
    <w:p w:rsidR="00BA72F4" w:rsidRPr="008D4B8B" w:rsidRDefault="00BA72F4" w:rsidP="00BA72F4">
      <w:pPr>
        <w:ind w:firstLine="709"/>
        <w:jc w:val="both"/>
        <w:rPr>
          <w:noProof/>
        </w:rPr>
      </w:pPr>
      <w:r w:rsidRPr="008D4B8B">
        <w:rPr>
          <w:noProof/>
        </w:rPr>
        <w:t xml:space="preserve">Siekiant skatinti savanorystę, gyventojų bendruomeniškumą ir verslumą, Klaipėdos mieste bus įgyvendinama Klaipėdos miesto integruotų investicijų teritorijos vietos veiklos grupės 2016–2022 m. vietos plėtros strategija, šiai strategijai įgyvendinti skirta 2 mln. Eur, iš jų 513 tūkst. Eur sudarys Klaipėdos miesto savivaldybės lėšos (Klaipėdos miestas prie vietos plėtros strategijos įgyvendinimo prisideda daugiausiai iš visų savivaldybių). Įgyvendinant strategiją atrenkami ir  įgyvendinami geriausi verslo organizacijų ir  NVO bendruomenės inicijuotos plėtros projektai. </w:t>
      </w:r>
    </w:p>
    <w:p w:rsidR="00BA72F4" w:rsidRPr="008D4B8B" w:rsidRDefault="00BA72F4" w:rsidP="00BA72F4">
      <w:pPr>
        <w:ind w:firstLine="742"/>
        <w:jc w:val="both"/>
        <w:rPr>
          <w:noProof/>
        </w:rPr>
      </w:pPr>
      <w:r w:rsidRPr="008D4B8B">
        <w:rPr>
          <w:noProof/>
        </w:rPr>
        <w:t>Ypač aktualus miestui yra jaunimo pritraukimo ir išlaikymo mieste klausimas, dėl to įgyvendinamos ir planuojamos įgyvendinti įvairios priemonės – bendradarbiaujama su mieste veikiančiomis profesinėmis ir aukštosiomis mokyklomis, siekiant kuo plačiau išviešinti miesto, Vakarų Lietuvos regiono ir visos šalies jaunimui galimybes mokytis Klaipėdoje, įsteigtos stipendijos gabiems ir talentingiems 1-ojo kurso studentams, organizuojamas jaunimo ir su jaunimo dirbančių NVO projektų rėmimas, planuojama atverti naują erdvę, skirtą prasmingam jaunimo laisvalaikiui, miesto tikslinėje teritorijoje, buvusio baseino pastate Paryžiaus Komunos g., kurio rekonstrukcija bus pradėta 2019 m. 2018 m. Klaipėdos miesto savivaldybė kartu su jaunimo organizacijomis parengė paraišką ir  sėkmingai dalyvavo konkurso „Europos jaunimo sostinė“ atrankoje. Finaliniame etape, kuris vyko Serbijos mieste Novi Sade, buvo paskelbta, kad Klaipėdos miestas 2021 m. bus jaunimo sostinė.  2019–2021 m. bus įgyvendinama ambicinga Europos sostinės programa, susidedanti iš trijų krypčių: VEIK (jaunimo socialinis ir pilietinis aktyvumas), KURK (į jaunimą orientuota kūrybiškumo ir verslo aplinka) bei ATSKLEISK (atviras, draugiškas ir patrauklus jaunimui miestas). Tikimasi, kad šios programos įgyvendinimas sustiprins miesto jaunimo politiką, sudarys sąlygas išlaikyti ir pritraukti į miestą jaunus, gabius ir talentingus žmones.</w:t>
      </w:r>
    </w:p>
    <w:p w:rsidR="00BA72F4" w:rsidRPr="008D4B8B" w:rsidRDefault="00BA72F4" w:rsidP="00BA72F4">
      <w:pPr>
        <w:pStyle w:val="prastasiniatinklio"/>
        <w:ind w:firstLine="720"/>
        <w:jc w:val="both"/>
        <w:rPr>
          <w:rFonts w:ascii="Times New Roman" w:eastAsia="Calibri" w:hAnsi="Times New Roman" w:cs="Times New Roman"/>
          <w:noProof/>
          <w:lang w:val="lt-LT"/>
        </w:rPr>
      </w:pPr>
      <w:r w:rsidRPr="008D4B8B">
        <w:rPr>
          <w:rFonts w:ascii="Times New Roman" w:eastAsia="Calibri" w:hAnsi="Times New Roman" w:cs="Times New Roman"/>
          <w:noProof/>
          <w:lang w:val="lt-LT"/>
        </w:rPr>
        <w:t xml:space="preserve">Klaipėdos miestas yra aktyvus Sveikų miestų tinklo narys, dėl to mieste intensyviai dirbama populiarinant sveiką gyvenimo būdą nuo pat vaikystės, siekiama sveiko senėjimo, organizuojami renginiai, užsiėmimai, skatinantys gyventojus judėti. </w:t>
      </w:r>
    </w:p>
    <w:p w:rsidR="00BA72F4" w:rsidRPr="008D4B8B" w:rsidRDefault="00BA72F4" w:rsidP="00BA72F4">
      <w:pPr>
        <w:ind w:firstLine="709"/>
        <w:jc w:val="both"/>
        <w:rPr>
          <w:b/>
        </w:rPr>
      </w:pPr>
      <w:r w:rsidRPr="008D4B8B">
        <w:rPr>
          <w:noProof/>
        </w:rPr>
        <w:t xml:space="preserve">2018 m. pastatytas Klaipėdos daugiafunkcis sveikatingumo centras (50 m ilgio baseinas) jau sėkmingai funkcionuoja, o 2019–2021 m. vėl numatomos investicijos į sveikatingumo ir sporto infrastruktūrą –   bus vykdomi rekonstrukcijos darbai </w:t>
      </w:r>
      <w:r w:rsidRPr="008D4B8B">
        <w:t>Klaipėdos irklavimo bazėje (Gluosnių g.) bei Futbolo mokyklos ir buvusio baseino pastatuose (Paryžiaus Komunos g.)</w:t>
      </w:r>
      <w:r w:rsidRPr="008D4B8B">
        <w:rPr>
          <w:bCs/>
        </w:rPr>
        <w:t xml:space="preserve">. Kadangi 2017 m. uosto reikmėms perduota sporto salė Burių g. 19, o įgyvendinant teritorijų planavimo dokumentų sprendinius numatyta nugriauti sporto salę, esančią Pilies g. 2A, 2018 m. parengtas naujos sporto salės statybos techninis projektas. Nauja sporto salė, atsirasianti šiaurinėje miesto dalyje, kompensuos minėtas abi sporto sales, nes patalpų sporto mokyklų ir klubų treniruotėms trūkumo problema yra labai aktuali. Klaipėdos miesto </w:t>
      </w:r>
      <w:r w:rsidRPr="008D4B8B">
        <w:t>savivaldybės taryba 2018 m. rugsėjo 27 d. sprendimu T2-214 pritarė tam, kad būtų įgyvendinamas partnerystės projektas dėl Klaipėdos sporto ir laisvalaikio komplekso statybos, valdymo ir naudojimo perdavimo pagal koncesijos sutartį. Šis sprendimas atvėrė galimybę organizuoti koncesijos konkursą, kurio metu būtų atrinktas investuotojas, buvusios II vandenvietės teritorijoje įrengsiantis sporto ir laisvalaikio kompleksą. Planuojama, kad komplekse bus  krepšinio, lauko teniso, tinklinio, rankinio, salės futbolo, badmintono infrastruktūra, dvi ledo aikštelės bei komercinės patalpos.</w:t>
      </w:r>
    </w:p>
    <w:p w:rsidR="00BA72F4" w:rsidRPr="008D4B8B" w:rsidRDefault="00BA72F4" w:rsidP="00BA72F4">
      <w:pPr>
        <w:pStyle w:val="prastasiniatinklio"/>
        <w:ind w:firstLine="709"/>
        <w:jc w:val="both"/>
        <w:rPr>
          <w:rFonts w:ascii="Times New Roman" w:eastAsia="Calibri" w:hAnsi="Times New Roman" w:cs="Times New Roman"/>
          <w:lang w:val="lt-LT" w:eastAsia="lt-LT"/>
        </w:rPr>
      </w:pPr>
      <w:r w:rsidRPr="008D4B8B">
        <w:rPr>
          <w:rFonts w:ascii="Times New Roman" w:eastAsia="Calibri" w:hAnsi="Times New Roman" w:cs="Times New Roman"/>
          <w:bCs/>
          <w:lang w:val="lt-LT"/>
        </w:rPr>
        <w:t xml:space="preserve">Siekiant paskatinti miesto gyventojus, ypač vaikus ir jaunimą daugiau judėti, svarbu investuoti ir į lauko sporto infrastruktūrą, prieinamą visuomenei. 2018 m. Sąjūdžio parke įrengta trasa riedutininkams, riedlentininkams ir BMX dviračių entuziastams, atnaujinti Vytauto Didžiojo gimnazijos ir „Versmės“ progimnazijos stadionai, pradėti stadiono įrengimo darbai „Verdenės“ progimnazijoje. </w:t>
      </w:r>
      <w:r w:rsidRPr="008D4B8B">
        <w:rPr>
          <w:rFonts w:ascii="Times New Roman" w:eastAsia="Calibri" w:hAnsi="Times New Roman" w:cs="Times New Roman"/>
          <w:lang w:val="lt-LT"/>
        </w:rPr>
        <w:t xml:space="preserve">Šia infrastruktūra po mokyklų darbo valandų gali naudotis visi miestiečiai.  Bendrojo ugdymo mokyklų sporto infrastruktūros atnaujinimo programa bus vykdoma ir 2019–2021 m. </w:t>
      </w:r>
      <w:r w:rsidRPr="008D4B8B">
        <w:rPr>
          <w:rFonts w:ascii="Times New Roman" w:eastAsia="Calibri" w:hAnsi="Times New Roman" w:cs="Times New Roman"/>
          <w:bCs/>
          <w:lang w:val="lt-LT"/>
        </w:rPr>
        <w:t>Tikimasi, kad nauji ir modernizuoti sporto objektai pritrauks į sporto ir kūno kultūros veiklas daugiau miestiečių, ypač vaikų ir jaunimo.</w:t>
      </w:r>
    </w:p>
    <w:p w:rsidR="00BA72F4" w:rsidRPr="008D4B8B" w:rsidRDefault="00BA72F4" w:rsidP="00BA72F4">
      <w:pPr>
        <w:ind w:firstLine="709"/>
        <w:jc w:val="both"/>
        <w:rPr>
          <w:noProof/>
        </w:rPr>
      </w:pPr>
      <w:r w:rsidRPr="008D4B8B">
        <w:rPr>
          <w:bCs/>
        </w:rPr>
        <w:t xml:space="preserve"> </w:t>
      </w:r>
      <w:r w:rsidRPr="008D4B8B">
        <w:rPr>
          <w:noProof/>
        </w:rPr>
        <w:t xml:space="preserve">Siekiant spręsti netolygaus socialinės infrastruktūros išvystymo problemas, šiaurinėje miesto dalyje 2019 m. bus pradėta naujos bendrojo ugdymo mokyklos statyba.  </w:t>
      </w:r>
    </w:p>
    <w:p w:rsidR="00BA72F4" w:rsidRPr="008D4B8B" w:rsidRDefault="00BA72F4" w:rsidP="00BA72F4">
      <w:pPr>
        <w:tabs>
          <w:tab w:val="left" w:pos="0"/>
          <w:tab w:val="left" w:pos="1832"/>
          <w:tab w:val="left" w:pos="2748"/>
          <w:tab w:val="left" w:pos="3664"/>
          <w:tab w:val="left" w:pos="4580"/>
          <w:tab w:val="left" w:pos="5496"/>
          <w:tab w:val="left" w:pos="6412"/>
          <w:tab w:val="left" w:pos="7328"/>
          <w:tab w:val="left" w:pos="8228"/>
          <w:tab w:val="left" w:pos="9160"/>
          <w:tab w:val="left" w:pos="10076"/>
          <w:tab w:val="left" w:pos="10992"/>
          <w:tab w:val="left" w:pos="11908"/>
          <w:tab w:val="left" w:pos="12824"/>
          <w:tab w:val="left" w:pos="13740"/>
          <w:tab w:val="left" w:pos="14656"/>
        </w:tabs>
        <w:ind w:firstLine="596"/>
        <w:jc w:val="both"/>
      </w:pPr>
      <w:r w:rsidRPr="008D4B8B">
        <w:rPr>
          <w:noProof/>
        </w:rPr>
        <w:lastRenderedPageBreak/>
        <w:t xml:space="preserve">Senėjant visuomenei, labai svarbus yra infrastruktūros ir paslaugų, skirtų senyvo amžiaus asmenų priežiūrai, vystymas. 2018 m. pradėti projektuoti </w:t>
      </w:r>
      <w:r w:rsidRPr="008D4B8B">
        <w:t>senyvo amžiaus asmenų globos namai  Vaivos g. 23, Melnragėje, statybos darbus numatoma atlikti iki 2021 m. pabaigos.</w:t>
      </w:r>
    </w:p>
    <w:p w:rsidR="00BA72F4" w:rsidRPr="008D4B8B" w:rsidRDefault="00BA72F4" w:rsidP="00BA72F4">
      <w:pPr>
        <w:ind w:firstLine="709"/>
        <w:jc w:val="both"/>
        <w:rPr>
          <w:noProof/>
        </w:rPr>
      </w:pPr>
      <w:r w:rsidRPr="008D4B8B">
        <w:rPr>
          <w:noProof/>
        </w:rPr>
        <w:t>Siekiant pritaikyti miestą senyvo amžiaus, neįgaliųjų ir šeimų su mažais vaikais poreikiams, asmens sveikatos priežiūros įstaigų pastatuose planuojama įrengti liftus, pastatyti naują vaikų konsultacinės poliklinikos pastatą, atitinkamai sutvarkyti viešąsias erdves senamiestyje ir kitose miesto dalyse.</w:t>
      </w:r>
    </w:p>
    <w:p w:rsidR="00BA72F4" w:rsidRPr="008D4B8B" w:rsidRDefault="00BA72F4" w:rsidP="00BA72F4">
      <w:pPr>
        <w:ind w:firstLine="709"/>
        <w:jc w:val="both"/>
        <w:rPr>
          <w:lang w:eastAsia="lt-LT"/>
        </w:rPr>
      </w:pPr>
      <w:r w:rsidRPr="008D4B8B">
        <w:rPr>
          <w:noProof/>
        </w:rPr>
        <w:t>Savivaldybė, norėdama mieste užtikrinti saugią aplinką, plėtoja Viešosios tvarkos skyriaus darbą ir intensyvina bendradarbiavimą su mieste veikiančiomis viešąjį saugumą užtikrinančiomis institucijomis. Kartu su Vyriausiuoju policijos komisariatu įgyvendinami prevenciniai projektai („Saugus kaimynas – saugus aš“,</w:t>
      </w:r>
      <w:r w:rsidRPr="008D4B8B">
        <w:t xml:space="preserve"> „Būk pilietiškas, būk saugus, </w:t>
      </w:r>
      <w:r w:rsidRPr="008D4B8B">
        <w:rPr>
          <w:noProof/>
        </w:rPr>
        <w:t xml:space="preserve">„Saugus eismas – saugus Tu“ ir kt.),  kurių tikslai – užkardyti nusikalstamas veikas, informuoti gyventojus apie saugų eismą, vykdyti smurto artimoje aplinkoje prevenciją. Bendradarbiaujant su Klaipėdos apskrities priešgaisrine gelbėjimo valdyba  įgyvendinamas gaisrų prevencijos projektas „Gyvenkime saugiai“. </w:t>
      </w:r>
    </w:p>
    <w:p w:rsidR="00BA72F4" w:rsidRPr="008D4B8B" w:rsidRDefault="00BA72F4" w:rsidP="00BA72F4">
      <w:pPr>
        <w:ind w:firstLine="709"/>
        <w:jc w:val="both"/>
        <w:rPr>
          <w:lang w:eastAsia="lt-LT"/>
        </w:rPr>
      </w:pPr>
    </w:p>
    <w:p w:rsidR="00BA72F4" w:rsidRPr="008D4B8B" w:rsidRDefault="00BA72F4" w:rsidP="00BA72F4">
      <w:pPr>
        <w:jc w:val="center"/>
        <w:rPr>
          <w:b/>
          <w:noProof/>
        </w:rPr>
      </w:pPr>
      <w:r w:rsidRPr="008D4B8B">
        <w:rPr>
          <w:b/>
          <w:noProof/>
        </w:rPr>
        <w:t>ANTRASIS SKIRSNIS</w:t>
      </w:r>
    </w:p>
    <w:p w:rsidR="00BA72F4" w:rsidRPr="008D4B8B" w:rsidRDefault="00BA72F4" w:rsidP="00BA72F4">
      <w:pPr>
        <w:jc w:val="center"/>
        <w:rPr>
          <w:b/>
          <w:noProof/>
        </w:rPr>
      </w:pPr>
      <w:r w:rsidRPr="008D4B8B">
        <w:rPr>
          <w:b/>
          <w:noProof/>
        </w:rPr>
        <w:t>TVARI URBANISTINĖ RAIDA</w:t>
      </w:r>
    </w:p>
    <w:p w:rsidR="00BA72F4" w:rsidRPr="008D4B8B" w:rsidRDefault="00BA72F4" w:rsidP="00BA72F4">
      <w:pPr>
        <w:pStyle w:val="Sraopastraipa"/>
        <w:ind w:left="1069"/>
        <w:rPr>
          <w:b/>
          <w:noProof/>
        </w:rPr>
      </w:pPr>
    </w:p>
    <w:p w:rsidR="00BA72F4" w:rsidRPr="008D4B8B" w:rsidRDefault="00BA72F4" w:rsidP="00BA72F4">
      <w:pPr>
        <w:ind w:left="-39" w:firstLine="748"/>
        <w:jc w:val="both"/>
      </w:pPr>
      <w:r w:rsidRPr="008D4B8B">
        <w:t xml:space="preserve">2018 m. planuota patvirtinti Klaipėdos miesto savivaldybės bendrojo plano koncepciją, tačiau savivaldybės tarybai nepriėmus sprendimo, dokumento rengimo procedūros bus tęsiamos 2019 m.  </w:t>
      </w:r>
      <w:r w:rsidRPr="008D4B8B">
        <w:rPr>
          <w:shd w:val="clear" w:color="auto" w:fill="FFFFFF"/>
        </w:rPr>
        <w:t>Patvirtinus Bendrąjį planą, bus sukurtos</w:t>
      </w:r>
      <w:r w:rsidRPr="008D4B8B">
        <w:t xml:space="preserve"> palankesnės sąlygos miesto plėtrai</w:t>
      </w:r>
      <w:r w:rsidRPr="008D4B8B">
        <w:rPr>
          <w:shd w:val="clear" w:color="auto" w:fill="FFFFFF"/>
        </w:rPr>
        <w:t xml:space="preserve"> ir suteiktos galimybės lanksčiau planuoti miesto teritorijas – ta pati teritorija galės turėti ir gyvenamąją, ir komercinę, ir visuomeninę paskirtį. </w:t>
      </w:r>
      <w:r w:rsidRPr="008D4B8B">
        <w:t xml:space="preserve">Miesto gyventojai ar verslo atstovai, norėdami keisti veiklos pobūdį, neprivalės keisti teritorijos paskirties, todėl šis planas leis lanksčiau ir greičiau vystyti miestą, pritraukti į teritorijas naujų investicijų. Bendrajame plane atsiras miesto centro ir pocentrių sistema. Bus atsisakoma vienafunkcio teritorijų planavimo – įvairiuose nuo miesto centro nutolusiuose mikrorajonuose bus kuriami mažieji centrai – paslaugų, prekybos, visuomeninės paskirties viešosios erdvės. </w:t>
      </w:r>
    </w:p>
    <w:p w:rsidR="00BA72F4" w:rsidRPr="008D4B8B" w:rsidRDefault="00BA72F4" w:rsidP="00BA72F4">
      <w:pPr>
        <w:ind w:firstLine="709"/>
        <w:jc w:val="both"/>
        <w:rPr>
          <w:noProof/>
        </w:rPr>
      </w:pPr>
      <w:r w:rsidRPr="008D4B8B">
        <w:rPr>
          <w:noProof/>
        </w:rPr>
        <w:t xml:space="preserve">Siekiant užtikrinti tolygią miesto raidą ir  sumažinti  socialinį atotrūkį tarp pietinės ir šiaurinės miesto dalies, 2015–2018 m. buvo daug investuota į pietinės miesto dalies viešųjų erdvių suvarkymą. 2018 m. sutvarkyti du </w:t>
      </w:r>
      <w:r w:rsidRPr="008D4B8B">
        <w:rPr>
          <w:iCs/>
          <w:lang w:eastAsia="lt-LT"/>
        </w:rPr>
        <w:t>pėsčiųjų takai tarp Gedminų g. ir Taikos pr. 99 bei Taikos pr. 109 namų, atlikti Sąjūdžio parko sutvarkymo II etapo darbai. 2019–2020 m. planuojama sutvarkyti teritoriją Pempininkų tako gale (ties Debreceno g. 18) bei Vingio mikrorajono aikštę.</w:t>
      </w:r>
      <w:r w:rsidRPr="008D4B8B">
        <w:rPr>
          <w:noProof/>
        </w:rPr>
        <w:t xml:space="preserve"> </w:t>
      </w:r>
    </w:p>
    <w:p w:rsidR="00BA72F4" w:rsidRPr="008D4B8B" w:rsidRDefault="00BA72F4" w:rsidP="00BA72F4">
      <w:pPr>
        <w:ind w:firstLine="709"/>
        <w:jc w:val="both"/>
        <w:rPr>
          <w:noProof/>
        </w:rPr>
      </w:pPr>
      <w:r w:rsidRPr="008D4B8B">
        <w:rPr>
          <w:noProof/>
        </w:rPr>
        <w:t>Centrinė miesto dalis yra labiausiai miestą reprezentuojanti vieta, todėl 2019–2020 m. planuojama daug darbų šioje miesto dalyje. 2018 m. pradėta tvarkyti skverą Puodžių ir Bokštų g., kuriame bus įrengtas paminklas Vydūnui. 2019–2021 m. planuojama sutvarkyti aikštę prie Santuokų rūmų, I. Kanto ir S. Daukanto g. sankryžoje esantį skverą, skverą Bokštų g. Vykdant Klaipėdos miesto 2014–2020 metų integruotų investicijų programą, tvarkomos viešosios erdvės tikslinėje miesto teritorijoje: 2018 m. pradėti Bastionų komplekso (Jono kalnelio) tvarkybos darbai, 2019–2021 m. bus tvarkomos Atgimimo aikštė, Senojo turgaus aikštė ir prieigos, Danės upės krantinės (į rytus nuo Biržos tilto) ir skveras, aikštė prie buvusio „Vaidilos“ kino teatro,  pėsčiųjų takas palei Taikos pr. nuo Sausio 15</w:t>
      </w:r>
      <w:r w:rsidRPr="008D4B8B">
        <w:rPr>
          <w:noProof/>
        </w:rPr>
        <w:noBreakHyphen/>
        <w:t>osios g. iki Kauno g., daugiabučių namų kvartalai.</w:t>
      </w:r>
    </w:p>
    <w:p w:rsidR="00BA72F4" w:rsidRPr="008D4B8B" w:rsidRDefault="00BA72F4" w:rsidP="00BA72F4">
      <w:pPr>
        <w:ind w:firstLine="709"/>
        <w:jc w:val="both"/>
        <w:rPr>
          <w:shd w:val="clear" w:color="auto" w:fill="FFFFFF"/>
        </w:rPr>
      </w:pPr>
      <w:r w:rsidRPr="008D4B8B">
        <w:rPr>
          <w:noProof/>
        </w:rPr>
        <w:t xml:space="preserve">Vienas iš svarbiausių savivaldybės siekių yra užtikrinti gyventojams aukštą gyvenamosios aplinkos kokybę, diegti mieste ekologiškus sprendimus. Kadangi vienas pagrindinių aplinkos oro taršos šaltinių yra automobilių išmetamos dujos, reikalingi sprendimai, kurie padėtų sumažinti ir reguliuoti automobilių transporto srautus taip, kad gyvenamuosiuose rajonuose taršos poveikis būtų kuo mažiau juntamas. Dėl to mieste siekiama diegti darnaus judumo principus. </w:t>
      </w:r>
      <w:r w:rsidRPr="008D4B8B">
        <w:rPr>
          <w:shd w:val="clear" w:color="auto" w:fill="FFFFFF"/>
        </w:rPr>
        <w:t xml:space="preserve">2018 m., įtraukiant miesto visuomenę, parengtas ir patvirtintas Klaipėdos miesto darnaus judumo veiksmų planas, kuriame suformuluota Klaipėdos vizija darnaus judumo aspektu: </w:t>
      </w:r>
      <w:r w:rsidRPr="008D4B8B">
        <w:rPr>
          <w:bCs/>
        </w:rPr>
        <w:t>sveikas ir aplinkai draugiškas, greitas ir patogus miestas.</w:t>
      </w:r>
      <w:r w:rsidRPr="008D4B8B">
        <w:rPr>
          <w:shd w:val="clear" w:color="auto" w:fill="FFFFFF"/>
        </w:rPr>
        <w:t xml:space="preserve"> Darnaus judumo veiksmų plane numatyta Klaipėdos mieste įdiegti greitojo ekologiško viešojo transporto sistemą, didinti viešojo transporto komfortą ir kokybę, skatinti intermodalumą, bevariklio transporto naudojimą, siekiama, kad ilgainiui senamiestis taptų </w:t>
      </w:r>
      <w:r w:rsidRPr="008D4B8B">
        <w:rPr>
          <w:shd w:val="clear" w:color="auto" w:fill="FFFFFF"/>
        </w:rPr>
        <w:lastRenderedPageBreak/>
        <w:t>zona be CO</w:t>
      </w:r>
      <w:r w:rsidRPr="008D4B8B">
        <w:rPr>
          <w:shd w:val="clear" w:color="auto" w:fill="FFFFFF"/>
          <w:vertAlign w:val="subscript"/>
        </w:rPr>
        <w:t>2</w:t>
      </w:r>
      <w:r w:rsidRPr="008D4B8B">
        <w:rPr>
          <w:shd w:val="clear" w:color="auto" w:fill="FFFFFF"/>
        </w:rPr>
        <w:t xml:space="preserve">, pritaikyti gatves, šaligatvius bei viešąsias erdves žmonėms su specialiaisiais poreikiais. Įgyvendinant šį planą, 2018 m. pradėtas rengti Senamiesčio gatvių ir pėsčiųjų takų sutvarkymo, pritaikant asmenims su specialiaisiais poreikiais, techninis projektas, kuris bus įgyvendamas 2019–2021 m. </w:t>
      </w:r>
    </w:p>
    <w:p w:rsidR="00BA72F4" w:rsidRPr="008D4B8B" w:rsidRDefault="00BA72F4" w:rsidP="00BA72F4">
      <w:pPr>
        <w:ind w:firstLine="709"/>
        <w:jc w:val="both"/>
        <w:textAlignment w:val="baseline"/>
        <w:rPr>
          <w:noProof/>
        </w:rPr>
      </w:pPr>
      <w:r w:rsidRPr="008D4B8B">
        <w:rPr>
          <w:noProof/>
        </w:rPr>
        <w:t xml:space="preserve">2019–2021 m. bus toliau vystoma dviračių takų infrastruktūra siekiant suformuoti magistralinį taką – žaliakelį, besidriekiantį per visą miestą. Kartu su užsienio partneriais įgyvendinant projektą „Uostamiesčiai: darnaus judumo principų integravimas (PORTIS)“, mieste planuojama įrengti </w:t>
      </w:r>
      <w:r w:rsidRPr="008D4B8B">
        <w:rPr>
          <w:bdr w:val="none" w:sz="0" w:space="0" w:color="auto" w:frame="1"/>
        </w:rPr>
        <w:t xml:space="preserve">dviračių saugyklas, plėsti 2017 m. pradėtą diegti dalijimosi dviračiais sistemą. Specialūs dviračių saugojimo konteineriai būtų statomi prie daugiabučių namų </w:t>
      </w:r>
      <w:r w:rsidRPr="008D4B8B">
        <w:rPr>
          <w:bdr w:val="none" w:sz="0" w:space="0" w:color="auto" w:frame="1"/>
          <w:lang w:eastAsia="lt-LT"/>
        </w:rPr>
        <w:t xml:space="preserve">ir švietimo įstaigų. Iš pradžių ketinama įkurdinti bandomuosius tokio pobūdžio statinius ir stebėti, ar jie pasiteisins. </w:t>
      </w:r>
      <w:r w:rsidRPr="008D4B8B">
        <w:rPr>
          <w:noProof/>
        </w:rPr>
        <w:t xml:space="preserve">Minėto projekto metu bus atlikta analizė ir pradėtas diegti transporto valdymo modelis, kai šviesoforai tam tikruose gatvių ruožuose (planuojama Minijos g.–Pilies g.–Naujojo Uosto g. magistralinė ašis) bus sureguliuoti žaliosios bangos principu, 2018 m. rengtas techninis projektas, o 2019–2021 bus įgyvendinama. </w:t>
      </w:r>
    </w:p>
    <w:p w:rsidR="00BA72F4" w:rsidRPr="008D4B8B" w:rsidRDefault="00BA72F4" w:rsidP="00BA72F4">
      <w:pPr>
        <w:ind w:firstLine="709"/>
        <w:jc w:val="both"/>
        <w:textAlignment w:val="baseline"/>
        <w:rPr>
          <w:i/>
        </w:rPr>
      </w:pPr>
      <w:r w:rsidRPr="008D4B8B">
        <w:rPr>
          <w:noProof/>
        </w:rPr>
        <w:t xml:space="preserve">Siekiant mažinti aplinkos oro taršą kietosiomis dalelėmis, 2018 m. atliktos pirkimo procedūros ir 2019 m. bus įsigytos aštuonios gatvių valymo mašinos, kurios nuolatos dirbs miesto gatvėse. </w:t>
      </w:r>
    </w:p>
    <w:p w:rsidR="00BA72F4" w:rsidRPr="008D4B8B" w:rsidRDefault="00BA72F4" w:rsidP="00BA72F4">
      <w:pPr>
        <w:ind w:firstLine="709"/>
        <w:jc w:val="both"/>
        <w:rPr>
          <w:noProof/>
        </w:rPr>
      </w:pPr>
      <w:r w:rsidRPr="008D4B8B">
        <w:rPr>
          <w:noProof/>
        </w:rPr>
        <w:t>Vienas didžiausių Klaipėdos miesto transporto projektų – tai naujo tilto su pakeliamu mechanizmu per Danę statyba ir prieigų sutvarkymas Danės pakrantėje bei naujos Bastionų gatvės tiesimas. Įrengus šią naują transporto jungtį pagerės susisiekimas tarp pietinės ir šiaurinės miesto dalių, padidės aplinkinių teritorijų investicinis patrauklumas. 2018 m. buvo vykdomi svarbūs transporto projektai, padidinsiantys eismo pralaidumą – Tilžės g. nuo Šilutės pl. iki geležinkelio pervažos rekonstravimas, pertvarkant žiedinę Mokyklos g. ir Šilutės pl. sankryžą (vykdomi rangos darbai); Statybininkų pr. tęsinio tiesimas nuo Šilutės pl. per laisvosios ekonominės zonos teritoriją iki 141 kelio (parengtas techninis projektas); Pamario g. rekonstravimas (vykdomi rangos darbai), šių gatvių rekonstrukcija bus tęsiama ir 2019 m. Savivaldybė siekia sutvarkyti ir kvartalines miesto gatves – 2017 m. pradėta Tauralaukio gyvenamojo rajono vidinių gatvių rekonstrukcija, atlikti darbai šiaurinėje Tauralaukio dalyje, iki 2021 m. bus vykdomi darbai pietinėje dalyje. 2018 m. pradėti įvažiavimo į Kruizinių laivų terminalą – Priešpilio g. rekonstrukcijos darbai.</w:t>
      </w:r>
    </w:p>
    <w:p w:rsidR="00BA72F4" w:rsidRPr="008D4B8B" w:rsidRDefault="00BA72F4" w:rsidP="00BA72F4">
      <w:pPr>
        <w:ind w:firstLine="709"/>
        <w:jc w:val="both"/>
        <w:rPr>
          <w:noProof/>
        </w:rPr>
      </w:pPr>
      <w:r w:rsidRPr="008D4B8B">
        <w:rPr>
          <w:noProof/>
        </w:rPr>
        <w:t xml:space="preserve">Klaipėdos miesto gatvės kasmet vis labiau apkraunamos sunkiojo autotransporto srautais, judančiais į uosto teritoriją per tankiai apgyvendintas teritorijas. Ši problema tapo itin aktuali 2017 m., kai visos tarptautinės keltų linijos buvo perkeltos į Centrinį Klaipėdos terminalą (Baltijos pr. 40). Baltijos prospekte nuolat susidaro didelių krovininių mašinų spūstys, aplinkinių teritorijų gyventojai kenčia nuo padidėjusio triukšmo, oro taršos, nesaugių eismo sąlygų. Savivaldybė viena pati nėra pajėgi išspręsti sunkiojo transporto patekimo į uostą problemų, dėl to tikimasi sulaukti valstybės institucijų dėmesio labai svarbiems Klaipėdai transporto projektams – pietinės jungties tarp Klaipėdos valstybinio jūrų uosto ir IXB transporto koridoriaus įrengimui bei Baltijos pr. žiedinių sankryžų rekonstravimui. Įgyvendinus minėtus projektus, žymiai sumažėtų spūsčių, pagerėtų gyventojų gyvenimo kokybė, į uosto teritoriją būtų galima patekti greičiau ir patogiau, tai darytų teigiamą įtaką šalies ekonominiams rodikliams. 2017 m. buvo  parengti Baltijos pr. žiedinių sankryžų projektiniai pasiūlymai, 2018 m. pradėtas rengti techninis projektas, kurį planuojama užbaigti 2019 m.,  o 2020–2021 m., sulaukus valstybės investicijų, bus pradėta rekonstrukcija. </w:t>
      </w:r>
    </w:p>
    <w:p w:rsidR="00BA72F4" w:rsidRPr="008D4B8B" w:rsidRDefault="00BA72F4" w:rsidP="00BA72F4">
      <w:pPr>
        <w:ind w:firstLine="709"/>
        <w:jc w:val="both"/>
        <w:rPr>
          <w:noProof/>
        </w:rPr>
      </w:pPr>
      <w:r w:rsidRPr="008D4B8B">
        <w:rPr>
          <w:noProof/>
        </w:rPr>
        <w:t xml:space="preserve">Siekiant sudaryti miesto gyventojams galimybes laisvalaikį leisti žaliosiose miesto erdvėse, tvarkomi miesto parkai – 2018 m. įrengta Sąjūdžio parko reprezentacinė dalis ir prieigos, įrengta speciali trasa riedutininkams, riedlentininkams  ir BMX dviratininkams. 2018 m. buvo rengiami kelių parkų techniniai projektai: Sakurų parko šalia Žvejų rūmų, </w:t>
      </w:r>
      <w:r w:rsidRPr="008D4B8B">
        <w:rPr>
          <w:color w:val="000000"/>
        </w:rPr>
        <w:t>Melnragės parko 9 ha priekopio teritorijoje tarp Audros ir Vėtros gatvių</w:t>
      </w:r>
      <w:r w:rsidRPr="008D4B8B">
        <w:rPr>
          <w:noProof/>
        </w:rPr>
        <w:t>, Ąžuolyno giraitės sutvarkymo, Malūno parko sutvarkymo. Šiuos parkus planuojama įrengti ar atnaujinti 2019–2021 m.</w:t>
      </w:r>
    </w:p>
    <w:p w:rsidR="00BA72F4" w:rsidRPr="008D4B8B" w:rsidRDefault="00BA72F4" w:rsidP="008D4B8B">
      <w:pPr>
        <w:ind w:firstLine="709"/>
        <w:jc w:val="both"/>
        <w:rPr>
          <w:b/>
          <w:noProof/>
        </w:rPr>
      </w:pPr>
      <w:r w:rsidRPr="008D4B8B">
        <w:rPr>
          <w:noProof/>
        </w:rPr>
        <w:t xml:space="preserve">2018 m. pradėta įgyvendinti Vaikų žaidimo aikštelių įrengimo ir atnaujinimo programa, pagal kurią iki 2019 m. pradžios bus įrengtos 5 aikštelės, o 2020–2021 m. – dar 10. Vykdant šią programą, taip pat šalinami daugiabučių namų kiemuose esantys nesaugūs ir higienos normų neatitinkantys vaikų žaidimų ir sporto įrenginiai. </w:t>
      </w:r>
    </w:p>
    <w:p w:rsidR="00BA72F4" w:rsidRPr="008D4B8B" w:rsidRDefault="00BA72F4" w:rsidP="00BA72F4">
      <w:pPr>
        <w:jc w:val="center"/>
        <w:rPr>
          <w:b/>
          <w:noProof/>
        </w:rPr>
      </w:pPr>
      <w:r w:rsidRPr="008D4B8B">
        <w:rPr>
          <w:b/>
          <w:noProof/>
        </w:rPr>
        <w:lastRenderedPageBreak/>
        <w:t>TREČIASIS SKIRSNIS</w:t>
      </w:r>
    </w:p>
    <w:p w:rsidR="00BA72F4" w:rsidRPr="008D4B8B" w:rsidRDefault="00BA72F4" w:rsidP="00BA72F4">
      <w:pPr>
        <w:jc w:val="center"/>
        <w:rPr>
          <w:b/>
          <w:noProof/>
        </w:rPr>
      </w:pPr>
      <w:r w:rsidRPr="008D4B8B">
        <w:rPr>
          <w:b/>
          <w:noProof/>
        </w:rPr>
        <w:t>MIESTO KONKURENCINGUMO DIDINIMAS</w:t>
      </w:r>
    </w:p>
    <w:p w:rsidR="00BA72F4" w:rsidRPr="008D4B8B" w:rsidRDefault="00BA72F4" w:rsidP="00BA72F4">
      <w:pPr>
        <w:pStyle w:val="Sraopastraipa"/>
        <w:ind w:left="1069"/>
        <w:rPr>
          <w:b/>
          <w:noProof/>
        </w:rPr>
      </w:pPr>
    </w:p>
    <w:p w:rsidR="00BA72F4" w:rsidRPr="008D4B8B" w:rsidRDefault="00BA72F4" w:rsidP="00BA72F4">
      <w:pPr>
        <w:ind w:firstLine="709"/>
        <w:jc w:val="both"/>
        <w:rPr>
          <w:noProof/>
        </w:rPr>
      </w:pPr>
      <w:r w:rsidRPr="008D4B8B">
        <w:rPr>
          <w:noProof/>
        </w:rPr>
        <w:t>Siekiant padidinti miesto konkurencingumą, dirbama keliomis kryptimis – investicijų pritraukimas, gyventojų verslumo skatinimas, turizmo vystymas, patrauklių kultūros produktų kūrimas.</w:t>
      </w:r>
    </w:p>
    <w:p w:rsidR="00BA72F4" w:rsidRPr="008D4B8B" w:rsidRDefault="00BA72F4" w:rsidP="00BA72F4">
      <w:pPr>
        <w:ind w:firstLine="709"/>
        <w:jc w:val="both"/>
      </w:pPr>
      <w:r w:rsidRPr="008D4B8B">
        <w:rPr>
          <w:lang w:eastAsia="ja-JP"/>
        </w:rPr>
        <w:t xml:space="preserve">Klaipėdos miesto savivaldybės taryba 2018 m. balandžio 26 d. sprendimu Nr. T2-86 pritarė </w:t>
      </w:r>
      <w:r w:rsidRPr="008D4B8B">
        <w:t xml:space="preserve">Klaipėdos miesto ekonominės plėtros strategijai ir įgyvendinimo veiksmų planui iki 2030 metų. Klaipėdos vizija – iki 2030 m. tapti pasaulinio lygio mėlynosios ekonomikos ir sparčių sprendimų miestu: geriausia vieta gyventi, dirbti, ilsėtis ir investuoti Baltijos regione. Numatytos augimo sritys: jūrinė ekonomika, bioekonomika, pažangios pramonės ekonomika, kūrybinė ir paslaugų ekonomika; horizontalūs prioritetai: 1) Palankios sąlygos verslui, investuotojams ir talentams; 2) Inovatyvi ir ateities ekonomikos poreikius atitinkanti švietimo ir mokslo sistema; 3) Patrauklus, įtraukiantis ir pasiekiamas regiono centras. Numatyti ekonominės ambicijos rodikliai:  40 000 daugiau gyventojų, 25 000 naujų darbo vietų, 100 tiesioginių užsienio investicijų projektų, 1,5 mlrd. tiesioginių užsienio investicijų, 700 Eur aukštesnis mėnesinis darbo užmokestis, Klaipėdos aukštojo mokslo institucija tarp 500 geriausių pasaulyje, 75 % darbuotojų dirba inovacinėse įmonėse, stabilus žemas (4–6 %) nedarbo lygis, 400 tūkst. apgyvendintų turistų. Strategija įgyvendinama </w:t>
      </w:r>
      <w:r w:rsidRPr="008D4B8B">
        <w:rPr>
          <w:noProof/>
        </w:rPr>
        <w:t>kartu su partneriais – Klaipėdos valstybinio jūrų uosto direkcija, LEZ valdymo bendrove, Klaipėdos universitetu, Klaipėdos prekybos, pramonės ir amatų rūmais bei Klaipėdos pramonininkų asociacija</w:t>
      </w:r>
      <w:r w:rsidRPr="008D4B8B">
        <w:rPr>
          <w:lang w:eastAsia="ja-JP"/>
        </w:rPr>
        <w:t>.</w:t>
      </w:r>
      <w:r w:rsidRPr="008D4B8B">
        <w:rPr>
          <w:rFonts w:eastAsia="MS Mincho"/>
          <w:lang w:eastAsia="ja-JP"/>
        </w:rPr>
        <w:t xml:space="preserve"> 2018 m. sukurtas įgyvendinimo mechanizmas, sudarytas strategijos įgyvendinimo trumpalaikis planas, kurio sprendiniai integruojami į partnerių veiklos planus.</w:t>
      </w:r>
    </w:p>
    <w:p w:rsidR="00BA72F4" w:rsidRPr="008D4B8B" w:rsidRDefault="00BA72F4" w:rsidP="00BA72F4">
      <w:pPr>
        <w:ind w:firstLine="709"/>
        <w:jc w:val="both"/>
        <w:rPr>
          <w:rFonts w:eastAsia="MS Mincho"/>
          <w:lang w:eastAsia="ja-JP"/>
        </w:rPr>
      </w:pPr>
      <w:r w:rsidRPr="008D4B8B">
        <w:rPr>
          <w:rFonts w:eastAsia="MS Mincho"/>
          <w:lang w:eastAsia="ja-JP"/>
        </w:rPr>
        <w:t>Labai svarbus veiksnys miesto ir regiono konkurencingumui yra susisiekimas su kitais Europos miestais, todėl džiugu, kad, bendradarbiaujant su Klaipėdos regiono savivaldybėmis bei VĮ Lietuvos oro uostais, pavyko pritraukti į regiono tarptautinį oro uostą papildomas skrydžių kryptis. Nuo 2019 m. iš Palangos tarptautinio oro uosto bus organizuojami skrydžiai į Vokietijos Federacinę Respubliką – Dortmundo oro uostą. 2019–2021 m. bus siekiama, kad papildomos skrydžių kryptys išliktų ir sudarytų patogias sąlygas atvykti į Klaipėdos regioną turistams, verslo partneriams.</w:t>
      </w:r>
    </w:p>
    <w:p w:rsidR="00BA72F4" w:rsidRPr="008D4B8B" w:rsidRDefault="00BA72F4" w:rsidP="00BA72F4">
      <w:pPr>
        <w:ind w:firstLine="709"/>
        <w:jc w:val="both"/>
        <w:rPr>
          <w:rFonts w:eastAsia="MS Mincho"/>
          <w:lang w:eastAsia="ja-JP"/>
        </w:rPr>
      </w:pPr>
      <w:r w:rsidRPr="008D4B8B">
        <w:rPr>
          <w:rFonts w:eastAsia="MS Mincho"/>
          <w:lang w:eastAsia="ja-JP"/>
        </w:rPr>
        <w:t>Mieste norima išugdyti jaunųjų verslininkų kartą, todėl bus vykdomos jaunimo verslumo priemonės, siekiant sudominti mokinius, studentus ir kitus asmenis galimybėmis veikti savarankiškai, turėti savo verslą. Asmenys, norintys pradėti verslą ar neseniai jį pradėję, turės galimybę įsikurti verslo inkubatoriuje, kur lengvatinėmis sąlygomis galės nuomotis patalpas, įrangą bei gauti konsultacijas. Smulkiojo verslo subjektai galės dalyvauti ir per Klaipėdos miesto integruotų investicijų teritorijos vietos veiklos grupės 2016–2022 m. vietos plėtros strategiją įgyvendinamus verslo srities projektus, kurių įgyvendinimo metu bus galima gauti mokymų, konsultavimo, mentorystės paslaugas, taip pat paramą verslo pradžiai.</w:t>
      </w:r>
    </w:p>
    <w:p w:rsidR="00BA72F4" w:rsidRPr="008D4B8B" w:rsidRDefault="00BA72F4" w:rsidP="00BA72F4">
      <w:pPr>
        <w:ind w:firstLine="709"/>
        <w:jc w:val="both"/>
        <w:rPr>
          <w:rFonts w:eastAsia="MS Mincho"/>
          <w:lang w:eastAsia="ja-JP"/>
        </w:rPr>
      </w:pPr>
      <w:r w:rsidRPr="008D4B8B">
        <w:rPr>
          <w:rFonts w:eastAsia="MS Mincho"/>
          <w:lang w:eastAsia="ja-JP"/>
        </w:rPr>
        <w:t xml:space="preserve">Mieste siekiama sudaryti geresnes sąlygas turizmui plėtotis. Jau minėta, kad, vykdant Klaipėdos miesto 2014–2020 m. integruotų investicijų programą, bus atnaujintos verslui ir turizmui pritaikytos viešosios erdvės miesto centrinėje dalyje. Patrauklios viešos erdvės bus suformuotos Jono kalnelio teritorijoje, prie Senojo turgaus, Atgimimo aikštėje, Danės krantinėse. Reikėtų paminėti ir tai, kad bus tęsiamas paplūdimių sutvarkymo programos vykdymas. 2018 m. jau du miesto paplūdimiai – pagrindinis Smiltynės paplūdimys ir Antrosios Melnragės paplūdimys atitiko Mėlynosios vėliavos standartą. Planuojama tvarkyti ir kitus miesto paplūdimius, pritaikant juos neįgaliesiems, šeimų, smulkiojo verslo poreikiams. </w:t>
      </w:r>
    </w:p>
    <w:p w:rsidR="00BA72F4" w:rsidRPr="008D4B8B" w:rsidRDefault="00BA72F4" w:rsidP="00BA72F4">
      <w:pPr>
        <w:ind w:firstLine="742"/>
        <w:jc w:val="both"/>
        <w:rPr>
          <w:rFonts w:eastAsia="MS Mincho"/>
          <w:lang w:eastAsia="ja-JP"/>
        </w:rPr>
      </w:pPr>
      <w:r w:rsidRPr="008D4B8B">
        <w:rPr>
          <w:rFonts w:eastAsia="MS Mincho"/>
          <w:lang w:eastAsia="ja-JP"/>
        </w:rPr>
        <w:t xml:space="preserve">Kultūra gali būti svarbus veiksnys didinant miesto konkurencingumą tiek šalies, tiek tarptautiniu mastu. 2015 m. išrinkta Klaipėdos miesto savivaldybės taryba kultūros sritį pripažino prioritetine ir numatė, kad šiai sričiai finansavimą reikėtų didinti du kartus. Šis įsipareigojimas yra vykdomas (2014 m. skirta 2 577,6 tūkst. Eur, 2018 m. – 6 779,2 tūkst. Eur savivaldybės biudžeto lėšų). 2019 m. bus organizuojama. Toliau planuojama investuoti į kultūros infrastruktūrą, vienas svarbiausių tęsiamų projektų – Klaipėdos pilies ir bastionų komplekso restauravimas ir atgaivinimas. 2018 m. restauravus šiaurinę kurtiną ir atlikus bastionų tvarkybos darbus, 2019–2020 m. patalpose bus įrengta nauja moderni muziejaus ekspozicija apie Klaipėdos miestą XVI–XVII a. </w:t>
      </w:r>
      <w:r w:rsidRPr="008D4B8B">
        <w:rPr>
          <w:rFonts w:eastAsia="MS Mincho"/>
          <w:lang w:eastAsia="ja-JP"/>
        </w:rPr>
        <w:lastRenderedPageBreak/>
        <w:t xml:space="preserve">2018 m. savivaldybės interneto svetainėje buvo paskelbta gyventojų apklausa dėl piliavietės bokšto atstatymo, kurioje dalyvavo daugiau kaip tūkstantis asmenų, kurių dauguma pritarė tokiems planams. 2019 m. planuojama pradėti rengti techninį projektą, o statybos darbus atlikti 2021–2022 m. Šis projektas turėtų ateityje tapti vienu iš patraukliausių Klaipėdos turizmo simbolių. </w:t>
      </w:r>
    </w:p>
    <w:p w:rsidR="00BA72F4" w:rsidRPr="008D4B8B" w:rsidRDefault="00BA72F4" w:rsidP="00BA72F4">
      <w:pPr>
        <w:ind w:firstLine="742"/>
        <w:jc w:val="both"/>
      </w:pPr>
      <w:r w:rsidRPr="008D4B8B">
        <w:rPr>
          <w:rFonts w:eastAsia="MS Mincho"/>
          <w:lang w:eastAsia="ja-JP"/>
        </w:rPr>
        <w:t xml:space="preserve">Vykdant Klaipėdos miesto tikslinių integruotų investicijų programą, bus tęsiami fachverkinės architektūros pastatų komplekso (Bažnyčių g. 4 / Daržų g. 10, Bažnyčių g. 6, Vežėjų g. 4, Aukštoji g. 1 / Didžioji Vandens g. 2) tvarkybos darbai. Pagal minėtą programą bus vykdomas projektas „Klaipėdos miesto savivaldybės viešosios bibliotekos „Kauno atžalyno“ filialas – naujos galimybės mažiems ir dideliems“. Šiuo projektu bibliotekai siekiama suteikti naują vaidmenį – norima, kad joje būtų teikiamos ne tik bibliotekos paslaugos, bet ir veiktų bendruomenės namai. Tą pačia koncepciją atitiks pietinėje miesto dalyje planuojama statyti nauja biblioteka-bendruomenės centras bei Melnragėje esanti biblioteka, kurios pastato kapitalinį remontą ketinama atlikti 2019–2020 m. </w:t>
      </w:r>
      <w:r w:rsidRPr="008D4B8B">
        <w:rPr>
          <w:bdr w:val="none" w:sz="0" w:space="0" w:color="auto" w:frame="1"/>
        </w:rPr>
        <w:t xml:space="preserve">Savivaldybės tarybai pritarus buvusių policijos pastatų </w:t>
      </w:r>
      <w:r w:rsidRPr="008D4B8B">
        <w:t xml:space="preserve">(Jūros g. 1) </w:t>
      </w:r>
      <w:r w:rsidRPr="008D4B8B">
        <w:rPr>
          <w:bdr w:val="none" w:sz="0" w:space="0" w:color="auto" w:frame="1"/>
        </w:rPr>
        <w:t xml:space="preserve">perėmimui iš valstybės įmonės Turto banko ir jo įveiklinimo koncepcijai, vyksta dialogas su Vyriausybe dėl pastato perėmimo. Perėmus pastatą, planuojama </w:t>
      </w:r>
      <w:r w:rsidRPr="008D4B8B">
        <w:t>likviduoti tam tikrų pastato dalių avarinę būklę ir užtikrinti tolimesnę komplekso eksploataciją kultūros reikmėms.</w:t>
      </w:r>
    </w:p>
    <w:p w:rsidR="00BA72F4" w:rsidRPr="008D4B8B" w:rsidRDefault="00BA72F4" w:rsidP="00BA72F4">
      <w:pPr>
        <w:rPr>
          <w:b/>
          <w:noProof/>
        </w:rPr>
      </w:pPr>
    </w:p>
    <w:p w:rsidR="00BA72F4" w:rsidRPr="008D4B8B" w:rsidRDefault="00BA72F4" w:rsidP="00BA72F4">
      <w:pPr>
        <w:jc w:val="center"/>
        <w:rPr>
          <w:b/>
          <w:noProof/>
        </w:rPr>
      </w:pPr>
      <w:r w:rsidRPr="008D4B8B">
        <w:rPr>
          <w:b/>
          <w:noProof/>
        </w:rPr>
        <w:t>IV SKYRIUS</w:t>
      </w:r>
    </w:p>
    <w:p w:rsidR="00BA72F4" w:rsidRPr="008D4B8B" w:rsidRDefault="00BA72F4" w:rsidP="00BA72F4">
      <w:pPr>
        <w:jc w:val="center"/>
        <w:rPr>
          <w:b/>
        </w:rPr>
      </w:pPr>
      <w:r w:rsidRPr="008D4B8B">
        <w:rPr>
          <w:b/>
          <w:noProof/>
        </w:rPr>
        <w:t xml:space="preserve">KLAIPĖDOS MIESTO SAVIVALDYBĖS </w:t>
      </w:r>
      <w:r w:rsidRPr="008D4B8B">
        <w:rPr>
          <w:b/>
        </w:rPr>
        <w:t>STRATEGINIAI TIKSLAI IR EFEKTO KRITERIJAI</w:t>
      </w:r>
    </w:p>
    <w:p w:rsidR="00BA72F4" w:rsidRPr="008D4B8B" w:rsidRDefault="00BA72F4" w:rsidP="00BA72F4">
      <w:pPr>
        <w:jc w:val="center"/>
        <w:rPr>
          <w:b/>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2"/>
        <w:gridCol w:w="66"/>
        <w:gridCol w:w="8217"/>
      </w:tblGrid>
      <w:tr w:rsidR="00BA72F4" w:rsidRPr="008D4B8B" w:rsidTr="00BA72F4">
        <w:trPr>
          <w:cantSplit/>
          <w:trHeight w:val="471"/>
        </w:trPr>
        <w:tc>
          <w:tcPr>
            <w:tcW w:w="98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72F4" w:rsidRPr="008D4B8B" w:rsidRDefault="00BA72F4">
            <w:pPr>
              <w:jc w:val="both"/>
              <w:rPr>
                <w:b/>
                <w:bCs/>
              </w:rPr>
            </w:pPr>
            <w:r w:rsidRPr="008D4B8B">
              <w:rPr>
                <w:b/>
                <w:bCs/>
              </w:rPr>
              <w:t>01 STRATEGINIS TIKSLAS – didinti miesto konkurencingumą, kryptingai vystant infrastruktūrą ir sudarant palankias sąlygas verslui</w:t>
            </w:r>
          </w:p>
        </w:tc>
      </w:tr>
      <w:tr w:rsidR="00BA72F4" w:rsidRPr="008D4B8B" w:rsidTr="00BA72F4">
        <w:trPr>
          <w:cantSplit/>
          <w:trHeight w:val="185"/>
        </w:trPr>
        <w:tc>
          <w:tcPr>
            <w:tcW w:w="1602" w:type="dxa"/>
            <w:tcBorders>
              <w:top w:val="single" w:sz="4" w:space="0" w:color="auto"/>
              <w:left w:val="single" w:sz="4" w:space="0" w:color="auto"/>
              <w:bottom w:val="single" w:sz="4" w:space="0" w:color="auto"/>
              <w:right w:val="single" w:sz="4" w:space="0" w:color="auto"/>
            </w:tcBorders>
            <w:hideMark/>
          </w:tcPr>
          <w:p w:rsidR="00BA72F4" w:rsidRPr="008D4B8B" w:rsidRDefault="00BA72F4">
            <w:pPr>
              <w:tabs>
                <w:tab w:val="left" w:pos="1107"/>
              </w:tabs>
              <w:jc w:val="center"/>
            </w:pPr>
            <w:r w:rsidRPr="008D4B8B">
              <w:t>Kodas</w:t>
            </w:r>
          </w:p>
        </w:tc>
        <w:tc>
          <w:tcPr>
            <w:tcW w:w="8283" w:type="dxa"/>
            <w:gridSpan w:val="2"/>
            <w:tcBorders>
              <w:top w:val="single" w:sz="4" w:space="0" w:color="auto"/>
              <w:left w:val="single" w:sz="4" w:space="0" w:color="auto"/>
              <w:bottom w:val="single" w:sz="4" w:space="0" w:color="auto"/>
              <w:right w:val="single" w:sz="4" w:space="0" w:color="auto"/>
            </w:tcBorders>
            <w:hideMark/>
          </w:tcPr>
          <w:p w:rsidR="00BA72F4" w:rsidRPr="008D4B8B" w:rsidRDefault="00BA72F4">
            <w:pPr>
              <w:tabs>
                <w:tab w:val="left" w:pos="1107"/>
              </w:tabs>
              <w:jc w:val="both"/>
              <w:rPr>
                <w:b/>
              </w:rPr>
            </w:pPr>
            <w:r w:rsidRPr="008D4B8B">
              <w:t>Įgyvendinant šį strateginį tikslą, vykdomos programos:</w:t>
            </w:r>
          </w:p>
        </w:tc>
      </w:tr>
      <w:tr w:rsidR="00BA72F4" w:rsidRPr="008D4B8B" w:rsidTr="00BA72F4">
        <w:trPr>
          <w:cantSplit/>
          <w:trHeight w:val="185"/>
        </w:trPr>
        <w:tc>
          <w:tcPr>
            <w:tcW w:w="1602" w:type="dxa"/>
            <w:tcBorders>
              <w:top w:val="single" w:sz="4" w:space="0" w:color="auto"/>
              <w:left w:val="single" w:sz="4" w:space="0" w:color="auto"/>
              <w:bottom w:val="single" w:sz="4" w:space="0" w:color="auto"/>
              <w:right w:val="single" w:sz="4" w:space="0" w:color="auto"/>
            </w:tcBorders>
            <w:hideMark/>
          </w:tcPr>
          <w:p w:rsidR="00BA72F4" w:rsidRPr="008D4B8B" w:rsidRDefault="00BA72F4">
            <w:pPr>
              <w:tabs>
                <w:tab w:val="left" w:pos="1296"/>
                <w:tab w:val="center" w:pos="4153"/>
                <w:tab w:val="right" w:pos="8306"/>
              </w:tabs>
              <w:jc w:val="center"/>
              <w:rPr>
                <w:b/>
              </w:rPr>
            </w:pPr>
            <w:r w:rsidRPr="008D4B8B">
              <w:rPr>
                <w:b/>
              </w:rPr>
              <w:t>01</w:t>
            </w:r>
          </w:p>
        </w:tc>
        <w:tc>
          <w:tcPr>
            <w:tcW w:w="8283" w:type="dxa"/>
            <w:gridSpan w:val="2"/>
            <w:tcBorders>
              <w:top w:val="single" w:sz="4" w:space="0" w:color="auto"/>
              <w:left w:val="single" w:sz="4" w:space="0" w:color="auto"/>
              <w:bottom w:val="single" w:sz="4" w:space="0" w:color="auto"/>
              <w:right w:val="single" w:sz="4" w:space="0" w:color="auto"/>
            </w:tcBorders>
            <w:hideMark/>
          </w:tcPr>
          <w:p w:rsidR="00BA72F4" w:rsidRPr="008D4B8B" w:rsidRDefault="00BA72F4">
            <w:pPr>
              <w:tabs>
                <w:tab w:val="left" w:pos="1296"/>
                <w:tab w:val="center" w:pos="4153"/>
                <w:tab w:val="right" w:pos="8306"/>
              </w:tabs>
              <w:rPr>
                <w:b/>
              </w:rPr>
            </w:pPr>
            <w:r w:rsidRPr="008D4B8B">
              <w:rPr>
                <w:b/>
              </w:rPr>
              <w:t>Miesto urbanistinio planavimo programa</w:t>
            </w:r>
          </w:p>
        </w:tc>
      </w:tr>
      <w:tr w:rsidR="00BA72F4" w:rsidRPr="008D4B8B" w:rsidTr="00BA72F4">
        <w:trPr>
          <w:cantSplit/>
          <w:trHeight w:val="185"/>
        </w:trPr>
        <w:tc>
          <w:tcPr>
            <w:tcW w:w="1602" w:type="dxa"/>
            <w:tcBorders>
              <w:top w:val="single" w:sz="4" w:space="0" w:color="auto"/>
              <w:left w:val="single" w:sz="4" w:space="0" w:color="auto"/>
              <w:bottom w:val="single" w:sz="4" w:space="0" w:color="auto"/>
              <w:right w:val="single" w:sz="4" w:space="0" w:color="auto"/>
            </w:tcBorders>
            <w:hideMark/>
          </w:tcPr>
          <w:p w:rsidR="00BA72F4" w:rsidRPr="008D4B8B" w:rsidRDefault="00BA72F4">
            <w:pPr>
              <w:tabs>
                <w:tab w:val="left" w:pos="1296"/>
                <w:tab w:val="center" w:pos="4153"/>
                <w:tab w:val="right" w:pos="8306"/>
              </w:tabs>
              <w:jc w:val="center"/>
              <w:rPr>
                <w:b/>
              </w:rPr>
            </w:pPr>
            <w:r w:rsidRPr="008D4B8B">
              <w:rPr>
                <w:b/>
              </w:rPr>
              <w:t>02</w:t>
            </w:r>
          </w:p>
        </w:tc>
        <w:tc>
          <w:tcPr>
            <w:tcW w:w="8283" w:type="dxa"/>
            <w:gridSpan w:val="2"/>
            <w:tcBorders>
              <w:top w:val="single" w:sz="4" w:space="0" w:color="auto"/>
              <w:left w:val="single" w:sz="4" w:space="0" w:color="auto"/>
              <w:bottom w:val="single" w:sz="4" w:space="0" w:color="auto"/>
              <w:right w:val="single" w:sz="4" w:space="0" w:color="auto"/>
            </w:tcBorders>
            <w:hideMark/>
          </w:tcPr>
          <w:p w:rsidR="00BA72F4" w:rsidRPr="008D4B8B" w:rsidRDefault="00BA72F4">
            <w:pPr>
              <w:jc w:val="both"/>
              <w:rPr>
                <w:b/>
              </w:rPr>
            </w:pPr>
            <w:r w:rsidRPr="008D4B8B">
              <w:rPr>
                <w:b/>
              </w:rPr>
              <w:t>Subalansuoto turizmo skatinimo ir vystymo programa</w:t>
            </w:r>
          </w:p>
        </w:tc>
      </w:tr>
      <w:tr w:rsidR="00BA72F4" w:rsidRPr="008D4B8B" w:rsidTr="00BA72F4">
        <w:trPr>
          <w:cantSplit/>
          <w:trHeight w:val="185"/>
        </w:trPr>
        <w:tc>
          <w:tcPr>
            <w:tcW w:w="1602" w:type="dxa"/>
            <w:tcBorders>
              <w:top w:val="single" w:sz="4" w:space="0" w:color="auto"/>
              <w:left w:val="single" w:sz="4" w:space="0" w:color="auto"/>
              <w:bottom w:val="single" w:sz="4" w:space="0" w:color="auto"/>
              <w:right w:val="single" w:sz="4" w:space="0" w:color="auto"/>
            </w:tcBorders>
            <w:hideMark/>
          </w:tcPr>
          <w:p w:rsidR="00BA72F4" w:rsidRPr="008D4B8B" w:rsidRDefault="00BA72F4">
            <w:pPr>
              <w:tabs>
                <w:tab w:val="left" w:pos="1296"/>
                <w:tab w:val="center" w:pos="4153"/>
                <w:tab w:val="right" w:pos="8306"/>
              </w:tabs>
              <w:jc w:val="center"/>
              <w:rPr>
                <w:b/>
              </w:rPr>
            </w:pPr>
            <w:r w:rsidRPr="008D4B8B">
              <w:rPr>
                <w:b/>
              </w:rPr>
              <w:t>03</w:t>
            </w:r>
          </w:p>
        </w:tc>
        <w:tc>
          <w:tcPr>
            <w:tcW w:w="8283" w:type="dxa"/>
            <w:gridSpan w:val="2"/>
            <w:tcBorders>
              <w:top w:val="single" w:sz="4" w:space="0" w:color="auto"/>
              <w:left w:val="single" w:sz="4" w:space="0" w:color="auto"/>
              <w:bottom w:val="single" w:sz="4" w:space="0" w:color="auto"/>
              <w:right w:val="single" w:sz="4" w:space="0" w:color="auto"/>
            </w:tcBorders>
            <w:hideMark/>
          </w:tcPr>
          <w:p w:rsidR="00BA72F4" w:rsidRPr="008D4B8B" w:rsidRDefault="00BA72F4">
            <w:pPr>
              <w:jc w:val="both"/>
              <w:rPr>
                <w:b/>
              </w:rPr>
            </w:pPr>
            <w:r w:rsidRPr="008D4B8B">
              <w:rPr>
                <w:b/>
              </w:rPr>
              <w:t>Savivaldybės valdymo programa</w:t>
            </w:r>
          </w:p>
        </w:tc>
      </w:tr>
      <w:tr w:rsidR="00BA72F4" w:rsidRPr="008D4B8B" w:rsidTr="00BA72F4">
        <w:trPr>
          <w:cantSplit/>
          <w:trHeight w:val="185"/>
        </w:trPr>
        <w:tc>
          <w:tcPr>
            <w:tcW w:w="1602" w:type="dxa"/>
            <w:tcBorders>
              <w:top w:val="single" w:sz="4" w:space="0" w:color="auto"/>
              <w:left w:val="single" w:sz="4" w:space="0" w:color="auto"/>
              <w:bottom w:val="single" w:sz="4" w:space="0" w:color="auto"/>
              <w:right w:val="single" w:sz="4" w:space="0" w:color="auto"/>
            </w:tcBorders>
            <w:hideMark/>
          </w:tcPr>
          <w:p w:rsidR="00BA72F4" w:rsidRPr="008D4B8B" w:rsidRDefault="00BA72F4">
            <w:pPr>
              <w:tabs>
                <w:tab w:val="left" w:pos="1296"/>
                <w:tab w:val="center" w:pos="4153"/>
                <w:tab w:val="right" w:pos="8306"/>
              </w:tabs>
              <w:jc w:val="center"/>
              <w:rPr>
                <w:b/>
              </w:rPr>
            </w:pPr>
            <w:r w:rsidRPr="008D4B8B">
              <w:rPr>
                <w:b/>
              </w:rPr>
              <w:t>04</w:t>
            </w:r>
          </w:p>
        </w:tc>
        <w:tc>
          <w:tcPr>
            <w:tcW w:w="8283" w:type="dxa"/>
            <w:gridSpan w:val="2"/>
            <w:tcBorders>
              <w:top w:val="single" w:sz="4" w:space="0" w:color="auto"/>
              <w:left w:val="single" w:sz="4" w:space="0" w:color="auto"/>
              <w:bottom w:val="single" w:sz="4" w:space="0" w:color="auto"/>
              <w:right w:val="single" w:sz="4" w:space="0" w:color="auto"/>
            </w:tcBorders>
            <w:hideMark/>
          </w:tcPr>
          <w:p w:rsidR="00BA72F4" w:rsidRPr="008D4B8B" w:rsidRDefault="00BA72F4">
            <w:pPr>
              <w:tabs>
                <w:tab w:val="left" w:pos="1296"/>
                <w:tab w:val="center" w:pos="4153"/>
                <w:tab w:val="right" w:pos="8306"/>
              </w:tabs>
              <w:rPr>
                <w:b/>
              </w:rPr>
            </w:pPr>
            <w:r w:rsidRPr="008D4B8B">
              <w:rPr>
                <w:b/>
              </w:rPr>
              <w:t>Smulkiojo ir vidutinio verslo rėmimo programa</w:t>
            </w:r>
          </w:p>
        </w:tc>
      </w:tr>
      <w:tr w:rsidR="00BA72F4" w:rsidRPr="008D4B8B" w:rsidTr="00BA72F4">
        <w:trPr>
          <w:cantSplit/>
          <w:trHeight w:val="185"/>
        </w:trPr>
        <w:tc>
          <w:tcPr>
            <w:tcW w:w="9885" w:type="dxa"/>
            <w:gridSpan w:val="3"/>
            <w:tcBorders>
              <w:top w:val="single" w:sz="4" w:space="0" w:color="auto"/>
              <w:left w:val="single" w:sz="4" w:space="0" w:color="auto"/>
              <w:bottom w:val="single" w:sz="4" w:space="0" w:color="auto"/>
              <w:right w:val="single" w:sz="4" w:space="0" w:color="auto"/>
            </w:tcBorders>
          </w:tcPr>
          <w:p w:rsidR="00BA72F4" w:rsidRPr="008D4B8B" w:rsidRDefault="00BA72F4">
            <w:pPr>
              <w:tabs>
                <w:tab w:val="left" w:pos="1296"/>
                <w:tab w:val="center" w:pos="4153"/>
                <w:tab w:val="right" w:pos="8306"/>
              </w:tabs>
              <w:rPr>
                <w:b/>
              </w:rPr>
            </w:pPr>
          </w:p>
          <w:p w:rsidR="00BA72F4" w:rsidRPr="008D4B8B" w:rsidRDefault="00BA72F4">
            <w:pPr>
              <w:tabs>
                <w:tab w:val="left" w:pos="1296"/>
                <w:tab w:val="center" w:pos="4153"/>
                <w:tab w:val="right" w:pos="8306"/>
              </w:tabs>
              <w:rPr>
                <w:b/>
              </w:rPr>
            </w:pPr>
            <w:r w:rsidRPr="008D4B8B">
              <w:rPr>
                <w:b/>
              </w:rPr>
              <w:t>Efekto kriterijai (nurodomos siektinos reikšmės 2021 m.):</w:t>
            </w:r>
          </w:p>
          <w:p w:rsidR="00BA72F4" w:rsidRPr="008D4B8B" w:rsidRDefault="00BA72F4">
            <w:pPr>
              <w:tabs>
                <w:tab w:val="left" w:pos="1296"/>
                <w:tab w:val="center" w:pos="4153"/>
                <w:tab w:val="right" w:pos="8306"/>
              </w:tabs>
            </w:pPr>
            <w:r w:rsidRPr="008D4B8B">
              <w:t>E-01-01 Verslumo lygis (mažų ir vidutinių įmonių skaičius, tenkantis 1000-iui gyventojų) - &gt; 40</w:t>
            </w:r>
          </w:p>
          <w:p w:rsidR="00BA72F4" w:rsidRPr="008D4B8B" w:rsidRDefault="00BA72F4">
            <w:pPr>
              <w:tabs>
                <w:tab w:val="left" w:pos="1296"/>
                <w:tab w:val="center" w:pos="4153"/>
                <w:tab w:val="right" w:pos="8306"/>
              </w:tabs>
              <w:rPr>
                <w:bCs/>
              </w:rPr>
            </w:pPr>
            <w:r w:rsidRPr="008D4B8B">
              <w:rPr>
                <w:bCs/>
              </w:rPr>
              <w:t>E-01-02 Vidutinis registruotų bedarbių procentas nuo darbingo amžiaus gyventojų (%) &lt; 5 proc.</w:t>
            </w:r>
          </w:p>
          <w:p w:rsidR="00BA72F4" w:rsidRPr="008D4B8B" w:rsidRDefault="00BA72F4">
            <w:pPr>
              <w:tabs>
                <w:tab w:val="left" w:pos="1296"/>
                <w:tab w:val="center" w:pos="4153"/>
                <w:tab w:val="right" w:pos="8306"/>
              </w:tabs>
            </w:pPr>
            <w:r w:rsidRPr="008D4B8B">
              <w:t>E-01-03 Vidutinis mėnesinis (bruto) darbo užmokestis &gt; 1130 Eur;</w:t>
            </w:r>
          </w:p>
          <w:p w:rsidR="00BA72F4" w:rsidRPr="008D4B8B" w:rsidRDefault="00BA72F4">
            <w:pPr>
              <w:tabs>
                <w:tab w:val="left" w:pos="1296"/>
                <w:tab w:val="center" w:pos="4153"/>
                <w:tab w:val="right" w:pos="8306"/>
              </w:tabs>
            </w:pPr>
            <w:r w:rsidRPr="008D4B8B">
              <w:t>E-01-04 Tiesioginių užsienio investicijų, tenkančių vienam gyventojui, augimas &gt; 5 proc.</w:t>
            </w:r>
          </w:p>
          <w:p w:rsidR="00BA72F4" w:rsidRPr="008D4B8B" w:rsidRDefault="00BA72F4">
            <w:pPr>
              <w:tabs>
                <w:tab w:val="left" w:pos="1296"/>
                <w:tab w:val="center" w:pos="4153"/>
                <w:tab w:val="right" w:pos="8306"/>
              </w:tabs>
            </w:pPr>
            <w:r w:rsidRPr="008D4B8B">
              <w:t>E-01-05 Bendras Klaipėdos miesto kaip gyvenamosios vietovės vertinimas (balai iš 10, gyventojų apklausa) &gt; 8,4</w:t>
            </w:r>
          </w:p>
        </w:tc>
      </w:tr>
      <w:tr w:rsidR="00BA72F4" w:rsidRPr="008D4B8B" w:rsidTr="00BA72F4">
        <w:trPr>
          <w:cantSplit/>
          <w:trHeight w:val="185"/>
        </w:trPr>
        <w:tc>
          <w:tcPr>
            <w:tcW w:w="98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72F4" w:rsidRPr="008D4B8B" w:rsidRDefault="00BA72F4">
            <w:pPr>
              <w:tabs>
                <w:tab w:val="left" w:pos="1296"/>
                <w:tab w:val="center" w:pos="4153"/>
                <w:tab w:val="right" w:pos="8306"/>
              </w:tabs>
              <w:rPr>
                <w:b/>
              </w:rPr>
            </w:pPr>
            <w:r w:rsidRPr="008D4B8B">
              <w:rPr>
                <w:b/>
                <w:shd w:val="clear" w:color="auto" w:fill="E0E0E0"/>
              </w:rPr>
              <w:t>02 STRATEGINIS TIKSLAS – k</w:t>
            </w:r>
            <w:r w:rsidRPr="008D4B8B">
              <w:rPr>
                <w:b/>
                <w:bCs/>
                <w:shd w:val="clear" w:color="auto" w:fill="E0E0E0"/>
              </w:rPr>
              <w:t>urti mieste patrauklią, švarią ir saugią gyvenamąją aplinką</w:t>
            </w:r>
          </w:p>
        </w:tc>
      </w:tr>
      <w:tr w:rsidR="00BA72F4" w:rsidRPr="008D4B8B" w:rsidTr="00BA72F4">
        <w:trPr>
          <w:cantSplit/>
          <w:trHeight w:val="57"/>
        </w:trPr>
        <w:tc>
          <w:tcPr>
            <w:tcW w:w="16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A72F4" w:rsidRPr="008D4B8B" w:rsidRDefault="00BA72F4">
            <w:pPr>
              <w:tabs>
                <w:tab w:val="left" w:pos="1296"/>
                <w:tab w:val="center" w:pos="4153"/>
                <w:tab w:val="right" w:pos="8306"/>
              </w:tabs>
              <w:jc w:val="center"/>
              <w:rPr>
                <w:shd w:val="clear" w:color="auto" w:fill="E0E0E0"/>
              </w:rPr>
            </w:pPr>
            <w:r w:rsidRPr="008D4B8B">
              <w:t>Kodas</w:t>
            </w:r>
          </w:p>
        </w:tc>
        <w:tc>
          <w:tcPr>
            <w:tcW w:w="8217" w:type="dxa"/>
            <w:tcBorders>
              <w:top w:val="single" w:sz="4" w:space="0" w:color="auto"/>
              <w:left w:val="single" w:sz="4" w:space="0" w:color="auto"/>
              <w:bottom w:val="single" w:sz="4" w:space="0" w:color="auto"/>
              <w:right w:val="single" w:sz="4" w:space="0" w:color="auto"/>
            </w:tcBorders>
            <w:hideMark/>
          </w:tcPr>
          <w:p w:rsidR="00BA72F4" w:rsidRPr="008D4B8B" w:rsidRDefault="00BA72F4">
            <w:pPr>
              <w:tabs>
                <w:tab w:val="left" w:pos="1296"/>
                <w:tab w:val="center" w:pos="4153"/>
                <w:tab w:val="right" w:pos="8306"/>
              </w:tabs>
              <w:rPr>
                <w:b/>
                <w:shd w:val="clear" w:color="auto" w:fill="E0E0E0"/>
              </w:rPr>
            </w:pPr>
            <w:r w:rsidRPr="008D4B8B">
              <w:t>Įgyvendinant šį strateginį tikslą, vykdomos programos:</w:t>
            </w:r>
          </w:p>
        </w:tc>
      </w:tr>
      <w:tr w:rsidR="00BA72F4" w:rsidRPr="008D4B8B" w:rsidTr="00BA72F4">
        <w:trPr>
          <w:cantSplit/>
          <w:trHeight w:val="56"/>
        </w:trPr>
        <w:tc>
          <w:tcPr>
            <w:tcW w:w="16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A72F4" w:rsidRPr="008D4B8B" w:rsidRDefault="00BA72F4">
            <w:pPr>
              <w:tabs>
                <w:tab w:val="left" w:pos="1296"/>
                <w:tab w:val="center" w:pos="4153"/>
                <w:tab w:val="right" w:pos="8306"/>
              </w:tabs>
              <w:jc w:val="center"/>
              <w:rPr>
                <w:b/>
                <w:shd w:val="clear" w:color="auto" w:fill="E0E0E0"/>
              </w:rPr>
            </w:pPr>
            <w:r w:rsidRPr="008D4B8B">
              <w:rPr>
                <w:b/>
                <w:shd w:val="clear" w:color="auto" w:fill="FFFFFF" w:themeFill="background1"/>
              </w:rPr>
              <w:t>05</w:t>
            </w:r>
          </w:p>
        </w:tc>
        <w:tc>
          <w:tcPr>
            <w:tcW w:w="8217" w:type="dxa"/>
            <w:tcBorders>
              <w:top w:val="single" w:sz="4" w:space="0" w:color="auto"/>
              <w:left w:val="single" w:sz="4" w:space="0" w:color="auto"/>
              <w:bottom w:val="single" w:sz="4" w:space="0" w:color="auto"/>
              <w:right w:val="single" w:sz="4" w:space="0" w:color="auto"/>
            </w:tcBorders>
            <w:hideMark/>
          </w:tcPr>
          <w:p w:rsidR="00BA72F4" w:rsidRPr="008D4B8B" w:rsidRDefault="00BA72F4">
            <w:pPr>
              <w:tabs>
                <w:tab w:val="left" w:pos="1296"/>
                <w:tab w:val="center" w:pos="4153"/>
                <w:tab w:val="right" w:pos="8306"/>
              </w:tabs>
              <w:rPr>
                <w:b/>
                <w:shd w:val="clear" w:color="auto" w:fill="E0E0E0"/>
              </w:rPr>
            </w:pPr>
            <w:r w:rsidRPr="008D4B8B">
              <w:rPr>
                <w:b/>
              </w:rPr>
              <w:t>Aplinkos apsaugos programa</w:t>
            </w:r>
          </w:p>
        </w:tc>
      </w:tr>
      <w:tr w:rsidR="00BA72F4" w:rsidRPr="008D4B8B" w:rsidTr="00BA72F4">
        <w:trPr>
          <w:cantSplit/>
          <w:trHeight w:val="56"/>
        </w:trPr>
        <w:tc>
          <w:tcPr>
            <w:tcW w:w="16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A72F4" w:rsidRPr="008D4B8B" w:rsidRDefault="00BA72F4">
            <w:pPr>
              <w:tabs>
                <w:tab w:val="left" w:pos="1296"/>
                <w:tab w:val="center" w:pos="4153"/>
                <w:tab w:val="right" w:pos="8306"/>
              </w:tabs>
              <w:jc w:val="center"/>
              <w:rPr>
                <w:b/>
                <w:shd w:val="clear" w:color="auto" w:fill="E0E0E0"/>
              </w:rPr>
            </w:pPr>
            <w:r w:rsidRPr="008D4B8B">
              <w:rPr>
                <w:b/>
                <w:shd w:val="clear" w:color="auto" w:fill="FFFFFF" w:themeFill="background1"/>
              </w:rPr>
              <w:t>06</w:t>
            </w:r>
          </w:p>
        </w:tc>
        <w:tc>
          <w:tcPr>
            <w:tcW w:w="8217" w:type="dxa"/>
            <w:tcBorders>
              <w:top w:val="single" w:sz="4" w:space="0" w:color="auto"/>
              <w:left w:val="single" w:sz="4" w:space="0" w:color="auto"/>
              <w:bottom w:val="single" w:sz="4" w:space="0" w:color="auto"/>
              <w:right w:val="single" w:sz="4" w:space="0" w:color="auto"/>
            </w:tcBorders>
            <w:hideMark/>
          </w:tcPr>
          <w:p w:rsidR="00BA72F4" w:rsidRPr="008D4B8B" w:rsidRDefault="00BA72F4">
            <w:pPr>
              <w:tabs>
                <w:tab w:val="left" w:pos="1296"/>
                <w:tab w:val="center" w:pos="4153"/>
                <w:tab w:val="right" w:pos="8306"/>
              </w:tabs>
              <w:rPr>
                <w:b/>
                <w:shd w:val="clear" w:color="auto" w:fill="E0E0E0"/>
              </w:rPr>
            </w:pPr>
            <w:r w:rsidRPr="008D4B8B">
              <w:rPr>
                <w:b/>
              </w:rPr>
              <w:t>Susisiekimo sistemos priežiūros ir plėtros programa</w:t>
            </w:r>
          </w:p>
        </w:tc>
      </w:tr>
      <w:tr w:rsidR="00BA72F4" w:rsidRPr="008D4B8B" w:rsidTr="00BA72F4">
        <w:trPr>
          <w:cantSplit/>
          <w:trHeight w:val="56"/>
        </w:trPr>
        <w:tc>
          <w:tcPr>
            <w:tcW w:w="16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A72F4" w:rsidRPr="008D4B8B" w:rsidRDefault="00BA72F4">
            <w:pPr>
              <w:tabs>
                <w:tab w:val="left" w:pos="1296"/>
                <w:tab w:val="center" w:pos="4153"/>
                <w:tab w:val="right" w:pos="8306"/>
              </w:tabs>
              <w:jc w:val="center"/>
              <w:rPr>
                <w:b/>
                <w:shd w:val="clear" w:color="auto" w:fill="E0E0E0"/>
              </w:rPr>
            </w:pPr>
            <w:r w:rsidRPr="008D4B8B">
              <w:rPr>
                <w:b/>
                <w:shd w:val="clear" w:color="auto" w:fill="FFFFFF" w:themeFill="background1"/>
              </w:rPr>
              <w:t>07</w:t>
            </w:r>
          </w:p>
        </w:tc>
        <w:tc>
          <w:tcPr>
            <w:tcW w:w="8217" w:type="dxa"/>
            <w:tcBorders>
              <w:top w:val="single" w:sz="4" w:space="0" w:color="auto"/>
              <w:left w:val="single" w:sz="4" w:space="0" w:color="auto"/>
              <w:bottom w:val="single" w:sz="4" w:space="0" w:color="auto"/>
              <w:right w:val="single" w:sz="4" w:space="0" w:color="auto"/>
            </w:tcBorders>
            <w:hideMark/>
          </w:tcPr>
          <w:p w:rsidR="00BA72F4" w:rsidRPr="008D4B8B" w:rsidRDefault="00BA72F4">
            <w:pPr>
              <w:tabs>
                <w:tab w:val="left" w:pos="1296"/>
                <w:tab w:val="center" w:pos="4153"/>
                <w:tab w:val="right" w:pos="8306"/>
              </w:tabs>
              <w:rPr>
                <w:b/>
                <w:shd w:val="clear" w:color="auto" w:fill="E0E0E0"/>
              </w:rPr>
            </w:pPr>
            <w:r w:rsidRPr="008D4B8B">
              <w:rPr>
                <w:b/>
              </w:rPr>
              <w:t>Miesto infrastruktūros objektų priežiūros ir modernizavimo programa</w:t>
            </w:r>
          </w:p>
        </w:tc>
      </w:tr>
      <w:tr w:rsidR="00BA72F4" w:rsidRPr="008D4B8B" w:rsidTr="00BA72F4">
        <w:trPr>
          <w:cantSplit/>
          <w:trHeight w:val="185"/>
        </w:trPr>
        <w:tc>
          <w:tcPr>
            <w:tcW w:w="9885" w:type="dxa"/>
            <w:gridSpan w:val="3"/>
            <w:tcBorders>
              <w:top w:val="single" w:sz="4" w:space="0" w:color="auto"/>
              <w:left w:val="single" w:sz="4" w:space="0" w:color="auto"/>
              <w:bottom w:val="single" w:sz="4" w:space="0" w:color="auto"/>
              <w:right w:val="single" w:sz="4" w:space="0" w:color="auto"/>
            </w:tcBorders>
          </w:tcPr>
          <w:p w:rsidR="00BA72F4" w:rsidRPr="008D4B8B" w:rsidRDefault="00BA72F4">
            <w:pPr>
              <w:tabs>
                <w:tab w:val="left" w:pos="1296"/>
                <w:tab w:val="center" w:pos="4153"/>
                <w:tab w:val="right" w:pos="8306"/>
              </w:tabs>
              <w:rPr>
                <w:b/>
              </w:rPr>
            </w:pPr>
            <w:r w:rsidRPr="008D4B8B">
              <w:rPr>
                <w:b/>
              </w:rPr>
              <w:t>Efekto kriterijai (nurodomos siektinos reikšmės 2021 m.):</w:t>
            </w:r>
          </w:p>
          <w:p w:rsidR="00BA72F4" w:rsidRPr="008D4B8B" w:rsidRDefault="00BA72F4">
            <w:pPr>
              <w:tabs>
                <w:tab w:val="left" w:pos="1296"/>
                <w:tab w:val="center" w:pos="4153"/>
                <w:tab w:val="right" w:pos="8306"/>
              </w:tabs>
              <w:rPr>
                <w:bCs/>
              </w:rPr>
            </w:pPr>
            <w:r w:rsidRPr="008D4B8B">
              <w:rPr>
                <w:bCs/>
              </w:rPr>
              <w:t>E-02-01 Parų skaičius, kai viršijamos ribinės teršalų vertės per metus (KD</w:t>
            </w:r>
            <w:r w:rsidRPr="008D4B8B">
              <w:rPr>
                <w:bCs/>
                <w:vertAlign w:val="subscript"/>
              </w:rPr>
              <w:t>10</w:t>
            </w:r>
            <w:r w:rsidRPr="008D4B8B">
              <w:rPr>
                <w:bCs/>
              </w:rPr>
              <w:t>; matavimų oro kokybės stotyse duomenys) – ne daugiau kaip 30 (neviršijami norminiai rodikliai);</w:t>
            </w:r>
          </w:p>
          <w:p w:rsidR="00BA72F4" w:rsidRPr="008D4B8B" w:rsidRDefault="00BA72F4">
            <w:pPr>
              <w:tabs>
                <w:tab w:val="left" w:pos="1296"/>
                <w:tab w:val="center" w:pos="4153"/>
                <w:tab w:val="right" w:pos="8306"/>
              </w:tabs>
              <w:rPr>
                <w:rFonts w:eastAsia="Calibri"/>
              </w:rPr>
            </w:pPr>
            <w:r w:rsidRPr="008D4B8B">
              <w:rPr>
                <w:rFonts w:eastAsia="Calibri"/>
              </w:rPr>
              <w:t>E-02-02 Avaringumo lygis (kelių eismo įvykių skaičius 100 000 gyv.) &lt; 154,1;</w:t>
            </w:r>
          </w:p>
          <w:p w:rsidR="00BA72F4" w:rsidRPr="008D4B8B" w:rsidRDefault="00BA72F4">
            <w:pPr>
              <w:tabs>
                <w:tab w:val="left" w:pos="1296"/>
                <w:tab w:val="center" w:pos="4153"/>
                <w:tab w:val="right" w:pos="8306"/>
              </w:tabs>
              <w:rPr>
                <w:rFonts w:eastAsia="Calibri"/>
              </w:rPr>
            </w:pPr>
            <w:r w:rsidRPr="008D4B8B">
              <w:rPr>
                <w:rFonts w:eastAsia="Calibri"/>
                <w:bCs/>
              </w:rPr>
              <w:t>E-02-03 Komunalinio ūkio ir aplinkos paslaugų vertinimas (balai iš 10, gyventojų apklausa) &gt; 7,5;</w:t>
            </w:r>
          </w:p>
          <w:p w:rsidR="00BA72F4" w:rsidRPr="008D4B8B" w:rsidRDefault="00BA72F4">
            <w:pPr>
              <w:tabs>
                <w:tab w:val="left" w:pos="1296"/>
                <w:tab w:val="center" w:pos="4153"/>
                <w:tab w:val="right" w:pos="8306"/>
              </w:tabs>
              <w:rPr>
                <w:rFonts w:eastAsia="Calibri"/>
              </w:rPr>
            </w:pPr>
            <w:r w:rsidRPr="008D4B8B">
              <w:rPr>
                <w:rFonts w:eastAsia="Calibri"/>
                <w:bCs/>
              </w:rPr>
              <w:t>E-02-04 Viešojo transporto paslaugų vertinimas (balai iš 10, gyventojų apklausa) &gt; 8,6.</w:t>
            </w:r>
          </w:p>
          <w:p w:rsidR="00BA72F4" w:rsidRPr="008D4B8B" w:rsidRDefault="00BA72F4">
            <w:pPr>
              <w:tabs>
                <w:tab w:val="left" w:pos="1296"/>
                <w:tab w:val="center" w:pos="4153"/>
                <w:tab w:val="right" w:pos="8306"/>
              </w:tabs>
              <w:rPr>
                <w:rFonts w:eastAsia="Calibri"/>
              </w:rPr>
            </w:pPr>
          </w:p>
        </w:tc>
      </w:tr>
      <w:tr w:rsidR="00BA72F4" w:rsidRPr="008D4B8B" w:rsidTr="00BA72F4">
        <w:trPr>
          <w:cantSplit/>
          <w:trHeight w:val="185"/>
        </w:trPr>
        <w:tc>
          <w:tcPr>
            <w:tcW w:w="9885" w:type="dxa"/>
            <w:gridSpan w:val="3"/>
            <w:tcBorders>
              <w:top w:val="single" w:sz="4" w:space="0" w:color="auto"/>
              <w:left w:val="single" w:sz="4" w:space="0" w:color="auto"/>
              <w:bottom w:val="single" w:sz="4" w:space="0" w:color="auto"/>
              <w:right w:val="single" w:sz="4" w:space="0" w:color="auto"/>
            </w:tcBorders>
            <w:shd w:val="pct12" w:color="auto" w:fill="auto"/>
            <w:hideMark/>
          </w:tcPr>
          <w:p w:rsidR="00BA72F4" w:rsidRPr="008D4B8B" w:rsidRDefault="00BA72F4">
            <w:pPr>
              <w:tabs>
                <w:tab w:val="left" w:pos="1296"/>
                <w:tab w:val="center" w:pos="4153"/>
                <w:tab w:val="right" w:pos="8306"/>
              </w:tabs>
              <w:rPr>
                <w:b/>
                <w:shd w:val="clear" w:color="auto" w:fill="E0E0E0"/>
              </w:rPr>
            </w:pPr>
            <w:r w:rsidRPr="008D4B8B">
              <w:rPr>
                <w:b/>
              </w:rPr>
              <w:t>03 STRATEGINIS TIKSLAS – užtikrinti gyventojams aukštą švietimo, kultūros, socialinių, sporto ir sveikatos apsaugos paslaugų kokybę ir prieinamumą</w:t>
            </w:r>
          </w:p>
        </w:tc>
      </w:tr>
      <w:tr w:rsidR="00BA72F4" w:rsidRPr="008D4B8B" w:rsidTr="00BA72F4">
        <w:trPr>
          <w:cantSplit/>
          <w:trHeight w:val="75"/>
        </w:trPr>
        <w:tc>
          <w:tcPr>
            <w:tcW w:w="1668" w:type="dxa"/>
            <w:gridSpan w:val="2"/>
            <w:tcBorders>
              <w:top w:val="single" w:sz="4" w:space="0" w:color="auto"/>
              <w:left w:val="single" w:sz="4" w:space="0" w:color="auto"/>
              <w:bottom w:val="single" w:sz="4" w:space="0" w:color="auto"/>
              <w:right w:val="single" w:sz="4" w:space="0" w:color="auto"/>
            </w:tcBorders>
            <w:hideMark/>
          </w:tcPr>
          <w:p w:rsidR="00BA72F4" w:rsidRPr="008D4B8B" w:rsidRDefault="00BA72F4">
            <w:pPr>
              <w:tabs>
                <w:tab w:val="left" w:pos="1296"/>
                <w:tab w:val="center" w:pos="4153"/>
                <w:tab w:val="right" w:pos="8306"/>
              </w:tabs>
              <w:rPr>
                <w:b/>
                <w:shd w:val="clear" w:color="auto" w:fill="E0E0E0"/>
              </w:rPr>
            </w:pPr>
            <w:r w:rsidRPr="008D4B8B">
              <w:t>Kodas</w:t>
            </w:r>
          </w:p>
        </w:tc>
        <w:tc>
          <w:tcPr>
            <w:tcW w:w="8217" w:type="dxa"/>
            <w:tcBorders>
              <w:top w:val="single" w:sz="4" w:space="0" w:color="auto"/>
              <w:left w:val="single" w:sz="4" w:space="0" w:color="auto"/>
              <w:bottom w:val="single" w:sz="4" w:space="0" w:color="auto"/>
              <w:right w:val="single" w:sz="4" w:space="0" w:color="auto"/>
            </w:tcBorders>
            <w:hideMark/>
          </w:tcPr>
          <w:p w:rsidR="00BA72F4" w:rsidRPr="008D4B8B" w:rsidRDefault="00BA72F4">
            <w:pPr>
              <w:tabs>
                <w:tab w:val="left" w:pos="1296"/>
                <w:tab w:val="center" w:pos="4153"/>
                <w:tab w:val="right" w:pos="8306"/>
              </w:tabs>
              <w:rPr>
                <w:b/>
                <w:shd w:val="clear" w:color="auto" w:fill="E0E0E0"/>
              </w:rPr>
            </w:pPr>
            <w:r w:rsidRPr="008D4B8B">
              <w:t>Įgyvendinant šį strateginį tikslą vykdomos programos:</w:t>
            </w:r>
          </w:p>
        </w:tc>
      </w:tr>
      <w:tr w:rsidR="00BA72F4" w:rsidRPr="008D4B8B" w:rsidTr="00BA72F4">
        <w:trPr>
          <w:cantSplit/>
          <w:trHeight w:val="75"/>
        </w:trPr>
        <w:tc>
          <w:tcPr>
            <w:tcW w:w="1668" w:type="dxa"/>
            <w:gridSpan w:val="2"/>
            <w:tcBorders>
              <w:top w:val="single" w:sz="4" w:space="0" w:color="auto"/>
              <w:left w:val="single" w:sz="4" w:space="0" w:color="auto"/>
              <w:bottom w:val="single" w:sz="4" w:space="0" w:color="auto"/>
              <w:right w:val="single" w:sz="4" w:space="0" w:color="auto"/>
            </w:tcBorders>
            <w:hideMark/>
          </w:tcPr>
          <w:p w:rsidR="00BA72F4" w:rsidRPr="008D4B8B" w:rsidRDefault="00BA72F4">
            <w:pPr>
              <w:tabs>
                <w:tab w:val="left" w:pos="1296"/>
                <w:tab w:val="center" w:pos="4153"/>
                <w:tab w:val="right" w:pos="8306"/>
              </w:tabs>
              <w:jc w:val="center"/>
              <w:rPr>
                <w:b/>
                <w:shd w:val="clear" w:color="auto" w:fill="E0E0E0"/>
              </w:rPr>
            </w:pPr>
            <w:r w:rsidRPr="008D4B8B">
              <w:rPr>
                <w:b/>
              </w:rPr>
              <w:lastRenderedPageBreak/>
              <w:t>08</w:t>
            </w:r>
          </w:p>
        </w:tc>
        <w:tc>
          <w:tcPr>
            <w:tcW w:w="8217" w:type="dxa"/>
            <w:tcBorders>
              <w:top w:val="single" w:sz="4" w:space="0" w:color="auto"/>
              <w:left w:val="single" w:sz="4" w:space="0" w:color="auto"/>
              <w:bottom w:val="single" w:sz="4" w:space="0" w:color="auto"/>
              <w:right w:val="single" w:sz="4" w:space="0" w:color="auto"/>
            </w:tcBorders>
            <w:hideMark/>
          </w:tcPr>
          <w:p w:rsidR="00BA72F4" w:rsidRPr="008D4B8B" w:rsidRDefault="00BA72F4">
            <w:pPr>
              <w:tabs>
                <w:tab w:val="left" w:pos="1296"/>
                <w:tab w:val="center" w:pos="4153"/>
                <w:tab w:val="right" w:pos="8306"/>
              </w:tabs>
              <w:jc w:val="both"/>
            </w:pPr>
            <w:r w:rsidRPr="008D4B8B">
              <w:rPr>
                <w:b/>
              </w:rPr>
              <w:t xml:space="preserve">Miesto kultūrinio savitumo puoselėjimo bei kultūrinių paslaugų gerinimo programa </w:t>
            </w:r>
          </w:p>
        </w:tc>
      </w:tr>
      <w:tr w:rsidR="00BA72F4" w:rsidRPr="008D4B8B" w:rsidTr="00BA72F4">
        <w:trPr>
          <w:cantSplit/>
          <w:trHeight w:val="75"/>
        </w:trPr>
        <w:tc>
          <w:tcPr>
            <w:tcW w:w="1668" w:type="dxa"/>
            <w:gridSpan w:val="2"/>
            <w:tcBorders>
              <w:top w:val="single" w:sz="4" w:space="0" w:color="auto"/>
              <w:left w:val="single" w:sz="4" w:space="0" w:color="auto"/>
              <w:bottom w:val="single" w:sz="4" w:space="0" w:color="auto"/>
              <w:right w:val="single" w:sz="4" w:space="0" w:color="auto"/>
            </w:tcBorders>
            <w:hideMark/>
          </w:tcPr>
          <w:p w:rsidR="00BA72F4" w:rsidRPr="008D4B8B" w:rsidRDefault="00BA72F4">
            <w:pPr>
              <w:tabs>
                <w:tab w:val="left" w:pos="1296"/>
                <w:tab w:val="center" w:pos="4153"/>
                <w:tab w:val="right" w:pos="8306"/>
              </w:tabs>
              <w:jc w:val="center"/>
              <w:rPr>
                <w:b/>
                <w:shd w:val="clear" w:color="auto" w:fill="E0E0E0"/>
              </w:rPr>
            </w:pPr>
            <w:r w:rsidRPr="008D4B8B">
              <w:rPr>
                <w:b/>
              </w:rPr>
              <w:t>09</w:t>
            </w:r>
          </w:p>
        </w:tc>
        <w:tc>
          <w:tcPr>
            <w:tcW w:w="8217" w:type="dxa"/>
            <w:tcBorders>
              <w:top w:val="single" w:sz="4" w:space="0" w:color="auto"/>
              <w:left w:val="single" w:sz="4" w:space="0" w:color="auto"/>
              <w:bottom w:val="single" w:sz="4" w:space="0" w:color="auto"/>
              <w:right w:val="single" w:sz="4" w:space="0" w:color="auto"/>
            </w:tcBorders>
            <w:hideMark/>
          </w:tcPr>
          <w:p w:rsidR="00BA72F4" w:rsidRPr="008D4B8B" w:rsidRDefault="00BA72F4">
            <w:pPr>
              <w:tabs>
                <w:tab w:val="left" w:pos="1296"/>
                <w:tab w:val="center" w:pos="4153"/>
                <w:tab w:val="right" w:pos="8306"/>
              </w:tabs>
              <w:rPr>
                <w:b/>
              </w:rPr>
            </w:pPr>
            <w:r w:rsidRPr="008D4B8B">
              <w:rPr>
                <w:b/>
                <w:bCs/>
              </w:rPr>
              <w:t xml:space="preserve">Jaunimo politikos plėtros </w:t>
            </w:r>
            <w:r w:rsidRPr="008D4B8B">
              <w:rPr>
                <w:b/>
              </w:rPr>
              <w:t xml:space="preserve">programa </w:t>
            </w:r>
          </w:p>
        </w:tc>
      </w:tr>
      <w:tr w:rsidR="00BA72F4" w:rsidRPr="008D4B8B" w:rsidTr="00BA72F4">
        <w:trPr>
          <w:cantSplit/>
          <w:trHeight w:val="75"/>
        </w:trPr>
        <w:tc>
          <w:tcPr>
            <w:tcW w:w="1668" w:type="dxa"/>
            <w:gridSpan w:val="2"/>
            <w:tcBorders>
              <w:top w:val="single" w:sz="4" w:space="0" w:color="auto"/>
              <w:left w:val="single" w:sz="4" w:space="0" w:color="auto"/>
              <w:bottom w:val="single" w:sz="4" w:space="0" w:color="auto"/>
              <w:right w:val="single" w:sz="4" w:space="0" w:color="auto"/>
            </w:tcBorders>
            <w:hideMark/>
          </w:tcPr>
          <w:p w:rsidR="00BA72F4" w:rsidRPr="008D4B8B" w:rsidRDefault="00BA72F4">
            <w:pPr>
              <w:tabs>
                <w:tab w:val="left" w:pos="1296"/>
                <w:tab w:val="center" w:pos="4153"/>
                <w:tab w:val="right" w:pos="8306"/>
              </w:tabs>
              <w:jc w:val="center"/>
              <w:rPr>
                <w:b/>
                <w:shd w:val="clear" w:color="auto" w:fill="E0E0E0"/>
              </w:rPr>
            </w:pPr>
            <w:r w:rsidRPr="008D4B8B">
              <w:rPr>
                <w:b/>
              </w:rPr>
              <w:t>10</w:t>
            </w:r>
          </w:p>
        </w:tc>
        <w:tc>
          <w:tcPr>
            <w:tcW w:w="8217" w:type="dxa"/>
            <w:tcBorders>
              <w:top w:val="single" w:sz="4" w:space="0" w:color="auto"/>
              <w:left w:val="single" w:sz="4" w:space="0" w:color="auto"/>
              <w:bottom w:val="single" w:sz="4" w:space="0" w:color="auto"/>
              <w:right w:val="single" w:sz="4" w:space="0" w:color="auto"/>
            </w:tcBorders>
            <w:hideMark/>
          </w:tcPr>
          <w:p w:rsidR="00BA72F4" w:rsidRPr="008D4B8B" w:rsidRDefault="00BA72F4">
            <w:pPr>
              <w:tabs>
                <w:tab w:val="left" w:pos="1296"/>
                <w:tab w:val="center" w:pos="4153"/>
                <w:tab w:val="right" w:pos="8306"/>
              </w:tabs>
              <w:rPr>
                <w:b/>
              </w:rPr>
            </w:pPr>
            <w:r w:rsidRPr="008D4B8B">
              <w:rPr>
                <w:b/>
              </w:rPr>
              <w:t>Ugdymo proceso užtikrinimo programa</w:t>
            </w:r>
            <w:r w:rsidRPr="008D4B8B">
              <w:rPr>
                <w:b/>
                <w:bCs/>
              </w:rPr>
              <w:t xml:space="preserve"> </w:t>
            </w:r>
          </w:p>
        </w:tc>
      </w:tr>
      <w:tr w:rsidR="00BA72F4" w:rsidRPr="008D4B8B" w:rsidTr="00BA72F4">
        <w:trPr>
          <w:cantSplit/>
          <w:trHeight w:val="75"/>
        </w:trPr>
        <w:tc>
          <w:tcPr>
            <w:tcW w:w="1668" w:type="dxa"/>
            <w:gridSpan w:val="2"/>
            <w:tcBorders>
              <w:top w:val="single" w:sz="4" w:space="0" w:color="auto"/>
              <w:left w:val="single" w:sz="4" w:space="0" w:color="auto"/>
              <w:bottom w:val="single" w:sz="4" w:space="0" w:color="auto"/>
              <w:right w:val="single" w:sz="4" w:space="0" w:color="auto"/>
            </w:tcBorders>
            <w:hideMark/>
          </w:tcPr>
          <w:p w:rsidR="00BA72F4" w:rsidRPr="008D4B8B" w:rsidRDefault="00BA72F4">
            <w:pPr>
              <w:tabs>
                <w:tab w:val="left" w:pos="1296"/>
                <w:tab w:val="center" w:pos="4153"/>
                <w:tab w:val="right" w:pos="8306"/>
              </w:tabs>
              <w:jc w:val="center"/>
              <w:rPr>
                <w:b/>
                <w:shd w:val="clear" w:color="auto" w:fill="E0E0E0"/>
              </w:rPr>
            </w:pPr>
            <w:r w:rsidRPr="008D4B8B">
              <w:rPr>
                <w:b/>
              </w:rPr>
              <w:t>11</w:t>
            </w:r>
          </w:p>
        </w:tc>
        <w:tc>
          <w:tcPr>
            <w:tcW w:w="8217" w:type="dxa"/>
            <w:tcBorders>
              <w:top w:val="single" w:sz="4" w:space="0" w:color="auto"/>
              <w:left w:val="single" w:sz="4" w:space="0" w:color="auto"/>
              <w:bottom w:val="single" w:sz="4" w:space="0" w:color="auto"/>
              <w:right w:val="single" w:sz="4" w:space="0" w:color="auto"/>
            </w:tcBorders>
            <w:hideMark/>
          </w:tcPr>
          <w:p w:rsidR="00BA72F4" w:rsidRPr="008D4B8B" w:rsidRDefault="00BA72F4">
            <w:pPr>
              <w:tabs>
                <w:tab w:val="left" w:pos="1296"/>
                <w:tab w:val="center" w:pos="4153"/>
                <w:tab w:val="right" w:pos="8306"/>
              </w:tabs>
              <w:rPr>
                <w:b/>
              </w:rPr>
            </w:pPr>
            <w:r w:rsidRPr="008D4B8B">
              <w:rPr>
                <w:b/>
                <w:bCs/>
              </w:rPr>
              <w:t>Kūno kultūros ir sporto plėtros programa</w:t>
            </w:r>
            <w:r w:rsidRPr="008D4B8B">
              <w:rPr>
                <w:b/>
              </w:rPr>
              <w:t xml:space="preserve"> </w:t>
            </w:r>
          </w:p>
        </w:tc>
      </w:tr>
      <w:tr w:rsidR="00BA72F4" w:rsidRPr="008D4B8B" w:rsidTr="00BA72F4">
        <w:trPr>
          <w:cantSplit/>
          <w:trHeight w:val="75"/>
        </w:trPr>
        <w:tc>
          <w:tcPr>
            <w:tcW w:w="1668" w:type="dxa"/>
            <w:gridSpan w:val="2"/>
            <w:tcBorders>
              <w:top w:val="single" w:sz="4" w:space="0" w:color="auto"/>
              <w:left w:val="single" w:sz="4" w:space="0" w:color="auto"/>
              <w:bottom w:val="single" w:sz="4" w:space="0" w:color="auto"/>
              <w:right w:val="single" w:sz="4" w:space="0" w:color="auto"/>
            </w:tcBorders>
            <w:hideMark/>
          </w:tcPr>
          <w:p w:rsidR="00BA72F4" w:rsidRPr="008D4B8B" w:rsidRDefault="00BA72F4">
            <w:pPr>
              <w:tabs>
                <w:tab w:val="left" w:pos="1296"/>
                <w:tab w:val="center" w:pos="4153"/>
                <w:tab w:val="right" w:pos="8306"/>
              </w:tabs>
              <w:jc w:val="center"/>
              <w:rPr>
                <w:b/>
                <w:shd w:val="clear" w:color="auto" w:fill="E0E0E0"/>
              </w:rPr>
            </w:pPr>
            <w:r w:rsidRPr="008D4B8B">
              <w:rPr>
                <w:b/>
              </w:rPr>
              <w:t>12</w:t>
            </w:r>
          </w:p>
        </w:tc>
        <w:tc>
          <w:tcPr>
            <w:tcW w:w="8217" w:type="dxa"/>
            <w:tcBorders>
              <w:top w:val="single" w:sz="4" w:space="0" w:color="auto"/>
              <w:left w:val="single" w:sz="4" w:space="0" w:color="auto"/>
              <w:bottom w:val="single" w:sz="4" w:space="0" w:color="auto"/>
              <w:right w:val="single" w:sz="4" w:space="0" w:color="auto"/>
            </w:tcBorders>
            <w:hideMark/>
          </w:tcPr>
          <w:p w:rsidR="00BA72F4" w:rsidRPr="008D4B8B" w:rsidRDefault="00BA72F4">
            <w:pPr>
              <w:tabs>
                <w:tab w:val="left" w:pos="1296"/>
                <w:tab w:val="center" w:pos="4153"/>
                <w:tab w:val="right" w:pos="8306"/>
              </w:tabs>
              <w:rPr>
                <w:b/>
              </w:rPr>
            </w:pPr>
            <w:r w:rsidRPr="008D4B8B">
              <w:rPr>
                <w:b/>
              </w:rPr>
              <w:t>Socialinės atskirties mažinimo programa</w:t>
            </w:r>
            <w:r w:rsidRPr="008D4B8B">
              <w:rPr>
                <w:b/>
                <w:bCs/>
              </w:rPr>
              <w:t xml:space="preserve"> </w:t>
            </w:r>
          </w:p>
        </w:tc>
      </w:tr>
      <w:tr w:rsidR="00BA72F4" w:rsidRPr="008D4B8B" w:rsidTr="00BA72F4">
        <w:trPr>
          <w:cantSplit/>
          <w:trHeight w:val="75"/>
        </w:trPr>
        <w:tc>
          <w:tcPr>
            <w:tcW w:w="1668" w:type="dxa"/>
            <w:gridSpan w:val="2"/>
            <w:tcBorders>
              <w:top w:val="single" w:sz="4" w:space="0" w:color="auto"/>
              <w:left w:val="single" w:sz="4" w:space="0" w:color="auto"/>
              <w:bottom w:val="single" w:sz="4" w:space="0" w:color="auto"/>
              <w:right w:val="single" w:sz="4" w:space="0" w:color="auto"/>
            </w:tcBorders>
            <w:hideMark/>
          </w:tcPr>
          <w:p w:rsidR="00BA72F4" w:rsidRPr="008D4B8B" w:rsidRDefault="00BA72F4">
            <w:pPr>
              <w:tabs>
                <w:tab w:val="left" w:pos="1296"/>
                <w:tab w:val="center" w:pos="4153"/>
                <w:tab w:val="right" w:pos="8306"/>
              </w:tabs>
              <w:jc w:val="center"/>
              <w:rPr>
                <w:b/>
                <w:shd w:val="clear" w:color="auto" w:fill="E0E0E0"/>
              </w:rPr>
            </w:pPr>
            <w:r w:rsidRPr="008D4B8B">
              <w:rPr>
                <w:b/>
              </w:rPr>
              <w:t>13</w:t>
            </w:r>
          </w:p>
        </w:tc>
        <w:tc>
          <w:tcPr>
            <w:tcW w:w="8217" w:type="dxa"/>
            <w:tcBorders>
              <w:top w:val="single" w:sz="4" w:space="0" w:color="auto"/>
              <w:left w:val="single" w:sz="4" w:space="0" w:color="auto"/>
              <w:bottom w:val="single" w:sz="4" w:space="0" w:color="auto"/>
              <w:right w:val="single" w:sz="4" w:space="0" w:color="auto"/>
            </w:tcBorders>
            <w:hideMark/>
          </w:tcPr>
          <w:p w:rsidR="00BA72F4" w:rsidRPr="008D4B8B" w:rsidRDefault="00BA72F4">
            <w:pPr>
              <w:rPr>
                <w:b/>
              </w:rPr>
            </w:pPr>
            <w:r w:rsidRPr="008D4B8B">
              <w:rPr>
                <w:b/>
                <w:bCs/>
              </w:rPr>
              <w:t>Sveikatos apsaugos programa</w:t>
            </w:r>
          </w:p>
        </w:tc>
      </w:tr>
      <w:tr w:rsidR="00BA72F4" w:rsidRPr="008D4B8B" w:rsidTr="00BA72F4">
        <w:trPr>
          <w:cantSplit/>
          <w:trHeight w:val="75"/>
        </w:trPr>
        <w:tc>
          <w:tcPr>
            <w:tcW w:w="9885" w:type="dxa"/>
            <w:gridSpan w:val="3"/>
            <w:tcBorders>
              <w:top w:val="single" w:sz="4" w:space="0" w:color="auto"/>
              <w:left w:val="single" w:sz="4" w:space="0" w:color="auto"/>
              <w:bottom w:val="single" w:sz="4" w:space="0" w:color="auto"/>
              <w:right w:val="single" w:sz="4" w:space="0" w:color="auto"/>
            </w:tcBorders>
            <w:hideMark/>
          </w:tcPr>
          <w:p w:rsidR="00BA72F4" w:rsidRPr="008D4B8B" w:rsidRDefault="00BA72F4">
            <w:pPr>
              <w:rPr>
                <w:b/>
                <w:bCs/>
              </w:rPr>
            </w:pPr>
            <w:r w:rsidRPr="008D4B8B">
              <w:rPr>
                <w:b/>
                <w:bCs/>
              </w:rPr>
              <w:t>Efekto kriterijai (nurodomos siektinos reikšmės 2021 m.):</w:t>
            </w:r>
          </w:p>
          <w:p w:rsidR="00BA72F4" w:rsidRPr="008D4B8B" w:rsidRDefault="00BA72F4">
            <w:r w:rsidRPr="008D4B8B">
              <w:t xml:space="preserve">E-03-01 Gyventojų skaičiaus pokytis  </w:t>
            </w:r>
            <w:r w:rsidRPr="008D4B8B">
              <w:rPr>
                <w:rFonts w:eastAsia="Calibri"/>
              </w:rPr>
              <w:t xml:space="preserve">&lt; -0,5 </w:t>
            </w:r>
            <w:r w:rsidRPr="008D4B8B">
              <w:t xml:space="preserve">% </w:t>
            </w:r>
          </w:p>
          <w:p w:rsidR="00BA72F4" w:rsidRPr="008D4B8B" w:rsidRDefault="00BA72F4">
            <w:r w:rsidRPr="008D4B8B">
              <w:rPr>
                <w:bCs/>
              </w:rPr>
              <w:t>E-03-02 Kultūros, laisvalaikio ir sporto paslaugų vertinimas (balai iš 10, gyventojų apklausa) &gt; 8,2;</w:t>
            </w:r>
          </w:p>
          <w:p w:rsidR="00BA72F4" w:rsidRPr="008D4B8B" w:rsidRDefault="00BA72F4">
            <w:r w:rsidRPr="008D4B8B">
              <w:rPr>
                <w:bCs/>
              </w:rPr>
              <w:t>E-03-03 Socialinių paslaugų vertinimas (balai iš 10, gyventojų apklausa) &gt; 7,8;</w:t>
            </w:r>
          </w:p>
          <w:p w:rsidR="00BA72F4" w:rsidRPr="008D4B8B" w:rsidRDefault="00BA72F4">
            <w:r w:rsidRPr="008D4B8B">
              <w:rPr>
                <w:bCs/>
              </w:rPr>
              <w:t xml:space="preserve">E-03-04 Švietimo paslaugų vertinimas (balai iš 10, gyventojų apklausa) &gt; 8,4. </w:t>
            </w:r>
          </w:p>
        </w:tc>
      </w:tr>
    </w:tbl>
    <w:p w:rsidR="00BA72F4" w:rsidRPr="008D4B8B" w:rsidRDefault="00BA72F4" w:rsidP="00BA72F4">
      <w:pPr>
        <w:jc w:val="both"/>
        <w:rPr>
          <w:b/>
          <w:snapToGrid w:val="0"/>
        </w:rPr>
      </w:pPr>
    </w:p>
    <w:p w:rsidR="00BA72F4" w:rsidRPr="008D4B8B" w:rsidRDefault="00BA72F4" w:rsidP="00BA72F4">
      <w:pPr>
        <w:ind w:firstLine="748"/>
        <w:rPr>
          <w:b/>
          <w:bCs/>
        </w:rPr>
      </w:pPr>
      <w:r w:rsidRPr="008D4B8B">
        <w:t>PRIDEDAMA:</w:t>
      </w:r>
    </w:p>
    <w:p w:rsidR="00BA72F4" w:rsidRPr="008D4B8B" w:rsidRDefault="00BA72F4" w:rsidP="00BA72F4">
      <w:pPr>
        <w:ind w:firstLine="748"/>
        <w:jc w:val="both"/>
        <w:rPr>
          <w:caps/>
        </w:rPr>
      </w:pPr>
      <w:r w:rsidRPr="008D4B8B">
        <w:t>1. 1 priedas – Klaipėdos miesto savivaldybės 2019–2021 m. vykdomų investicinių projektų sąrašas.</w:t>
      </w:r>
    </w:p>
    <w:p w:rsidR="00BA72F4" w:rsidRPr="008D4B8B" w:rsidRDefault="00BA72F4" w:rsidP="00BA72F4">
      <w:pPr>
        <w:ind w:firstLine="748"/>
        <w:jc w:val="both"/>
      </w:pPr>
      <w:r w:rsidRPr="008D4B8B">
        <w:rPr>
          <w:caps/>
        </w:rPr>
        <w:t xml:space="preserve">2. 2 </w:t>
      </w:r>
      <w:r w:rsidRPr="008D4B8B">
        <w:t>priedas – Klaipėdos miesto savivaldybės tarybos patvirtintų strateginio planavimo dokumentų klasifikatorius.</w:t>
      </w:r>
    </w:p>
    <w:p w:rsidR="00BA72F4" w:rsidRPr="008D4B8B" w:rsidRDefault="00BA72F4" w:rsidP="00BA72F4">
      <w:pPr>
        <w:jc w:val="center"/>
        <w:rPr>
          <w:bCs/>
        </w:rPr>
      </w:pPr>
    </w:p>
    <w:p w:rsidR="00D57F27" w:rsidRPr="008D4B8B" w:rsidRDefault="00BA72F4" w:rsidP="00BA72F4">
      <w:pPr>
        <w:jc w:val="center"/>
      </w:pPr>
      <w:r w:rsidRPr="008D4B8B">
        <w:rPr>
          <w:bCs/>
        </w:rPr>
        <w:t>_______________________</w:t>
      </w:r>
    </w:p>
    <w:sectPr w:rsidR="00D57F27" w:rsidRPr="008D4B8B" w:rsidSect="00D57F27">
      <w:headerReference w:type="default" r:id="rId1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25F" w:rsidRDefault="0075125F" w:rsidP="00D57F27">
      <w:r>
        <w:separator/>
      </w:r>
    </w:p>
  </w:endnote>
  <w:endnote w:type="continuationSeparator" w:id="0">
    <w:p w:rsidR="0075125F" w:rsidRDefault="0075125F"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25F" w:rsidRDefault="0075125F" w:rsidP="00D57F27">
      <w:r>
        <w:separator/>
      </w:r>
    </w:p>
  </w:footnote>
  <w:footnote w:type="continuationSeparator" w:id="0">
    <w:p w:rsidR="0075125F" w:rsidRDefault="0075125F"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911FE6">
          <w:rPr>
            <w:noProof/>
          </w:rPr>
          <w:t>2</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4476DD"/>
    <w:rsid w:val="004832C8"/>
    <w:rsid w:val="00597EE8"/>
    <w:rsid w:val="005F495C"/>
    <w:rsid w:val="006975AA"/>
    <w:rsid w:val="0075125F"/>
    <w:rsid w:val="00832CC9"/>
    <w:rsid w:val="008354D5"/>
    <w:rsid w:val="008D4B8B"/>
    <w:rsid w:val="008E6E82"/>
    <w:rsid w:val="00911FE6"/>
    <w:rsid w:val="00996C61"/>
    <w:rsid w:val="00AF7D08"/>
    <w:rsid w:val="00B750B6"/>
    <w:rsid w:val="00BA72F4"/>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AA9846-C963-4E51-AEA3-E50E29CAC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Grietas">
    <w:name w:val="Strong"/>
    <w:basedOn w:val="Numatytasispastraiposriftas"/>
    <w:qFormat/>
    <w:rsid w:val="00BA72F4"/>
    <w:rPr>
      <w:rFonts w:ascii="Times New Roman" w:hAnsi="Times New Roman" w:cs="Times New Roman" w:hint="default"/>
      <w:b/>
      <w:bCs w:val="0"/>
    </w:rPr>
  </w:style>
  <w:style w:type="character" w:customStyle="1" w:styleId="prastasiniatinklioDiagrama">
    <w:name w:val="Įprastas (žiniatinklio) Diagrama"/>
    <w:aliases w:val="Char Diagrama"/>
    <w:link w:val="prastasiniatinklio"/>
    <w:uiPriority w:val="99"/>
    <w:semiHidden/>
    <w:locked/>
    <w:rsid w:val="00BA72F4"/>
    <w:rPr>
      <w:sz w:val="24"/>
      <w:szCs w:val="24"/>
      <w:lang w:val="en-GB"/>
    </w:rPr>
  </w:style>
  <w:style w:type="paragraph" w:styleId="prastasiniatinklio">
    <w:name w:val="Normal (Web)"/>
    <w:aliases w:val="Char"/>
    <w:basedOn w:val="prastasis"/>
    <w:link w:val="prastasiniatinklioDiagrama"/>
    <w:uiPriority w:val="99"/>
    <w:semiHidden/>
    <w:unhideWhenUsed/>
    <w:qFormat/>
    <w:rsid w:val="00BA72F4"/>
    <w:pPr>
      <w:tabs>
        <w:tab w:val="center" w:pos="4819"/>
        <w:tab w:val="right" w:pos="9638"/>
      </w:tabs>
      <w:contextualSpacing/>
    </w:pPr>
    <w:rPr>
      <w:rFonts w:asciiTheme="minorHAnsi" w:eastAsiaTheme="minorHAnsi" w:hAnsiTheme="minorHAnsi" w:cstheme="minorBidi"/>
      <w:lang w:val="en-GB"/>
    </w:rPr>
  </w:style>
  <w:style w:type="character" w:customStyle="1" w:styleId="SraopastraipaDiagrama">
    <w:name w:val="Sąrašo pastraipa Diagrama"/>
    <w:aliases w:val="Table of contents numbered Diagrama,Colorful List - Accent 11 Diagrama,List Paragraph1 Diagrama,Bullet EY Diagrama,List Paragraph2 Diagrama,ERP-List Paragraph Diagrama,List Paragraph11 Diagrama,List Paragraph Red Diagrama"/>
    <w:link w:val="Sraopastraipa"/>
    <w:uiPriority w:val="34"/>
    <w:locked/>
    <w:rsid w:val="00BA72F4"/>
    <w:rPr>
      <w:rFonts w:ascii="Times New Roman" w:eastAsia="Times New Roman" w:hAnsi="Times New Roman" w:cs="Times New Roman"/>
      <w:sz w:val="24"/>
      <w:szCs w:val="24"/>
    </w:rPr>
  </w:style>
  <w:style w:type="paragraph" w:styleId="Sraopastraipa">
    <w:name w:val="List Paragraph"/>
    <w:aliases w:val="Table of contents numbered,Colorful List - Accent 11,List Paragraph1,Bullet EY,List Paragraph2,ERP-List Paragraph,List Paragraph11,List Paragraph Red,Sąrašo pastraipa1"/>
    <w:basedOn w:val="prastasis"/>
    <w:link w:val="SraopastraipaDiagrama"/>
    <w:uiPriority w:val="34"/>
    <w:qFormat/>
    <w:rsid w:val="00BA72F4"/>
    <w:pPr>
      <w:ind w:left="720"/>
      <w:contextualSpacing/>
    </w:pPr>
  </w:style>
  <w:style w:type="paragraph" w:customStyle="1" w:styleId="Default">
    <w:name w:val="Default"/>
    <w:uiPriority w:val="99"/>
    <w:qFormat/>
    <w:rsid w:val="00BA72F4"/>
    <w:pPr>
      <w:autoSpaceDE w:val="0"/>
      <w:autoSpaceDN w:val="0"/>
      <w:adjustRightInd w:val="0"/>
      <w:spacing w:after="0" w:line="240" w:lineRule="auto"/>
      <w:contextualSpacing/>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8308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chart" Target="charts/chart1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 Type="http://schemas.openxmlformats.org/officeDocument/2006/relationships/settings" Target="settings.xml"/><Relationship Id="rId16" Type="http://schemas.openxmlformats.org/officeDocument/2006/relationships/chart" Target="charts/chart1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5" Type="http://schemas.openxmlformats.org/officeDocument/2006/relationships/chart" Target="charts/chart10.xml"/><Relationship Id="rId10" Type="http://schemas.openxmlformats.org/officeDocument/2006/relationships/chart" Target="charts/chart5.xm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chart" Target="charts/chart9.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storeeasy\userdir$\I.buteniene\Desktop\SMC666\grafikai.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9.xlsx"/></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Microsoft_Excel_Worksheet10.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package" Target="../embeddings/Microsoft_Excel_Worksheet1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storeeasy\userdir$\I.buteniene\Desktop\SMC666\grafikai.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a:latin typeface="Times New Roman" panose="02020603050405020304" pitchFamily="18" charset="0"/>
                <a:cs typeface="Times New Roman" panose="02020603050405020304" pitchFamily="18" charset="0"/>
              </a:rPr>
              <a:t>Nuolatinių gyventojų</a:t>
            </a:r>
            <a:r>
              <a:rPr lang="lt-LT" sz="1200" baseline="0">
                <a:latin typeface="Times New Roman" panose="02020603050405020304" pitchFamily="18" charset="0"/>
                <a:cs typeface="Times New Roman" panose="02020603050405020304" pitchFamily="18" charset="0"/>
              </a:rPr>
              <a:t> skaičius liepos 1 d.</a:t>
            </a:r>
            <a:endParaRPr lang="lt-LT"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Lapas2!$A$10:$K$10</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Lapas2!$A$11:$K$11</c:f>
              <c:numCache>
                <c:formatCode>General</c:formatCode>
                <c:ptCount val="11"/>
                <c:pt idx="0">
                  <c:v>183828</c:v>
                </c:pt>
                <c:pt idx="1">
                  <c:v>183099</c:v>
                </c:pt>
                <c:pt idx="2">
                  <c:v>180673</c:v>
                </c:pt>
                <c:pt idx="3">
                  <c:v>161345</c:v>
                </c:pt>
                <c:pt idx="4">
                  <c:v>159437</c:v>
                </c:pt>
                <c:pt idx="5">
                  <c:v>157860</c:v>
                </c:pt>
                <c:pt idx="6">
                  <c:v>156890</c:v>
                </c:pt>
                <c:pt idx="7">
                  <c:v>155096</c:v>
                </c:pt>
                <c:pt idx="8">
                  <c:v>153030</c:v>
                </c:pt>
                <c:pt idx="9">
                  <c:v>149860</c:v>
                </c:pt>
                <c:pt idx="10">
                  <c:v>148090</c:v>
                </c:pt>
              </c:numCache>
            </c:numRef>
          </c:val>
          <c:extLst xmlns:c16r2="http://schemas.microsoft.com/office/drawing/2015/06/chart">
            <c:ext xmlns:c16="http://schemas.microsoft.com/office/drawing/2014/chart" uri="{C3380CC4-5D6E-409C-BE32-E72D297353CC}">
              <c16:uniqueId val="{00000000-94E1-44DA-B50E-1F83E2D38A16}"/>
            </c:ext>
          </c:extLst>
        </c:ser>
        <c:dLbls>
          <c:showLegendKey val="0"/>
          <c:showVal val="0"/>
          <c:showCatName val="0"/>
          <c:showSerName val="0"/>
          <c:showPercent val="0"/>
          <c:showBubbleSize val="0"/>
        </c:dLbls>
        <c:gapWidth val="219"/>
        <c:overlap val="-27"/>
        <c:axId val="378161448"/>
        <c:axId val="374979800"/>
        <c:extLst xmlns:c16r2="http://schemas.microsoft.com/office/drawing/2015/06/chart">
          <c:ext xmlns:c15="http://schemas.microsoft.com/office/drawing/2012/chart" uri="{02D57815-91ED-43cb-92C2-25804820EDAC}">
            <c15:filteredBarSeries>
              <c15:ser>
                <c:idx val="1"/>
                <c:order val="1"/>
                <c:spPr>
                  <a:solidFill>
                    <a:schemeClr val="accent2"/>
                  </a:solidFill>
                  <a:ln>
                    <a:noFill/>
                  </a:ln>
                  <a:effectLst/>
                </c:spPr>
                <c:invertIfNegative val="0"/>
                <c:cat>
                  <c:numRef>
                    <c:extLst xmlns:c16r2="http://schemas.microsoft.com/office/drawing/2015/06/chart">
                      <c:ext uri="{02D57815-91ED-43cb-92C2-25804820EDAC}">
                        <c15:formulaRef>
                          <c15:sqref>Lapas2!$A$10:$K$10</c15:sqref>
                        </c15:formulaRef>
                      </c:ext>
                    </c:extLst>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extLst xmlns:c16r2="http://schemas.microsoft.com/office/drawing/2015/06/chart">
                      <c:ext uri="{02D57815-91ED-43cb-92C2-25804820EDAC}">
                        <c15:formulaRef>
                          <c15:sqref>Lapas2!$A$12:$K$12</c15:sqref>
                        </c15:formulaRef>
                      </c:ext>
                    </c:extLst>
                    <c:numCache>
                      <c:formatCode>General</c:formatCode>
                      <c:ptCount val="11"/>
                    </c:numCache>
                  </c:numRef>
                </c:val>
                <c:extLst xmlns:c16r2="http://schemas.microsoft.com/office/drawing/2015/06/chart">
                  <c:ext xmlns:c16="http://schemas.microsoft.com/office/drawing/2014/chart" uri="{C3380CC4-5D6E-409C-BE32-E72D297353CC}">
                    <c16:uniqueId val="{00000001-94E1-44DA-B50E-1F83E2D38A16}"/>
                  </c:ext>
                </c:extLst>
              </c15:ser>
            </c15:filteredBarSeries>
          </c:ext>
        </c:extLst>
      </c:barChart>
      <c:catAx>
        <c:axId val="378161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74979800"/>
        <c:crosses val="autoZero"/>
        <c:auto val="1"/>
        <c:lblAlgn val="ctr"/>
        <c:lblOffset val="100"/>
        <c:noMultiLvlLbl val="0"/>
      </c:catAx>
      <c:valAx>
        <c:axId val="374979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161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Lapas2!$D$195</c:f>
              <c:strCache>
                <c:ptCount val="1"/>
                <c:pt idx="0">
                  <c:v>Vilniaus m. sav.</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3"/>
              <c:layout>
                <c:manualLayout>
                  <c:x val="-8.1487133775086304E-3"/>
                  <c:y val="-4.97512437810945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892-4EDC-B9F1-40BE8DCB5D2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Lapas2!$C$196:$C$203</c:f>
              <c:numCache>
                <c:formatCode>General</c:formatCode>
                <c:ptCount val="8"/>
                <c:pt idx="0">
                  <c:v>2017</c:v>
                </c:pt>
                <c:pt idx="1">
                  <c:v>2016</c:v>
                </c:pt>
                <c:pt idx="2">
                  <c:v>2015</c:v>
                </c:pt>
                <c:pt idx="3">
                  <c:v>2014</c:v>
                </c:pt>
                <c:pt idx="4">
                  <c:v>2013</c:v>
                </c:pt>
                <c:pt idx="5">
                  <c:v>2012</c:v>
                </c:pt>
                <c:pt idx="6">
                  <c:v>2011</c:v>
                </c:pt>
                <c:pt idx="7">
                  <c:v>2010</c:v>
                </c:pt>
              </c:numCache>
            </c:numRef>
          </c:xVal>
          <c:yVal>
            <c:numRef>
              <c:f>Lapas2!$D$196:$D$203</c:f>
              <c:numCache>
                <c:formatCode>General</c:formatCode>
                <c:ptCount val="8"/>
                <c:pt idx="0">
                  <c:v>263</c:v>
                </c:pt>
                <c:pt idx="1">
                  <c:v>261</c:v>
                </c:pt>
                <c:pt idx="2">
                  <c:v>268</c:v>
                </c:pt>
                <c:pt idx="3">
                  <c:v>288</c:v>
                </c:pt>
                <c:pt idx="4">
                  <c:v>250</c:v>
                </c:pt>
                <c:pt idx="5">
                  <c:v>213</c:v>
                </c:pt>
                <c:pt idx="6">
                  <c:v>212</c:v>
                </c:pt>
                <c:pt idx="7">
                  <c:v>201</c:v>
                </c:pt>
              </c:numCache>
            </c:numRef>
          </c:yVal>
          <c:smooth val="0"/>
          <c:extLst xmlns:c16r2="http://schemas.microsoft.com/office/drawing/2015/06/chart">
            <c:ext xmlns:c16="http://schemas.microsoft.com/office/drawing/2014/chart" uri="{C3380CC4-5D6E-409C-BE32-E72D297353CC}">
              <c16:uniqueId val="{00000001-5892-4EDC-B9F1-40BE8DCB5D23}"/>
            </c:ext>
          </c:extLst>
        </c:ser>
        <c:ser>
          <c:idx val="1"/>
          <c:order val="1"/>
          <c:tx>
            <c:strRef>
              <c:f>Lapas2!$E$195</c:f>
              <c:strCache>
                <c:ptCount val="1"/>
                <c:pt idx="0">
                  <c:v>Kauno m. sav.</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0"/>
                  <c:y val="-4.311774461028192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892-4EDC-B9F1-40BE8DCB5D2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Lapas2!$C$196:$C$203</c:f>
              <c:numCache>
                <c:formatCode>General</c:formatCode>
                <c:ptCount val="8"/>
                <c:pt idx="0">
                  <c:v>2017</c:v>
                </c:pt>
                <c:pt idx="1">
                  <c:v>2016</c:v>
                </c:pt>
                <c:pt idx="2">
                  <c:v>2015</c:v>
                </c:pt>
                <c:pt idx="3">
                  <c:v>2014</c:v>
                </c:pt>
                <c:pt idx="4">
                  <c:v>2013</c:v>
                </c:pt>
                <c:pt idx="5">
                  <c:v>2012</c:v>
                </c:pt>
                <c:pt idx="6">
                  <c:v>2011</c:v>
                </c:pt>
                <c:pt idx="7">
                  <c:v>2010</c:v>
                </c:pt>
              </c:numCache>
            </c:numRef>
          </c:xVal>
          <c:yVal>
            <c:numRef>
              <c:f>Lapas2!$E$196:$E$203</c:f>
              <c:numCache>
                <c:formatCode>General</c:formatCode>
                <c:ptCount val="8"/>
                <c:pt idx="0">
                  <c:v>199</c:v>
                </c:pt>
                <c:pt idx="1">
                  <c:v>199</c:v>
                </c:pt>
                <c:pt idx="2">
                  <c:v>196</c:v>
                </c:pt>
                <c:pt idx="3">
                  <c:v>188</c:v>
                </c:pt>
                <c:pt idx="4">
                  <c:v>184</c:v>
                </c:pt>
                <c:pt idx="5">
                  <c:v>177</c:v>
                </c:pt>
                <c:pt idx="6">
                  <c:v>165</c:v>
                </c:pt>
                <c:pt idx="7">
                  <c:v>158</c:v>
                </c:pt>
              </c:numCache>
            </c:numRef>
          </c:yVal>
          <c:smooth val="0"/>
          <c:extLst xmlns:c16r2="http://schemas.microsoft.com/office/drawing/2015/06/chart">
            <c:ext xmlns:c16="http://schemas.microsoft.com/office/drawing/2014/chart" uri="{C3380CC4-5D6E-409C-BE32-E72D297353CC}">
              <c16:uniqueId val="{00000003-5892-4EDC-B9F1-40BE8DCB5D23}"/>
            </c:ext>
          </c:extLst>
        </c:ser>
        <c:ser>
          <c:idx val="2"/>
          <c:order val="2"/>
          <c:tx>
            <c:strRef>
              <c:f>Lapas2!$F$195</c:f>
              <c:strCache>
                <c:ptCount val="1"/>
                <c:pt idx="0">
                  <c:v>Klaipėdos m. sav.</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Lapas2!$C$196:$C$203</c:f>
              <c:numCache>
                <c:formatCode>General</c:formatCode>
                <c:ptCount val="8"/>
                <c:pt idx="0">
                  <c:v>2017</c:v>
                </c:pt>
                <c:pt idx="1">
                  <c:v>2016</c:v>
                </c:pt>
                <c:pt idx="2">
                  <c:v>2015</c:v>
                </c:pt>
                <c:pt idx="3">
                  <c:v>2014</c:v>
                </c:pt>
                <c:pt idx="4">
                  <c:v>2013</c:v>
                </c:pt>
                <c:pt idx="5">
                  <c:v>2012</c:v>
                </c:pt>
                <c:pt idx="6">
                  <c:v>2011</c:v>
                </c:pt>
                <c:pt idx="7">
                  <c:v>2010</c:v>
                </c:pt>
              </c:numCache>
            </c:numRef>
          </c:xVal>
          <c:yVal>
            <c:numRef>
              <c:f>Lapas2!$F$196:$F$203</c:f>
              <c:numCache>
                <c:formatCode>General</c:formatCode>
                <c:ptCount val="8"/>
                <c:pt idx="0">
                  <c:v>195</c:v>
                </c:pt>
                <c:pt idx="1">
                  <c:v>187</c:v>
                </c:pt>
                <c:pt idx="2">
                  <c:v>234</c:v>
                </c:pt>
                <c:pt idx="3">
                  <c:v>288</c:v>
                </c:pt>
                <c:pt idx="4">
                  <c:v>272</c:v>
                </c:pt>
                <c:pt idx="5">
                  <c:v>253</c:v>
                </c:pt>
                <c:pt idx="6">
                  <c:v>245</c:v>
                </c:pt>
                <c:pt idx="7">
                  <c:v>231</c:v>
                </c:pt>
              </c:numCache>
            </c:numRef>
          </c:yVal>
          <c:smooth val="0"/>
          <c:extLst xmlns:c16r2="http://schemas.microsoft.com/office/drawing/2015/06/chart">
            <c:ext xmlns:c16="http://schemas.microsoft.com/office/drawing/2014/chart" uri="{C3380CC4-5D6E-409C-BE32-E72D297353CC}">
              <c16:uniqueId val="{00000004-5892-4EDC-B9F1-40BE8DCB5D23}"/>
            </c:ext>
          </c:extLst>
        </c:ser>
        <c:ser>
          <c:idx val="3"/>
          <c:order val="3"/>
          <c:tx>
            <c:strRef>
              <c:f>Lapas2!$G$195</c:f>
              <c:strCache>
                <c:ptCount val="1"/>
                <c:pt idx="0">
                  <c:v>Šiaulių m. sav.</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dLbls>
            <c:dLbl>
              <c:idx val="6"/>
              <c:layout>
                <c:manualLayout>
                  <c:x val="0"/>
                  <c:y val="-4.643449419568828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5892-4EDC-B9F1-40BE8DCB5D23}"/>
                </c:ext>
                <c:ext xmlns:c15="http://schemas.microsoft.com/office/drawing/2012/chart" uri="{CE6537A1-D6FC-4f65-9D91-7224C49458BB}"/>
              </c:extLst>
            </c:dLbl>
            <c:dLbl>
              <c:idx val="7"/>
              <c:layout>
                <c:manualLayout>
                  <c:x val="-8.1487935813803827E-3"/>
                  <c:y val="-2.1558741724448622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5892-4EDC-B9F1-40BE8DCB5D23}"/>
                </c:ext>
                <c:ext xmlns:c15="http://schemas.microsoft.com/office/drawing/2012/chart" uri="{CE6537A1-D6FC-4f65-9D91-7224C49458BB}">
                  <c15:layout>
                    <c:manualLayout>
                      <c:w val="4.0091669817342093E-2"/>
                      <c:h val="7.6235619801256177E-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Lapas2!$C$196:$C$203</c:f>
              <c:numCache>
                <c:formatCode>General</c:formatCode>
                <c:ptCount val="8"/>
                <c:pt idx="0">
                  <c:v>2017</c:v>
                </c:pt>
                <c:pt idx="1">
                  <c:v>2016</c:v>
                </c:pt>
                <c:pt idx="2">
                  <c:v>2015</c:v>
                </c:pt>
                <c:pt idx="3">
                  <c:v>2014</c:v>
                </c:pt>
                <c:pt idx="4">
                  <c:v>2013</c:v>
                </c:pt>
                <c:pt idx="5">
                  <c:v>2012</c:v>
                </c:pt>
                <c:pt idx="6">
                  <c:v>2011</c:v>
                </c:pt>
                <c:pt idx="7">
                  <c:v>2010</c:v>
                </c:pt>
              </c:numCache>
            </c:numRef>
          </c:xVal>
          <c:yVal>
            <c:numRef>
              <c:f>Lapas2!$G$196:$G$203</c:f>
              <c:numCache>
                <c:formatCode>General</c:formatCode>
                <c:ptCount val="8"/>
                <c:pt idx="0">
                  <c:v>135</c:v>
                </c:pt>
                <c:pt idx="1">
                  <c:v>136</c:v>
                </c:pt>
                <c:pt idx="2">
                  <c:v>139</c:v>
                </c:pt>
                <c:pt idx="3">
                  <c:v>154</c:v>
                </c:pt>
                <c:pt idx="4">
                  <c:v>147</c:v>
                </c:pt>
                <c:pt idx="5">
                  <c:v>151</c:v>
                </c:pt>
                <c:pt idx="6">
                  <c:v>167</c:v>
                </c:pt>
                <c:pt idx="7">
                  <c:v>168</c:v>
                </c:pt>
              </c:numCache>
            </c:numRef>
          </c:yVal>
          <c:smooth val="0"/>
          <c:extLst xmlns:c16r2="http://schemas.microsoft.com/office/drawing/2015/06/chart">
            <c:ext xmlns:c16="http://schemas.microsoft.com/office/drawing/2014/chart" uri="{C3380CC4-5D6E-409C-BE32-E72D297353CC}">
              <c16:uniqueId val="{00000007-5892-4EDC-B9F1-40BE8DCB5D23}"/>
            </c:ext>
          </c:extLst>
        </c:ser>
        <c:dLbls>
          <c:showLegendKey val="0"/>
          <c:showVal val="0"/>
          <c:showCatName val="0"/>
          <c:showSerName val="0"/>
          <c:showPercent val="0"/>
          <c:showBubbleSize val="0"/>
        </c:dLbls>
        <c:axId val="437374896"/>
        <c:axId val="437368232"/>
      </c:scatterChart>
      <c:valAx>
        <c:axId val="4373748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7368232"/>
        <c:crosses val="autoZero"/>
        <c:crossBetween val="midCat"/>
      </c:valAx>
      <c:valAx>
        <c:axId val="437368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737489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a:latin typeface="Times New Roman" panose="02020603050405020304" pitchFamily="18" charset="0"/>
                <a:cs typeface="Times New Roman" panose="02020603050405020304" pitchFamily="18" charset="0"/>
              </a:rPr>
              <a:t>Modalinis kelionių</a:t>
            </a:r>
            <a:r>
              <a:rPr lang="lt-LT" sz="1200" baseline="0">
                <a:latin typeface="Times New Roman" panose="02020603050405020304" pitchFamily="18" charset="0"/>
                <a:cs typeface="Times New Roman" panose="02020603050405020304" pitchFamily="18" charset="0"/>
              </a:rPr>
              <a:t> pasiskirstymas </a:t>
            </a:r>
            <a:endParaRPr lang="lt-LT"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4913-47C8-B583-EB0EE6038A94}"/>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4913-47C8-B583-EB0EE6038A94}"/>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4913-47C8-B583-EB0EE6038A94}"/>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4913-47C8-B583-EB0EE6038A9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Lapas2!$C$211:$C$214</c:f>
              <c:strCache>
                <c:ptCount val="4"/>
                <c:pt idx="0">
                  <c:v>Individualiu automobiliu</c:v>
                </c:pt>
                <c:pt idx="1">
                  <c:v>Viešuoju transportu</c:v>
                </c:pt>
                <c:pt idx="2">
                  <c:v>Pėsčiomis</c:v>
                </c:pt>
                <c:pt idx="3">
                  <c:v>Dviračiu</c:v>
                </c:pt>
              </c:strCache>
            </c:strRef>
          </c:cat>
          <c:val>
            <c:numRef>
              <c:f>Lapas2!$D$211:$D$214</c:f>
              <c:numCache>
                <c:formatCode>General</c:formatCode>
                <c:ptCount val="4"/>
                <c:pt idx="0">
                  <c:v>34</c:v>
                </c:pt>
                <c:pt idx="1">
                  <c:v>30</c:v>
                </c:pt>
                <c:pt idx="2">
                  <c:v>33</c:v>
                </c:pt>
                <c:pt idx="3">
                  <c:v>3</c:v>
                </c:pt>
              </c:numCache>
            </c:numRef>
          </c:val>
          <c:extLst xmlns:c16r2="http://schemas.microsoft.com/office/drawing/2015/06/chart">
            <c:ext xmlns:c16="http://schemas.microsoft.com/office/drawing/2014/chart" uri="{C3380CC4-5D6E-409C-BE32-E72D297353CC}">
              <c16:uniqueId val="{00000008-4913-47C8-B583-EB0EE6038A9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latin typeface="Times New Roman" panose="02020603050405020304" pitchFamily="18" charset="0"/>
                <a:cs typeface="Times New Roman" panose="02020603050405020304" pitchFamily="18" charset="0"/>
              </a:rPr>
              <a:t>Kel</a:t>
            </a:r>
            <a:r>
              <a:rPr lang="lt-LT" sz="1100">
                <a:latin typeface="Times New Roman" panose="02020603050405020304" pitchFamily="18" charset="0"/>
                <a:cs typeface="Times New Roman" panose="02020603050405020304" pitchFamily="18" charset="0"/>
              </a:rPr>
              <a:t>ių eismo įvykių, sužeistųjų</a:t>
            </a:r>
            <a:r>
              <a:rPr lang="lt-LT" sz="1100" baseline="0">
                <a:latin typeface="Times New Roman" panose="02020603050405020304" pitchFamily="18" charset="0"/>
                <a:cs typeface="Times New Roman" panose="02020603050405020304" pitchFamily="18" charset="0"/>
              </a:rPr>
              <a:t> ir žuvusiųjų skaičius</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Lapas2!$E$224</c:f>
              <c:strCache>
                <c:ptCount val="1"/>
                <c:pt idx="0">
                  <c:v>Sužeistieji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Lapas2!$D$225:$D$230</c:f>
              <c:numCache>
                <c:formatCode>General</c:formatCode>
                <c:ptCount val="6"/>
                <c:pt idx="0">
                  <c:v>2017</c:v>
                </c:pt>
                <c:pt idx="1">
                  <c:v>2016</c:v>
                </c:pt>
                <c:pt idx="2">
                  <c:v>2015</c:v>
                </c:pt>
                <c:pt idx="3">
                  <c:v>2014</c:v>
                </c:pt>
                <c:pt idx="4">
                  <c:v>2013</c:v>
                </c:pt>
                <c:pt idx="5">
                  <c:v>2011</c:v>
                </c:pt>
              </c:numCache>
            </c:numRef>
          </c:cat>
          <c:val>
            <c:numRef>
              <c:f>Lapas2!$E$225:$E$230</c:f>
              <c:numCache>
                <c:formatCode>General</c:formatCode>
                <c:ptCount val="6"/>
                <c:pt idx="0">
                  <c:v>262</c:v>
                </c:pt>
                <c:pt idx="1">
                  <c:v>261</c:v>
                </c:pt>
                <c:pt idx="2">
                  <c:v>227</c:v>
                </c:pt>
                <c:pt idx="3">
                  <c:v>267</c:v>
                </c:pt>
                <c:pt idx="4">
                  <c:v>281</c:v>
                </c:pt>
                <c:pt idx="5">
                  <c:v>296</c:v>
                </c:pt>
              </c:numCache>
            </c:numRef>
          </c:val>
          <c:extLst xmlns:c16r2="http://schemas.microsoft.com/office/drawing/2015/06/chart">
            <c:ext xmlns:c16="http://schemas.microsoft.com/office/drawing/2014/chart" uri="{C3380CC4-5D6E-409C-BE32-E72D297353CC}">
              <c16:uniqueId val="{00000000-8A4B-4859-9ECC-A59CC2A39C61}"/>
            </c:ext>
          </c:extLst>
        </c:ser>
        <c:ser>
          <c:idx val="1"/>
          <c:order val="1"/>
          <c:tx>
            <c:strRef>
              <c:f>Lapas2!$F$224</c:f>
              <c:strCache>
                <c:ptCount val="1"/>
                <c:pt idx="0">
                  <c:v>Žuvusieji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Lapas2!$D$225:$D$230</c:f>
              <c:numCache>
                <c:formatCode>General</c:formatCode>
                <c:ptCount val="6"/>
                <c:pt idx="0">
                  <c:v>2017</c:v>
                </c:pt>
                <c:pt idx="1">
                  <c:v>2016</c:v>
                </c:pt>
                <c:pt idx="2">
                  <c:v>2015</c:v>
                </c:pt>
                <c:pt idx="3">
                  <c:v>2014</c:v>
                </c:pt>
                <c:pt idx="4">
                  <c:v>2013</c:v>
                </c:pt>
                <c:pt idx="5">
                  <c:v>2011</c:v>
                </c:pt>
              </c:numCache>
            </c:numRef>
          </c:cat>
          <c:val>
            <c:numRef>
              <c:f>Lapas2!$F$225:$F$230</c:f>
              <c:numCache>
                <c:formatCode>General</c:formatCode>
                <c:ptCount val="6"/>
                <c:pt idx="0">
                  <c:v>2</c:v>
                </c:pt>
                <c:pt idx="1">
                  <c:v>3</c:v>
                </c:pt>
                <c:pt idx="2">
                  <c:v>2</c:v>
                </c:pt>
                <c:pt idx="3">
                  <c:v>10</c:v>
                </c:pt>
                <c:pt idx="4">
                  <c:v>7</c:v>
                </c:pt>
                <c:pt idx="5">
                  <c:v>9</c:v>
                </c:pt>
              </c:numCache>
            </c:numRef>
          </c:val>
          <c:extLst xmlns:c16r2="http://schemas.microsoft.com/office/drawing/2015/06/chart">
            <c:ext xmlns:c16="http://schemas.microsoft.com/office/drawing/2014/chart" uri="{C3380CC4-5D6E-409C-BE32-E72D297353CC}">
              <c16:uniqueId val="{00000001-8A4B-4859-9ECC-A59CC2A39C61}"/>
            </c:ext>
          </c:extLst>
        </c:ser>
        <c:ser>
          <c:idx val="2"/>
          <c:order val="2"/>
          <c:tx>
            <c:strRef>
              <c:f>Lapas2!$G$224</c:f>
              <c:strCache>
                <c:ptCount val="1"/>
                <c:pt idx="0">
                  <c:v>Kelių eismo įvykių skaičius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Lapas2!$D$225:$D$230</c:f>
              <c:numCache>
                <c:formatCode>General</c:formatCode>
                <c:ptCount val="6"/>
                <c:pt idx="0">
                  <c:v>2017</c:v>
                </c:pt>
                <c:pt idx="1">
                  <c:v>2016</c:v>
                </c:pt>
                <c:pt idx="2">
                  <c:v>2015</c:v>
                </c:pt>
                <c:pt idx="3">
                  <c:v>2014</c:v>
                </c:pt>
                <c:pt idx="4">
                  <c:v>2013</c:v>
                </c:pt>
                <c:pt idx="5">
                  <c:v>2011</c:v>
                </c:pt>
              </c:numCache>
            </c:numRef>
          </c:cat>
          <c:val>
            <c:numRef>
              <c:f>Lapas2!$G$225:$G$230</c:f>
              <c:numCache>
                <c:formatCode>General</c:formatCode>
                <c:ptCount val="6"/>
                <c:pt idx="0">
                  <c:v>231</c:v>
                </c:pt>
                <c:pt idx="1">
                  <c:v>232</c:v>
                </c:pt>
                <c:pt idx="2">
                  <c:v>235</c:v>
                </c:pt>
                <c:pt idx="3">
                  <c:v>243</c:v>
                </c:pt>
                <c:pt idx="4">
                  <c:v>229</c:v>
                </c:pt>
                <c:pt idx="5">
                  <c:v>263</c:v>
                </c:pt>
              </c:numCache>
            </c:numRef>
          </c:val>
          <c:extLst xmlns:c16r2="http://schemas.microsoft.com/office/drawing/2015/06/chart">
            <c:ext xmlns:c16="http://schemas.microsoft.com/office/drawing/2014/chart" uri="{C3380CC4-5D6E-409C-BE32-E72D297353CC}">
              <c16:uniqueId val="{00000002-8A4B-4859-9ECC-A59CC2A39C61}"/>
            </c:ext>
          </c:extLst>
        </c:ser>
        <c:dLbls>
          <c:showLegendKey val="0"/>
          <c:showVal val="0"/>
          <c:showCatName val="0"/>
          <c:showSerName val="0"/>
          <c:showPercent val="0"/>
          <c:showBubbleSize val="0"/>
        </c:dLbls>
        <c:gapWidth val="182"/>
        <c:axId val="437370584"/>
        <c:axId val="437372152"/>
      </c:barChart>
      <c:catAx>
        <c:axId val="4373705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7372152"/>
        <c:crosses val="autoZero"/>
        <c:auto val="1"/>
        <c:lblAlgn val="ctr"/>
        <c:lblOffset val="100"/>
        <c:noMultiLvlLbl val="0"/>
      </c:catAx>
      <c:valAx>
        <c:axId val="4373721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7370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a:latin typeface="Times New Roman" panose="02020603050405020304" pitchFamily="18" charset="0"/>
                <a:cs typeface="Times New Roman" panose="02020603050405020304" pitchFamily="18" charset="0"/>
              </a:rPr>
              <a:t>Nakvynių skaičius</a:t>
            </a:r>
            <a:r>
              <a:rPr lang="lt-LT" sz="1200" baseline="0">
                <a:latin typeface="Times New Roman" panose="02020603050405020304" pitchFamily="18" charset="0"/>
                <a:cs typeface="Times New Roman" panose="02020603050405020304" pitchFamily="18" charset="0"/>
              </a:rPr>
              <a:t> apgyvendinimo įstaigose</a:t>
            </a:r>
            <a:endParaRPr lang="lt-LT"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878461732022032"/>
          <c:y val="0.13549809581078373"/>
          <c:w val="0.73624547190991041"/>
          <c:h val="0.77150423845846694"/>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Lapas2!$D$155:$O$156</c:f>
              <c:multiLvlStrCache>
                <c:ptCount val="12"/>
                <c:lvl>
                  <c:pt idx="0">
                    <c:v>2017</c:v>
                  </c:pt>
                  <c:pt idx="1">
                    <c:v>2016</c:v>
                  </c:pt>
                  <c:pt idx="2">
                    <c:v>2015</c:v>
                  </c:pt>
                  <c:pt idx="3">
                    <c:v>2014</c:v>
                  </c:pt>
                  <c:pt idx="4">
                    <c:v>2013</c:v>
                  </c:pt>
                  <c:pt idx="5">
                    <c:v>2012</c:v>
                  </c:pt>
                  <c:pt idx="6">
                    <c:v>2017</c:v>
                  </c:pt>
                  <c:pt idx="7">
                    <c:v>2016</c:v>
                  </c:pt>
                  <c:pt idx="8">
                    <c:v>2015</c:v>
                  </c:pt>
                  <c:pt idx="9">
                    <c:v>2014</c:v>
                  </c:pt>
                  <c:pt idx="10">
                    <c:v>2013</c:v>
                  </c:pt>
                  <c:pt idx="11">
                    <c:v>2012</c:v>
                  </c:pt>
                </c:lvl>
                <c:lvl>
                  <c:pt idx="0">
                    <c:v>Visos nakvynės</c:v>
                  </c:pt>
                  <c:pt idx="6">
                    <c:v>Užsieniečių nakvynės</c:v>
                  </c:pt>
                </c:lvl>
              </c:multiLvlStrCache>
            </c:multiLvlStrRef>
          </c:cat>
          <c:val>
            <c:numRef>
              <c:f>Lapas2!$D$157:$O$157</c:f>
              <c:numCache>
                <c:formatCode>General</c:formatCode>
                <c:ptCount val="12"/>
                <c:pt idx="0">
                  <c:v>405121</c:v>
                </c:pt>
                <c:pt idx="1">
                  <c:v>365517</c:v>
                </c:pt>
                <c:pt idx="2">
                  <c:v>366383</c:v>
                </c:pt>
                <c:pt idx="3">
                  <c:v>375188</c:v>
                </c:pt>
                <c:pt idx="4">
                  <c:v>327578</c:v>
                </c:pt>
                <c:pt idx="5">
                  <c:v>283059</c:v>
                </c:pt>
                <c:pt idx="6">
                  <c:v>214008</c:v>
                </c:pt>
                <c:pt idx="7">
                  <c:v>196982</c:v>
                </c:pt>
                <c:pt idx="8">
                  <c:v>209822</c:v>
                </c:pt>
                <c:pt idx="9">
                  <c:v>206861</c:v>
                </c:pt>
                <c:pt idx="10">
                  <c:v>198133</c:v>
                </c:pt>
                <c:pt idx="11">
                  <c:v>169169</c:v>
                </c:pt>
              </c:numCache>
            </c:numRef>
          </c:val>
          <c:extLst xmlns:c16r2="http://schemas.microsoft.com/office/drawing/2015/06/chart">
            <c:ext xmlns:c16="http://schemas.microsoft.com/office/drawing/2014/chart" uri="{C3380CC4-5D6E-409C-BE32-E72D297353CC}">
              <c16:uniqueId val="{00000000-8B1F-4EB0-9109-2E6164BC87AB}"/>
            </c:ext>
          </c:extLst>
        </c:ser>
        <c:dLbls>
          <c:showLegendKey val="0"/>
          <c:showVal val="0"/>
          <c:showCatName val="0"/>
          <c:showSerName val="0"/>
          <c:showPercent val="0"/>
          <c:showBubbleSize val="0"/>
        </c:dLbls>
        <c:gapWidth val="182"/>
        <c:axId val="437373720"/>
        <c:axId val="437374112"/>
      </c:barChart>
      <c:catAx>
        <c:axId val="4373737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7374112"/>
        <c:crosses val="autoZero"/>
        <c:auto val="1"/>
        <c:lblAlgn val="ctr"/>
        <c:lblOffset val="100"/>
        <c:noMultiLvlLbl val="0"/>
      </c:catAx>
      <c:valAx>
        <c:axId val="4373741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7373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Me</a:t>
            </a:r>
            <a:r>
              <a:rPr lang="lt-LT" sz="1200">
                <a:latin typeface="Times New Roman" panose="02020603050405020304" pitchFamily="18" charset="0"/>
                <a:cs typeface="Times New Roman" panose="02020603050405020304" pitchFamily="18" charset="0"/>
              </a:rPr>
              <a:t>dianinis</a:t>
            </a:r>
            <a:r>
              <a:rPr lang="lt-LT" sz="1200" baseline="0">
                <a:latin typeface="Times New Roman" panose="02020603050405020304" pitchFamily="18" charset="0"/>
                <a:cs typeface="Times New Roman" panose="02020603050405020304" pitchFamily="18" charset="0"/>
              </a:rPr>
              <a:t> gyventojų amžius metų pradžioje</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Lapas2!$D$50:$D$67</c:f>
              <c:numCache>
                <c:formatCode>General</c:formatCode>
                <c:ptCount val="18"/>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numCache>
            </c:numRef>
          </c:cat>
          <c:val>
            <c:numRef>
              <c:f>Lapas2!$E$50:$E$67</c:f>
              <c:numCache>
                <c:formatCode>General</c:formatCode>
                <c:ptCount val="18"/>
                <c:pt idx="0">
                  <c:v>36</c:v>
                </c:pt>
                <c:pt idx="1">
                  <c:v>36</c:v>
                </c:pt>
                <c:pt idx="2">
                  <c:v>37</c:v>
                </c:pt>
                <c:pt idx="3">
                  <c:v>37</c:v>
                </c:pt>
                <c:pt idx="4">
                  <c:v>38</c:v>
                </c:pt>
                <c:pt idx="5">
                  <c:v>38.5</c:v>
                </c:pt>
                <c:pt idx="6">
                  <c:v>39</c:v>
                </c:pt>
                <c:pt idx="7">
                  <c:v>39</c:v>
                </c:pt>
                <c:pt idx="8">
                  <c:v>40</c:v>
                </c:pt>
                <c:pt idx="9">
                  <c:v>40</c:v>
                </c:pt>
                <c:pt idx="10">
                  <c:v>41</c:v>
                </c:pt>
                <c:pt idx="11">
                  <c:v>41</c:v>
                </c:pt>
                <c:pt idx="12">
                  <c:v>41</c:v>
                </c:pt>
                <c:pt idx="13">
                  <c:v>41</c:v>
                </c:pt>
                <c:pt idx="14">
                  <c:v>41</c:v>
                </c:pt>
                <c:pt idx="15">
                  <c:v>42</c:v>
                </c:pt>
                <c:pt idx="16">
                  <c:v>42</c:v>
                </c:pt>
                <c:pt idx="17">
                  <c:v>42</c:v>
                </c:pt>
              </c:numCache>
            </c:numRef>
          </c:val>
          <c:extLst xmlns:c16r2="http://schemas.microsoft.com/office/drawing/2015/06/chart">
            <c:ext xmlns:c16="http://schemas.microsoft.com/office/drawing/2014/chart" uri="{C3380CC4-5D6E-409C-BE32-E72D297353CC}">
              <c16:uniqueId val="{00000000-F39B-41B7-A1E2-FAD2ABE191F5}"/>
            </c:ext>
          </c:extLst>
        </c:ser>
        <c:dLbls>
          <c:showLegendKey val="0"/>
          <c:showVal val="0"/>
          <c:showCatName val="0"/>
          <c:showSerName val="0"/>
          <c:showPercent val="0"/>
          <c:showBubbleSize val="0"/>
        </c:dLbls>
        <c:gapWidth val="219"/>
        <c:overlap val="-27"/>
        <c:axId val="374977056"/>
        <c:axId val="374973528"/>
      </c:barChart>
      <c:catAx>
        <c:axId val="374977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4973528"/>
        <c:crosses val="autoZero"/>
        <c:auto val="1"/>
        <c:lblAlgn val="ctr"/>
        <c:lblOffset val="100"/>
        <c:noMultiLvlLbl val="0"/>
      </c:catAx>
      <c:valAx>
        <c:axId val="374973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4977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lt-LT"/>
              <a:t>Demografinis senatvės koeficientas metų pradžioje</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scatterChart>
        <c:scatterStyle val="lineMarker"/>
        <c:varyColors val="0"/>
        <c:ser>
          <c:idx val="0"/>
          <c:order val="0"/>
          <c:spPr>
            <a:ln w="9525" cap="rnd">
              <a:solidFill>
                <a:schemeClr val="accent1"/>
              </a:solidFill>
              <a:round/>
            </a:ln>
            <a:effectLst>
              <a:outerShdw blurRad="40000" dist="23000" dir="5400000" rotWithShape="0">
                <a:srgbClr val="000000">
                  <a:alpha val="35000"/>
                </a:srgbClr>
              </a:outerShdw>
            </a:effectLst>
          </c:spPr>
          <c:marker>
            <c:symbol val="circle"/>
            <c:size val="5"/>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a:solidFill>
                  <a:schemeClr val="accent1"/>
                </a:solidFill>
                <a:round/>
              </a:ln>
              <a:effectLst>
                <a:outerShdw blurRad="40000" dist="23000" dir="5400000" rotWithShape="0">
                  <a:srgbClr val="000000">
                    <a:alpha val="35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xVal>
            <c:numRef>
              <c:f>Lapas2!$B$22:$B$39</c:f>
              <c:numCache>
                <c:formatCode>General</c:formatCode>
                <c:ptCount val="18"/>
                <c:pt idx="0">
                  <c:v>2018</c:v>
                </c:pt>
                <c:pt idx="1">
                  <c:v>2017</c:v>
                </c:pt>
                <c:pt idx="2">
                  <c:v>2016</c:v>
                </c:pt>
                <c:pt idx="3">
                  <c:v>2015</c:v>
                </c:pt>
                <c:pt idx="4">
                  <c:v>2014</c:v>
                </c:pt>
                <c:pt idx="5">
                  <c:v>2013</c:v>
                </c:pt>
                <c:pt idx="6">
                  <c:v>2012</c:v>
                </c:pt>
                <c:pt idx="7">
                  <c:v>2011</c:v>
                </c:pt>
                <c:pt idx="8">
                  <c:v>2010</c:v>
                </c:pt>
                <c:pt idx="9">
                  <c:v>2009</c:v>
                </c:pt>
                <c:pt idx="10">
                  <c:v>2008</c:v>
                </c:pt>
                <c:pt idx="11">
                  <c:v>2007</c:v>
                </c:pt>
                <c:pt idx="12">
                  <c:v>2006</c:v>
                </c:pt>
                <c:pt idx="13">
                  <c:v>2005</c:v>
                </c:pt>
                <c:pt idx="14">
                  <c:v>2004</c:v>
                </c:pt>
                <c:pt idx="15">
                  <c:v>2003</c:v>
                </c:pt>
                <c:pt idx="16">
                  <c:v>2002</c:v>
                </c:pt>
                <c:pt idx="17">
                  <c:v>2001</c:v>
                </c:pt>
              </c:numCache>
            </c:numRef>
          </c:xVal>
          <c:yVal>
            <c:numRef>
              <c:f>Lapas2!$C$22:$C$39</c:f>
              <c:numCache>
                <c:formatCode>General</c:formatCode>
                <c:ptCount val="18"/>
                <c:pt idx="0">
                  <c:v>119</c:v>
                </c:pt>
                <c:pt idx="1">
                  <c:v>119</c:v>
                </c:pt>
                <c:pt idx="2">
                  <c:v>119</c:v>
                </c:pt>
                <c:pt idx="3">
                  <c:v>120</c:v>
                </c:pt>
                <c:pt idx="4">
                  <c:v>120</c:v>
                </c:pt>
                <c:pt idx="5">
                  <c:v>119</c:v>
                </c:pt>
                <c:pt idx="6">
                  <c:v>120</c:v>
                </c:pt>
                <c:pt idx="7">
                  <c:v>120</c:v>
                </c:pt>
                <c:pt idx="8">
                  <c:v>116</c:v>
                </c:pt>
                <c:pt idx="9">
                  <c:v>117</c:v>
                </c:pt>
                <c:pt idx="10">
                  <c:v>115</c:v>
                </c:pt>
                <c:pt idx="11">
                  <c:v>109</c:v>
                </c:pt>
                <c:pt idx="12">
                  <c:v>103</c:v>
                </c:pt>
                <c:pt idx="13">
                  <c:v>95</c:v>
                </c:pt>
                <c:pt idx="14">
                  <c:v>88</c:v>
                </c:pt>
                <c:pt idx="15">
                  <c:v>80</c:v>
                </c:pt>
                <c:pt idx="16">
                  <c:v>72</c:v>
                </c:pt>
                <c:pt idx="17">
                  <c:v>65</c:v>
                </c:pt>
              </c:numCache>
            </c:numRef>
          </c:yVal>
          <c:smooth val="0"/>
          <c:extLst xmlns:c16r2="http://schemas.microsoft.com/office/drawing/2015/06/chart">
            <c:ext xmlns:c16="http://schemas.microsoft.com/office/drawing/2014/chart" uri="{C3380CC4-5D6E-409C-BE32-E72D297353CC}">
              <c16:uniqueId val="{00000000-A007-4FFD-A8C5-2CC2C9DEE7A7}"/>
            </c:ext>
          </c:extLst>
        </c:ser>
        <c:dLbls>
          <c:showLegendKey val="0"/>
          <c:showVal val="0"/>
          <c:showCatName val="0"/>
          <c:showSerName val="0"/>
          <c:showPercent val="0"/>
          <c:showBubbleSize val="0"/>
        </c:dLbls>
        <c:axId val="374977840"/>
        <c:axId val="380254472"/>
      </c:scatterChart>
      <c:valAx>
        <c:axId val="374977840"/>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80254472"/>
        <c:crosses val="autoZero"/>
        <c:crossBetween val="midCat"/>
      </c:valAx>
      <c:valAx>
        <c:axId val="38025447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7497784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200">
                <a:latin typeface="Times New Roman" panose="02020603050405020304" pitchFamily="18" charset="0"/>
                <a:cs typeface="Times New Roman" panose="02020603050405020304" pitchFamily="18" charset="0"/>
              </a:rPr>
              <a:t>Registruotų bedarbių ir darbingo amžiaus žmonių santykis,</a:t>
            </a:r>
            <a:r>
              <a:rPr lang="lt-LT" sz="1200" baseline="0">
                <a:latin typeface="Times New Roman" panose="02020603050405020304" pitchFamily="18" charset="0"/>
                <a:cs typeface="Times New Roman" panose="02020603050405020304" pitchFamily="18" charset="0"/>
              </a:rPr>
              <a:t> proc</a:t>
            </a:r>
            <a:r>
              <a:rPr lang="lt-LT" baseline="0">
                <a:latin typeface="Times New Roman" panose="02020603050405020304" pitchFamily="18" charset="0"/>
                <a:cs typeface="Times New Roman" panose="02020603050405020304" pitchFamily="18" charset="0"/>
              </a:rPr>
              <a:t>.</a:t>
            </a:r>
            <a:endParaRPr lang="lt-L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Lapas2!$J$102</c:f>
              <c:strCache>
                <c:ptCount val="1"/>
                <c:pt idx="0">
                  <c:v>Lietuvos Respublika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Lapas2!$I$103:$I$115</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Lapas2!$J$103:$J$115</c:f>
              <c:numCache>
                <c:formatCode>General</c:formatCode>
                <c:ptCount val="13"/>
                <c:pt idx="0">
                  <c:v>4.9000000000000004</c:v>
                </c:pt>
                <c:pt idx="1">
                  <c:v>3.6</c:v>
                </c:pt>
                <c:pt idx="2">
                  <c:v>3.4</c:v>
                </c:pt>
                <c:pt idx="3">
                  <c:v>3.7</c:v>
                </c:pt>
                <c:pt idx="4">
                  <c:v>10.199999999999999</c:v>
                </c:pt>
                <c:pt idx="5">
                  <c:v>15.9</c:v>
                </c:pt>
                <c:pt idx="6">
                  <c:v>13.1</c:v>
                </c:pt>
                <c:pt idx="7">
                  <c:v>11.7</c:v>
                </c:pt>
                <c:pt idx="8">
                  <c:v>10.9</c:v>
                </c:pt>
                <c:pt idx="9">
                  <c:v>9.5</c:v>
                </c:pt>
                <c:pt idx="10">
                  <c:v>8.6999999999999993</c:v>
                </c:pt>
                <c:pt idx="11">
                  <c:v>8.1</c:v>
                </c:pt>
                <c:pt idx="12">
                  <c:v>7.9</c:v>
                </c:pt>
              </c:numCache>
            </c:numRef>
          </c:val>
          <c:extLst xmlns:c16r2="http://schemas.microsoft.com/office/drawing/2015/06/chart">
            <c:ext xmlns:c16="http://schemas.microsoft.com/office/drawing/2014/chart" uri="{C3380CC4-5D6E-409C-BE32-E72D297353CC}">
              <c16:uniqueId val="{00000000-2663-4763-819B-C311B74224B9}"/>
            </c:ext>
          </c:extLst>
        </c:ser>
        <c:ser>
          <c:idx val="1"/>
          <c:order val="1"/>
          <c:tx>
            <c:strRef>
              <c:f>Lapas2!$K$102</c:f>
              <c:strCache>
                <c:ptCount val="1"/>
                <c:pt idx="0">
                  <c:v>Klaipėdos m. sav.</c:v>
                </c:pt>
              </c:strCache>
            </c:strRef>
          </c:tx>
          <c:spPr>
            <a:solidFill>
              <a:schemeClr val="accent2"/>
            </a:solidFill>
            <a:ln>
              <a:noFill/>
            </a:ln>
            <a:effectLst/>
          </c:spPr>
          <c:invertIfNegative val="0"/>
          <c:dLbls>
            <c:dLbl>
              <c:idx val="3"/>
              <c:layout>
                <c:manualLayout>
                  <c:x val="5.8094500387296313E-3"/>
                  <c:y val="-1.257466205595724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663-4763-819B-C311B74224B9}"/>
                </c:ext>
                <c:ext xmlns:c15="http://schemas.microsoft.com/office/drawing/2012/chart" uri="{CE6537A1-D6FC-4f65-9D91-7224C49458BB}"/>
              </c:extLst>
            </c:dLbl>
            <c:dLbl>
              <c:idx val="4"/>
              <c:layout>
                <c:manualLayout>
                  <c:x val="1.5491866769945708E-2"/>
                  <c:y val="6.287331027978623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663-4763-819B-C311B74224B9}"/>
                </c:ext>
                <c:ext xmlns:c15="http://schemas.microsoft.com/office/drawing/2012/chart" uri="{CE6537A1-D6FC-4f65-9D91-7224C49458BB}"/>
              </c:extLst>
            </c:dLbl>
            <c:dLbl>
              <c:idx val="5"/>
              <c:layout>
                <c:manualLayout>
                  <c:x val="1.4525835235526042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663-4763-819B-C311B74224B9}"/>
                </c:ext>
                <c:ext xmlns:c15="http://schemas.microsoft.com/office/drawing/2012/chart" uri="{CE6537A1-D6FC-4f65-9D91-7224C49458BB}"/>
              </c:extLst>
            </c:dLbl>
            <c:dLbl>
              <c:idx val="6"/>
              <c:layout>
                <c:manualLayout>
                  <c:x val="1.245071591616518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663-4763-819B-C311B74224B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Lapas2!$I$103:$I$115</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Lapas2!$K$103:$K$115</c:f>
              <c:numCache>
                <c:formatCode>General</c:formatCode>
                <c:ptCount val="13"/>
                <c:pt idx="0">
                  <c:v>4.3</c:v>
                </c:pt>
                <c:pt idx="1">
                  <c:v>3</c:v>
                </c:pt>
                <c:pt idx="2">
                  <c:v>3.4</c:v>
                </c:pt>
                <c:pt idx="3">
                  <c:v>3.5</c:v>
                </c:pt>
                <c:pt idx="4">
                  <c:v>9.8000000000000007</c:v>
                </c:pt>
                <c:pt idx="5">
                  <c:v>15.2</c:v>
                </c:pt>
                <c:pt idx="6">
                  <c:v>11.6</c:v>
                </c:pt>
                <c:pt idx="7">
                  <c:v>9.3000000000000007</c:v>
                </c:pt>
                <c:pt idx="8">
                  <c:v>8.4</c:v>
                </c:pt>
                <c:pt idx="9">
                  <c:v>7.4</c:v>
                </c:pt>
                <c:pt idx="10">
                  <c:v>7.2</c:v>
                </c:pt>
                <c:pt idx="11">
                  <c:v>6.4</c:v>
                </c:pt>
                <c:pt idx="12">
                  <c:v>6.4</c:v>
                </c:pt>
              </c:numCache>
            </c:numRef>
          </c:val>
          <c:extLst xmlns:c16r2="http://schemas.microsoft.com/office/drawing/2015/06/chart">
            <c:ext xmlns:c16="http://schemas.microsoft.com/office/drawing/2014/chart" uri="{C3380CC4-5D6E-409C-BE32-E72D297353CC}">
              <c16:uniqueId val="{00000003-2663-4763-819B-C311B74224B9}"/>
            </c:ext>
          </c:extLst>
        </c:ser>
        <c:dLbls>
          <c:showLegendKey val="0"/>
          <c:showVal val="0"/>
          <c:showCatName val="0"/>
          <c:showSerName val="0"/>
          <c:showPercent val="0"/>
          <c:showBubbleSize val="0"/>
        </c:dLbls>
        <c:gapWidth val="219"/>
        <c:overlap val="-27"/>
        <c:axId val="380259568"/>
        <c:axId val="380259960"/>
      </c:barChart>
      <c:catAx>
        <c:axId val="380259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0259960"/>
        <c:crosses val="autoZero"/>
        <c:auto val="1"/>
        <c:lblAlgn val="ctr"/>
        <c:lblOffset val="100"/>
        <c:noMultiLvlLbl val="0"/>
      </c:catAx>
      <c:valAx>
        <c:axId val="380259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0259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a:latin typeface="Times New Roman" panose="02020603050405020304" pitchFamily="18" charset="0"/>
                <a:cs typeface="Times New Roman" panose="02020603050405020304" pitchFamily="18" charset="0"/>
              </a:rPr>
              <a:t>Veikiančių mažų ir vidutinių įmonių skaičius metų pradžioje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Lapas2!$D$72:$D$85</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Lapas2!$E$72:$E$85</c:f>
              <c:numCache>
                <c:formatCode>General</c:formatCode>
                <c:ptCount val="14"/>
                <c:pt idx="0">
                  <c:v>4283</c:v>
                </c:pt>
                <c:pt idx="1">
                  <c:v>4232</c:v>
                </c:pt>
                <c:pt idx="2">
                  <c:v>4602</c:v>
                </c:pt>
                <c:pt idx="3">
                  <c:v>4923</c:v>
                </c:pt>
                <c:pt idx="4">
                  <c:v>5144</c:v>
                </c:pt>
                <c:pt idx="5">
                  <c:v>5034</c:v>
                </c:pt>
                <c:pt idx="6">
                  <c:v>5178</c:v>
                </c:pt>
                <c:pt idx="7">
                  <c:v>4803</c:v>
                </c:pt>
                <c:pt idx="8">
                  <c:v>4838</c:v>
                </c:pt>
                <c:pt idx="9">
                  <c:v>4885</c:v>
                </c:pt>
                <c:pt idx="10">
                  <c:v>5290</c:v>
                </c:pt>
                <c:pt idx="11">
                  <c:v>5388</c:v>
                </c:pt>
                <c:pt idx="12">
                  <c:v>5451</c:v>
                </c:pt>
                <c:pt idx="13">
                  <c:v>5444</c:v>
                </c:pt>
              </c:numCache>
            </c:numRef>
          </c:val>
          <c:extLst xmlns:c16r2="http://schemas.microsoft.com/office/drawing/2015/06/chart">
            <c:ext xmlns:c16="http://schemas.microsoft.com/office/drawing/2014/chart" uri="{C3380CC4-5D6E-409C-BE32-E72D297353CC}">
              <c16:uniqueId val="{00000000-F071-4AA8-A838-EEA0D2100AE5}"/>
            </c:ext>
          </c:extLst>
        </c:ser>
        <c:dLbls>
          <c:showLegendKey val="0"/>
          <c:showVal val="0"/>
          <c:showCatName val="0"/>
          <c:showSerName val="0"/>
          <c:showPercent val="0"/>
          <c:showBubbleSize val="0"/>
        </c:dLbls>
        <c:gapWidth val="219"/>
        <c:overlap val="-27"/>
        <c:axId val="379309440"/>
        <c:axId val="379309832"/>
      </c:barChart>
      <c:catAx>
        <c:axId val="379309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309832"/>
        <c:crosses val="autoZero"/>
        <c:auto val="1"/>
        <c:lblAlgn val="ctr"/>
        <c:lblOffset val="100"/>
        <c:noMultiLvlLbl val="0"/>
      </c:catAx>
      <c:valAx>
        <c:axId val="379309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309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a:latin typeface="Times New Roman" panose="02020603050405020304" pitchFamily="18" charset="0"/>
                <a:cs typeface="Times New Roman" panose="02020603050405020304" pitchFamily="18" charset="0"/>
              </a:rPr>
              <a:t>Veikiančių</a:t>
            </a:r>
            <a:r>
              <a:rPr lang="lt-LT" sz="1200" baseline="0">
                <a:latin typeface="Times New Roman" panose="02020603050405020304" pitchFamily="18" charset="0"/>
                <a:cs typeface="Times New Roman" panose="02020603050405020304" pitchFamily="18" charset="0"/>
              </a:rPr>
              <a:t> mažų ir vidutinių įmonių skaičius tenkantis 1000 gyventojų</a:t>
            </a:r>
            <a:endParaRPr lang="lt-LT" sz="1200">
              <a:latin typeface="Times New Roman" panose="02020603050405020304" pitchFamily="18" charset="0"/>
              <a:cs typeface="Times New Roman" panose="02020603050405020304" pitchFamily="18" charset="0"/>
            </a:endParaRPr>
          </a:p>
        </c:rich>
      </c:tx>
      <c:layout>
        <c:manualLayout>
          <c:xMode val="edge"/>
          <c:yMode val="edge"/>
          <c:x val="0.15964561578484396"/>
          <c:y val="2.135342803981478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0469816272965886E-2"/>
          <c:y val="0.2386612182047067"/>
          <c:w val="0.87753018372703417"/>
          <c:h val="0.65907259625702164"/>
        </c:manualLayout>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Lapas2!$D$90:$D$98</c:f>
              <c:numCache>
                <c:formatCode>General</c:formatCode>
                <c:ptCount val="9"/>
                <c:pt idx="0">
                  <c:v>2010</c:v>
                </c:pt>
                <c:pt idx="1">
                  <c:v>2011</c:v>
                </c:pt>
                <c:pt idx="2">
                  <c:v>2012</c:v>
                </c:pt>
                <c:pt idx="3">
                  <c:v>2013</c:v>
                </c:pt>
                <c:pt idx="4">
                  <c:v>2014</c:v>
                </c:pt>
                <c:pt idx="5">
                  <c:v>2015</c:v>
                </c:pt>
                <c:pt idx="6">
                  <c:v>2016</c:v>
                </c:pt>
                <c:pt idx="7">
                  <c:v>2017</c:v>
                </c:pt>
                <c:pt idx="8">
                  <c:v>2018</c:v>
                </c:pt>
              </c:numCache>
            </c:numRef>
          </c:xVal>
          <c:yVal>
            <c:numRef>
              <c:f>Lapas2!$E$90:$E$98</c:f>
              <c:numCache>
                <c:formatCode>General</c:formatCode>
                <c:ptCount val="9"/>
                <c:pt idx="0">
                  <c:v>29.94</c:v>
                </c:pt>
                <c:pt idx="1">
                  <c:v>31.79</c:v>
                </c:pt>
                <c:pt idx="2">
                  <c:v>29.99</c:v>
                </c:pt>
                <c:pt idx="3">
                  <c:v>30.51</c:v>
                </c:pt>
                <c:pt idx="4">
                  <c:v>31.05</c:v>
                </c:pt>
                <c:pt idx="5">
                  <c:v>33.799999999999997</c:v>
                </c:pt>
                <c:pt idx="6">
                  <c:v>35.200000000000003</c:v>
                </c:pt>
                <c:pt idx="7">
                  <c:v>36.299999999999997</c:v>
                </c:pt>
                <c:pt idx="8">
                  <c:v>36.76</c:v>
                </c:pt>
              </c:numCache>
            </c:numRef>
          </c:yVal>
          <c:smooth val="0"/>
          <c:extLst xmlns:c16r2="http://schemas.microsoft.com/office/drawing/2015/06/chart">
            <c:ext xmlns:c16="http://schemas.microsoft.com/office/drawing/2014/chart" uri="{C3380CC4-5D6E-409C-BE32-E72D297353CC}">
              <c16:uniqueId val="{00000000-B80D-4D1B-BD44-7CE103C19C80}"/>
            </c:ext>
          </c:extLst>
        </c:ser>
        <c:dLbls>
          <c:showLegendKey val="0"/>
          <c:showVal val="0"/>
          <c:showCatName val="0"/>
          <c:showSerName val="0"/>
          <c:showPercent val="0"/>
          <c:showBubbleSize val="0"/>
        </c:dLbls>
        <c:axId val="437365880"/>
        <c:axId val="437374504"/>
      </c:scatterChart>
      <c:valAx>
        <c:axId val="4373658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7374504"/>
        <c:crosses val="autoZero"/>
        <c:crossBetween val="midCat"/>
      </c:valAx>
      <c:valAx>
        <c:axId val="437374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736588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lt-LT" sz="1100">
                <a:latin typeface="Times New Roman" panose="02020603050405020304" pitchFamily="18" charset="0"/>
                <a:cs typeface="Times New Roman" panose="02020603050405020304" pitchFamily="18" charset="0"/>
              </a:rPr>
              <a:t>Tiesioginės</a:t>
            </a:r>
            <a:r>
              <a:rPr lang="lt-LT" sz="1100" baseline="0">
                <a:latin typeface="Times New Roman" panose="02020603050405020304" pitchFamily="18" charset="0"/>
                <a:cs typeface="Times New Roman" panose="02020603050405020304" pitchFamily="18" charset="0"/>
              </a:rPr>
              <a:t> užsienio investicijos, tenkančios vienam gyventojui, Eur</a:t>
            </a:r>
            <a:endParaRPr lang="lt-LT"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Lapas2!$D$121</c:f>
              <c:strCache>
                <c:ptCount val="1"/>
                <c:pt idx="0">
                  <c:v>Lietuvos Respublika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Lapas2!$C$122:$C$128</c:f>
              <c:numCache>
                <c:formatCode>General</c:formatCode>
                <c:ptCount val="7"/>
                <c:pt idx="0">
                  <c:v>2017</c:v>
                </c:pt>
                <c:pt idx="1">
                  <c:v>2016</c:v>
                </c:pt>
                <c:pt idx="2">
                  <c:v>2015</c:v>
                </c:pt>
                <c:pt idx="3">
                  <c:v>2014</c:v>
                </c:pt>
                <c:pt idx="4">
                  <c:v>2013</c:v>
                </c:pt>
                <c:pt idx="5">
                  <c:v>2012</c:v>
                </c:pt>
                <c:pt idx="6">
                  <c:v>2011</c:v>
                </c:pt>
              </c:numCache>
            </c:numRef>
          </c:cat>
          <c:val>
            <c:numRef>
              <c:f>Lapas2!$D$122:$D$128</c:f>
              <c:numCache>
                <c:formatCode>General</c:formatCode>
                <c:ptCount val="7"/>
                <c:pt idx="0">
                  <c:v>5275</c:v>
                </c:pt>
                <c:pt idx="1">
                  <c:v>4890</c:v>
                </c:pt>
                <c:pt idx="2">
                  <c:v>4673</c:v>
                </c:pt>
                <c:pt idx="3">
                  <c:v>4363</c:v>
                </c:pt>
                <c:pt idx="4">
                  <c:v>4321</c:v>
                </c:pt>
                <c:pt idx="5">
                  <c:v>4072</c:v>
                </c:pt>
                <c:pt idx="6">
                  <c:v>3672</c:v>
                </c:pt>
              </c:numCache>
            </c:numRef>
          </c:val>
          <c:extLst xmlns:c16r2="http://schemas.microsoft.com/office/drawing/2015/06/chart">
            <c:ext xmlns:c16="http://schemas.microsoft.com/office/drawing/2014/chart" uri="{C3380CC4-5D6E-409C-BE32-E72D297353CC}">
              <c16:uniqueId val="{00000000-0288-4706-B101-57B4C274D7A7}"/>
            </c:ext>
          </c:extLst>
        </c:ser>
        <c:ser>
          <c:idx val="1"/>
          <c:order val="1"/>
          <c:tx>
            <c:strRef>
              <c:f>Lapas2!$E$121</c:f>
              <c:strCache>
                <c:ptCount val="1"/>
                <c:pt idx="0">
                  <c:v>Vilniaus m. sav.</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Lapas2!$C$122:$C$128</c:f>
              <c:numCache>
                <c:formatCode>General</c:formatCode>
                <c:ptCount val="7"/>
                <c:pt idx="0">
                  <c:v>2017</c:v>
                </c:pt>
                <c:pt idx="1">
                  <c:v>2016</c:v>
                </c:pt>
                <c:pt idx="2">
                  <c:v>2015</c:v>
                </c:pt>
                <c:pt idx="3">
                  <c:v>2014</c:v>
                </c:pt>
                <c:pt idx="4">
                  <c:v>2013</c:v>
                </c:pt>
                <c:pt idx="5">
                  <c:v>2012</c:v>
                </c:pt>
                <c:pt idx="6">
                  <c:v>2011</c:v>
                </c:pt>
              </c:numCache>
            </c:numRef>
          </c:cat>
          <c:val>
            <c:numRef>
              <c:f>Lapas2!$E$122:$E$128</c:f>
              <c:numCache>
                <c:formatCode>General</c:formatCode>
                <c:ptCount val="7"/>
                <c:pt idx="0">
                  <c:v>18190</c:v>
                </c:pt>
                <c:pt idx="1">
                  <c:v>17336</c:v>
                </c:pt>
                <c:pt idx="2">
                  <c:v>16729</c:v>
                </c:pt>
                <c:pt idx="3">
                  <c:v>15938</c:v>
                </c:pt>
                <c:pt idx="4">
                  <c:v>15460</c:v>
                </c:pt>
                <c:pt idx="5">
                  <c:v>13911</c:v>
                </c:pt>
                <c:pt idx="6">
                  <c:v>12362</c:v>
                </c:pt>
              </c:numCache>
            </c:numRef>
          </c:val>
          <c:extLst xmlns:c16r2="http://schemas.microsoft.com/office/drawing/2015/06/chart">
            <c:ext xmlns:c16="http://schemas.microsoft.com/office/drawing/2014/chart" uri="{C3380CC4-5D6E-409C-BE32-E72D297353CC}">
              <c16:uniqueId val="{00000001-0288-4706-B101-57B4C274D7A7}"/>
            </c:ext>
          </c:extLst>
        </c:ser>
        <c:ser>
          <c:idx val="2"/>
          <c:order val="2"/>
          <c:tx>
            <c:strRef>
              <c:f>Lapas2!$F$121</c:f>
              <c:strCache>
                <c:ptCount val="1"/>
                <c:pt idx="0">
                  <c:v>Kauno m. sav.</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Lapas2!$C$122:$C$128</c:f>
              <c:numCache>
                <c:formatCode>General</c:formatCode>
                <c:ptCount val="7"/>
                <c:pt idx="0">
                  <c:v>2017</c:v>
                </c:pt>
                <c:pt idx="1">
                  <c:v>2016</c:v>
                </c:pt>
                <c:pt idx="2">
                  <c:v>2015</c:v>
                </c:pt>
                <c:pt idx="3">
                  <c:v>2014</c:v>
                </c:pt>
                <c:pt idx="4">
                  <c:v>2013</c:v>
                </c:pt>
                <c:pt idx="5">
                  <c:v>2012</c:v>
                </c:pt>
                <c:pt idx="6">
                  <c:v>2011</c:v>
                </c:pt>
              </c:numCache>
            </c:numRef>
          </c:cat>
          <c:val>
            <c:numRef>
              <c:f>Lapas2!$F$122:$F$128</c:f>
              <c:numCache>
                <c:formatCode>General</c:formatCode>
                <c:ptCount val="7"/>
                <c:pt idx="0">
                  <c:v>4212</c:v>
                </c:pt>
                <c:pt idx="1">
                  <c:v>4022</c:v>
                </c:pt>
                <c:pt idx="2">
                  <c:v>3446</c:v>
                </c:pt>
                <c:pt idx="3">
                  <c:v>3310</c:v>
                </c:pt>
                <c:pt idx="4">
                  <c:v>3171</c:v>
                </c:pt>
                <c:pt idx="5">
                  <c:v>3810</c:v>
                </c:pt>
                <c:pt idx="6">
                  <c:v>3572</c:v>
                </c:pt>
              </c:numCache>
            </c:numRef>
          </c:val>
          <c:extLst xmlns:c16r2="http://schemas.microsoft.com/office/drawing/2015/06/chart">
            <c:ext xmlns:c16="http://schemas.microsoft.com/office/drawing/2014/chart" uri="{C3380CC4-5D6E-409C-BE32-E72D297353CC}">
              <c16:uniqueId val="{00000002-0288-4706-B101-57B4C274D7A7}"/>
            </c:ext>
          </c:extLst>
        </c:ser>
        <c:ser>
          <c:idx val="3"/>
          <c:order val="3"/>
          <c:tx>
            <c:strRef>
              <c:f>Lapas2!$G$121</c:f>
              <c:strCache>
                <c:ptCount val="1"/>
                <c:pt idx="0">
                  <c:v>Klaipėdos m. sav.</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Lapas2!$C$122:$C$128</c:f>
              <c:numCache>
                <c:formatCode>General</c:formatCode>
                <c:ptCount val="7"/>
                <c:pt idx="0">
                  <c:v>2017</c:v>
                </c:pt>
                <c:pt idx="1">
                  <c:v>2016</c:v>
                </c:pt>
                <c:pt idx="2">
                  <c:v>2015</c:v>
                </c:pt>
                <c:pt idx="3">
                  <c:v>2014</c:v>
                </c:pt>
                <c:pt idx="4">
                  <c:v>2013</c:v>
                </c:pt>
                <c:pt idx="5">
                  <c:v>2012</c:v>
                </c:pt>
                <c:pt idx="6">
                  <c:v>2011</c:v>
                </c:pt>
              </c:numCache>
            </c:numRef>
          </c:cat>
          <c:val>
            <c:numRef>
              <c:f>Lapas2!$G$122:$G$128</c:f>
              <c:numCache>
                <c:formatCode>General</c:formatCode>
                <c:ptCount val="7"/>
                <c:pt idx="0">
                  <c:v>6122</c:v>
                </c:pt>
                <c:pt idx="1">
                  <c:v>5475</c:v>
                </c:pt>
                <c:pt idx="2">
                  <c:v>5579</c:v>
                </c:pt>
                <c:pt idx="3">
                  <c:v>4457</c:v>
                </c:pt>
                <c:pt idx="4">
                  <c:v>4046</c:v>
                </c:pt>
                <c:pt idx="5">
                  <c:v>4552</c:v>
                </c:pt>
                <c:pt idx="6">
                  <c:v>4423</c:v>
                </c:pt>
              </c:numCache>
            </c:numRef>
          </c:val>
          <c:extLst xmlns:c16r2="http://schemas.microsoft.com/office/drawing/2015/06/chart">
            <c:ext xmlns:c16="http://schemas.microsoft.com/office/drawing/2014/chart" uri="{C3380CC4-5D6E-409C-BE32-E72D297353CC}">
              <c16:uniqueId val="{00000003-0288-4706-B101-57B4C274D7A7}"/>
            </c:ext>
          </c:extLst>
        </c:ser>
        <c:ser>
          <c:idx val="4"/>
          <c:order val="4"/>
          <c:tx>
            <c:strRef>
              <c:f>Lapas2!$H$121</c:f>
              <c:strCache>
                <c:ptCount val="1"/>
                <c:pt idx="0">
                  <c:v>Šiaulių m. sav.</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Lapas2!$C$122:$C$128</c:f>
              <c:numCache>
                <c:formatCode>General</c:formatCode>
                <c:ptCount val="7"/>
                <c:pt idx="0">
                  <c:v>2017</c:v>
                </c:pt>
                <c:pt idx="1">
                  <c:v>2016</c:v>
                </c:pt>
                <c:pt idx="2">
                  <c:v>2015</c:v>
                </c:pt>
                <c:pt idx="3">
                  <c:v>2014</c:v>
                </c:pt>
                <c:pt idx="4">
                  <c:v>2013</c:v>
                </c:pt>
                <c:pt idx="5">
                  <c:v>2012</c:v>
                </c:pt>
                <c:pt idx="6">
                  <c:v>2011</c:v>
                </c:pt>
              </c:numCache>
            </c:numRef>
          </c:cat>
          <c:val>
            <c:numRef>
              <c:f>Lapas2!$H$122:$H$128</c:f>
              <c:numCache>
                <c:formatCode>General</c:formatCode>
                <c:ptCount val="7"/>
                <c:pt idx="0">
                  <c:v>1383</c:v>
                </c:pt>
                <c:pt idx="1">
                  <c:v>1021</c:v>
                </c:pt>
                <c:pt idx="2">
                  <c:v>709</c:v>
                </c:pt>
                <c:pt idx="3">
                  <c:v>663</c:v>
                </c:pt>
                <c:pt idx="4">
                  <c:v>749</c:v>
                </c:pt>
                <c:pt idx="5">
                  <c:v>710</c:v>
                </c:pt>
                <c:pt idx="6">
                  <c:v>702</c:v>
                </c:pt>
              </c:numCache>
            </c:numRef>
          </c:val>
          <c:extLst xmlns:c16r2="http://schemas.microsoft.com/office/drawing/2015/06/chart">
            <c:ext xmlns:c16="http://schemas.microsoft.com/office/drawing/2014/chart" uri="{C3380CC4-5D6E-409C-BE32-E72D297353CC}">
              <c16:uniqueId val="{00000004-0288-4706-B101-57B4C274D7A7}"/>
            </c:ext>
          </c:extLst>
        </c:ser>
        <c:dLbls>
          <c:showLegendKey val="0"/>
          <c:showVal val="0"/>
          <c:showCatName val="0"/>
          <c:showSerName val="0"/>
          <c:showPercent val="0"/>
          <c:showBubbleSize val="0"/>
        </c:dLbls>
        <c:gapWidth val="219"/>
        <c:axId val="437365488"/>
        <c:axId val="437366664"/>
      </c:barChart>
      <c:catAx>
        <c:axId val="4373654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7366664"/>
        <c:crosses val="autoZero"/>
        <c:auto val="1"/>
        <c:lblAlgn val="ctr"/>
        <c:lblOffset val="100"/>
        <c:noMultiLvlLbl val="0"/>
      </c:catAx>
      <c:valAx>
        <c:axId val="4373666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7365488"/>
        <c:crosses val="autoZero"/>
        <c:crossBetween val="between"/>
      </c:valAx>
      <c:spPr>
        <a:noFill/>
        <a:ln>
          <a:noFill/>
        </a:ln>
        <a:effectLst/>
      </c:spPr>
    </c:plotArea>
    <c:legend>
      <c:legendPos val="b"/>
      <c:layout>
        <c:manualLayout>
          <c:xMode val="edge"/>
          <c:yMode val="edge"/>
          <c:x val="6.2757267197704941E-2"/>
          <c:y val="0.89877150772820069"/>
          <c:w val="0.87782924803862161"/>
          <c:h val="7.345071449402157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a:latin typeface="Times New Roman" panose="02020603050405020304" pitchFamily="18" charset="0"/>
                <a:cs typeface="Times New Roman" panose="02020603050405020304" pitchFamily="18" charset="0"/>
              </a:rPr>
              <a:t>Vidutinis</a:t>
            </a:r>
            <a:r>
              <a:rPr lang="lt-LT" sz="1200" baseline="0">
                <a:latin typeface="Times New Roman" panose="02020603050405020304" pitchFamily="18" charset="0"/>
                <a:cs typeface="Times New Roman" panose="02020603050405020304" pitchFamily="18" charset="0"/>
              </a:rPr>
              <a:t> mėnesinis darbo užmokestis, Eur </a:t>
            </a:r>
            <a:endParaRPr lang="lt-LT"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Lapas2!$B$148:$B$152</c:f>
              <c:strCache>
                <c:ptCount val="5"/>
                <c:pt idx="0">
                  <c:v>Lietuvos Respublika</c:v>
                </c:pt>
                <c:pt idx="1">
                  <c:v>Vilniaus m. sav.</c:v>
                </c:pt>
                <c:pt idx="2">
                  <c:v>Kauno m. sav.</c:v>
                </c:pt>
                <c:pt idx="3">
                  <c:v>Klaipėdos m. sav.</c:v>
                </c:pt>
                <c:pt idx="4">
                  <c:v>Panevėžio m. sav.</c:v>
                </c:pt>
              </c:strCache>
            </c:strRef>
          </c:cat>
          <c:val>
            <c:numRef>
              <c:f>Lapas2!$C$148:$C$152</c:f>
              <c:numCache>
                <c:formatCode>General</c:formatCode>
                <c:ptCount val="5"/>
                <c:pt idx="0">
                  <c:v>884.8</c:v>
                </c:pt>
                <c:pt idx="1">
                  <c:v>1003.3</c:v>
                </c:pt>
                <c:pt idx="2">
                  <c:v>902.7</c:v>
                </c:pt>
                <c:pt idx="3">
                  <c:v>943.5</c:v>
                </c:pt>
                <c:pt idx="4">
                  <c:v>839.3</c:v>
                </c:pt>
              </c:numCache>
            </c:numRef>
          </c:val>
          <c:extLst xmlns:c16r2="http://schemas.microsoft.com/office/drawing/2015/06/chart">
            <c:ext xmlns:c16="http://schemas.microsoft.com/office/drawing/2014/chart" uri="{C3380CC4-5D6E-409C-BE32-E72D297353CC}">
              <c16:uniqueId val="{00000000-A7AE-4B72-9546-D944ADDBEDC5}"/>
            </c:ext>
          </c:extLst>
        </c:ser>
        <c:dLbls>
          <c:showLegendKey val="0"/>
          <c:showVal val="0"/>
          <c:showCatName val="0"/>
          <c:showSerName val="0"/>
          <c:showPercent val="0"/>
          <c:showBubbleSize val="0"/>
        </c:dLbls>
        <c:gapWidth val="182"/>
        <c:axId val="437364312"/>
        <c:axId val="437369800"/>
      </c:barChart>
      <c:catAx>
        <c:axId val="437364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7369800"/>
        <c:crosses val="autoZero"/>
        <c:auto val="1"/>
        <c:lblAlgn val="ctr"/>
        <c:lblOffset val="100"/>
        <c:noMultiLvlLbl val="0"/>
      </c:catAx>
      <c:valAx>
        <c:axId val="4373698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7364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389349940026468E-2"/>
          <c:y val="4.540763673890609E-2"/>
          <c:w val="0.90086760234228735"/>
          <c:h val="0.56534848004680527"/>
        </c:manualLayout>
      </c:layout>
      <c:scatterChart>
        <c:scatterStyle val="lineMarker"/>
        <c:varyColors val="0"/>
        <c:ser>
          <c:idx val="0"/>
          <c:order val="0"/>
          <c:tx>
            <c:strRef>
              <c:f>Lapas2!$C$167</c:f>
              <c:strCache>
                <c:ptCount val="1"/>
                <c:pt idx="0">
                  <c:v>Parų skaičius, kai Klaipėdos mieste buvo viršyta keitųjų dalelių (KD10) paros ribinė vertė  (50 µ/m3)  miesto centre</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Lapas2!$B$168:$B$177</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xVal>
          <c:yVal>
            <c:numRef>
              <c:f>Lapas2!$C$168:$C$177</c:f>
              <c:numCache>
                <c:formatCode>General</c:formatCode>
                <c:ptCount val="10"/>
                <c:pt idx="0">
                  <c:v>33</c:v>
                </c:pt>
                <c:pt idx="1">
                  <c:v>32</c:v>
                </c:pt>
                <c:pt idx="2">
                  <c:v>31</c:v>
                </c:pt>
                <c:pt idx="3">
                  <c:v>28</c:v>
                </c:pt>
                <c:pt idx="4">
                  <c:v>35</c:v>
                </c:pt>
                <c:pt idx="5">
                  <c:v>43</c:v>
                </c:pt>
                <c:pt idx="6">
                  <c:v>20</c:v>
                </c:pt>
                <c:pt idx="7">
                  <c:v>9</c:v>
                </c:pt>
                <c:pt idx="8">
                  <c:v>3</c:v>
                </c:pt>
                <c:pt idx="9">
                  <c:v>15</c:v>
                </c:pt>
              </c:numCache>
            </c:numRef>
          </c:yVal>
          <c:smooth val="0"/>
          <c:extLst xmlns:c16r2="http://schemas.microsoft.com/office/drawing/2015/06/chart">
            <c:ext xmlns:c16="http://schemas.microsoft.com/office/drawing/2014/chart" uri="{C3380CC4-5D6E-409C-BE32-E72D297353CC}">
              <c16:uniqueId val="{00000000-7479-4388-949D-4390F7A0EDBC}"/>
            </c:ext>
          </c:extLst>
        </c:ser>
        <c:ser>
          <c:idx val="1"/>
          <c:order val="1"/>
          <c:tx>
            <c:strRef>
              <c:f>Lapas2!$D$167</c:f>
              <c:strCache>
                <c:ptCount val="1"/>
                <c:pt idx="0">
                  <c:v>Parų skaičius, kai Klaipėdos mieste buvo viršyta keitųjų dalelių (KD10) paros ribinė vertė (50 µ/m3) Šilutės pl.</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Lapas2!$B$168:$B$177</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xVal>
          <c:yVal>
            <c:numRef>
              <c:f>Lapas2!$D$168:$D$177</c:f>
              <c:numCache>
                <c:formatCode>General</c:formatCode>
                <c:ptCount val="10"/>
                <c:pt idx="0">
                  <c:v>29</c:v>
                </c:pt>
                <c:pt idx="1">
                  <c:v>22</c:v>
                </c:pt>
                <c:pt idx="2">
                  <c:v>26</c:v>
                </c:pt>
                <c:pt idx="3">
                  <c:v>17</c:v>
                </c:pt>
                <c:pt idx="4">
                  <c:v>25</c:v>
                </c:pt>
                <c:pt idx="5">
                  <c:v>32</c:v>
                </c:pt>
                <c:pt idx="6">
                  <c:v>32</c:v>
                </c:pt>
                <c:pt idx="7">
                  <c:v>29</c:v>
                </c:pt>
                <c:pt idx="8">
                  <c:v>30</c:v>
                </c:pt>
                <c:pt idx="9">
                  <c:v>58</c:v>
                </c:pt>
              </c:numCache>
            </c:numRef>
          </c:yVal>
          <c:smooth val="0"/>
          <c:extLst xmlns:c16r2="http://schemas.microsoft.com/office/drawing/2015/06/chart">
            <c:ext xmlns:c16="http://schemas.microsoft.com/office/drawing/2014/chart" uri="{C3380CC4-5D6E-409C-BE32-E72D297353CC}">
              <c16:uniqueId val="{00000001-7479-4388-949D-4390F7A0EDBC}"/>
            </c:ext>
          </c:extLst>
        </c:ser>
        <c:dLbls>
          <c:showLegendKey val="0"/>
          <c:showVal val="0"/>
          <c:showCatName val="0"/>
          <c:showSerName val="0"/>
          <c:showPercent val="0"/>
          <c:showBubbleSize val="0"/>
        </c:dLbls>
        <c:axId val="437367840"/>
        <c:axId val="437371760"/>
      </c:scatterChart>
      <c:valAx>
        <c:axId val="4373678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7371760"/>
        <c:crosses val="autoZero"/>
        <c:crossBetween val="midCat"/>
      </c:valAx>
      <c:valAx>
        <c:axId val="437371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7367840"/>
        <c:crosses val="autoZero"/>
        <c:crossBetween val="midCat"/>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4.9110665551291753E-2"/>
          <c:y val="0.7312856016836905"/>
          <c:w val="0.87479721864446536"/>
          <c:h val="0.2274347285536676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TotalTime>
  <Pages>1</Pages>
  <Words>5587</Words>
  <Characters>31851</Characters>
  <Application>Microsoft Office Word</Application>
  <DocSecurity>0</DocSecurity>
  <Lines>265</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admin</cp:lastModifiedBy>
  <cp:revision>14</cp:revision>
  <dcterms:created xsi:type="dcterms:W3CDTF">2013-10-25T06:49:00Z</dcterms:created>
  <dcterms:modified xsi:type="dcterms:W3CDTF">2018-12-11T15:43:00Z</dcterms:modified>
</cp:coreProperties>
</file>