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T2-82</w:t>
            </w:r>
            <w:bookmarkEnd w:id="2"/>
          </w:p>
        </w:tc>
      </w:tr>
    </w:tbl>
    <w:p w:rsidR="00832CC9" w:rsidRPr="00F72A1E" w:rsidRDefault="00832CC9" w:rsidP="0006079E">
      <w:pPr>
        <w:jc w:val="center"/>
      </w:pPr>
    </w:p>
    <w:p w:rsidR="00832CC9" w:rsidRPr="00F72A1E" w:rsidRDefault="00832CC9" w:rsidP="0006079E">
      <w:pPr>
        <w:jc w:val="center"/>
      </w:pPr>
    </w:p>
    <w:p w:rsidR="006A5BC6" w:rsidRPr="00123DE2" w:rsidRDefault="006A5BC6" w:rsidP="006A5BC6">
      <w:pPr>
        <w:jc w:val="center"/>
        <w:rPr>
          <w:b/>
        </w:rPr>
      </w:pPr>
      <w:r w:rsidRPr="00123DE2">
        <w:rPr>
          <w:b/>
          <w:bCs/>
          <w:lang w:eastAsia="lt-LT"/>
        </w:rPr>
        <w:t>KOMPENSAVIMO UŽ NEĮRENGTAS AUTOMOBILIŲ STOVĖJIMO VIETAS TVARKOS APRAŠAS</w:t>
      </w:r>
    </w:p>
    <w:p w:rsidR="006A5BC6" w:rsidRPr="00123DE2" w:rsidRDefault="006A5BC6" w:rsidP="006A5BC6">
      <w:pPr>
        <w:jc w:val="center"/>
      </w:pPr>
    </w:p>
    <w:p w:rsidR="006A5BC6" w:rsidRPr="00123DE2" w:rsidRDefault="006A5BC6" w:rsidP="006A5BC6">
      <w:pPr>
        <w:jc w:val="center"/>
        <w:outlineLvl w:val="0"/>
        <w:rPr>
          <w:b/>
          <w:bCs/>
          <w:lang w:eastAsia="lt-LT"/>
        </w:rPr>
      </w:pPr>
      <w:r w:rsidRPr="00123DE2">
        <w:rPr>
          <w:b/>
          <w:bCs/>
          <w:lang w:eastAsia="lt-LT"/>
        </w:rPr>
        <w:t>I SKYRIUS</w:t>
      </w:r>
    </w:p>
    <w:p w:rsidR="006A5BC6" w:rsidRPr="00123DE2" w:rsidRDefault="006A5BC6" w:rsidP="006A5BC6">
      <w:pPr>
        <w:jc w:val="center"/>
        <w:outlineLvl w:val="0"/>
        <w:rPr>
          <w:b/>
          <w:bCs/>
          <w:lang w:eastAsia="lt-LT"/>
        </w:rPr>
      </w:pPr>
      <w:r w:rsidRPr="00123DE2">
        <w:rPr>
          <w:b/>
          <w:bCs/>
          <w:lang w:eastAsia="lt-LT"/>
        </w:rPr>
        <w:t>BENDROSIOS NUOSTATOS</w:t>
      </w:r>
    </w:p>
    <w:p w:rsidR="006A5BC6" w:rsidRPr="00123DE2" w:rsidRDefault="006A5BC6" w:rsidP="006A5BC6">
      <w:pPr>
        <w:tabs>
          <w:tab w:val="left" w:pos="993"/>
        </w:tabs>
        <w:jc w:val="center"/>
        <w:rPr>
          <w:lang w:eastAsia="lt-LT"/>
        </w:rPr>
      </w:pPr>
    </w:p>
    <w:p w:rsidR="006A5BC6" w:rsidRPr="00123DE2" w:rsidRDefault="006A5BC6" w:rsidP="006A5BC6">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3" w:name="_Ref328743476"/>
      <w:r w:rsidRPr="00123DE2">
        <w:rPr>
          <w:rFonts w:ascii="Times New Roman" w:hAnsi="Times New Roman"/>
          <w:sz w:val="24"/>
          <w:szCs w:val="24"/>
        </w:rPr>
        <w:t>Kompensavimo už neįrengtas automobilių stovėjimo vietas tvarkos aprašas (toliau – Aprašas) nustato lėšų įrengiamoms Klaipėdos miesto bendrojo naudojimo automobilių stovėjimo aikštelėms kompensuoti</w:t>
      </w:r>
      <w:r w:rsidRPr="000A278A">
        <w:rPr>
          <w:rFonts w:ascii="Times New Roman" w:hAnsi="Times New Roman"/>
          <w:sz w:val="24"/>
          <w:szCs w:val="24"/>
        </w:rPr>
        <w:t xml:space="preserve"> </w:t>
      </w:r>
      <w:r w:rsidRPr="00123DE2">
        <w:rPr>
          <w:rFonts w:ascii="Times New Roman" w:hAnsi="Times New Roman"/>
          <w:sz w:val="24"/>
          <w:szCs w:val="24"/>
        </w:rPr>
        <w:t xml:space="preserve">(toliau – kompensacija) teikimo tikslus, teikėjus, gavėjus, lėšų panaudojimo ir kontrolės tvarką. </w:t>
      </w:r>
    </w:p>
    <w:p w:rsidR="006A5BC6" w:rsidRPr="00123DE2" w:rsidRDefault="006A5BC6" w:rsidP="006A5BC6">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rPr>
        <w:t>Aprašo tikslas – gerinti ekologinę situaciją mieste, mažinti automobilių taršą, ypač senamiestyje, sudaryti ekonomines prielaidas darniai centrinės miesto dalies urbanistinei plėtrai, taip pat sudaryti palankias sąlygas įrengti bendrojo naudojimo automobilių stovėjimo aikšteles Klaipėdos mieste, kooperuoti privačių nekilnojamojo turto statytojų ir Klaipėdos miesto savivaldybės lėšas šių  aikštelių plėtrai.</w:t>
      </w:r>
    </w:p>
    <w:p w:rsidR="006A5BC6" w:rsidRPr="00123DE2" w:rsidRDefault="006A5BC6" w:rsidP="006A5BC6">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Kompensavimo už neįrengtas automobilių stovėjimo vietas sutartis (toliau – sutartis) – savanoriškas lėšų teikėjo ir lėšų gavėjo susitarimas, nustatantis kompensacijos teikimo objektą, šalių teises ir pareigas, sutarties įvykdymo terminus, sutarties galiojimo, nutraukimo, keitimo ir papildymo tvarką.</w:t>
      </w:r>
    </w:p>
    <w:p w:rsidR="006A5BC6" w:rsidRPr="00123DE2" w:rsidRDefault="006A5BC6" w:rsidP="006A5BC6">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4" w:name="_Ref336291615"/>
      <w:bookmarkEnd w:id="3"/>
      <w:r w:rsidRPr="00123DE2">
        <w:rPr>
          <w:rFonts w:ascii="Times New Roman" w:hAnsi="Times New Roman"/>
          <w:sz w:val="24"/>
          <w:szCs w:val="24"/>
          <w:lang w:eastAsia="lt-LT"/>
        </w:rPr>
        <w:t>Aprašas parengtas vadovaujantis Lietuvos Respublikos teritorijų planavimo įstatymu, statybos techniniais reglamentais STR 2.06.04:2014 „Gatvės ir vietinės reikšmės keliai. Bendrieji reikalavimai“ (toliau – statybos techninis reglamentas [1]) ir STR 2.02.01:2004 „Gyvenamieji pastatai“ (toliau – statybos techninis reglamentas [2]).</w:t>
      </w:r>
      <w:bookmarkEnd w:id="4"/>
      <w:r w:rsidRPr="00123DE2">
        <w:rPr>
          <w:rFonts w:ascii="Times New Roman" w:hAnsi="Times New Roman"/>
          <w:sz w:val="24"/>
          <w:szCs w:val="24"/>
          <w:lang w:eastAsia="lt-LT"/>
        </w:rPr>
        <w:t xml:space="preserve"> </w:t>
      </w:r>
    </w:p>
    <w:p w:rsidR="006A5BC6" w:rsidRPr="00123DE2" w:rsidRDefault="006A5BC6" w:rsidP="006A5BC6">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Aprašas taikomas tik tuo atveju, jei neprieštaraujama galiojantiems teritorijų planavimo bei statinio projektavimo dokumentams, kuriais automobilių stovėjimo vietų poreikis nustatytas vadovaujantis tuo metu galiojusiu statybos techniniu reglamentu [1] ir statybos techniniu reglamentu</w:t>
      </w:r>
      <w:r>
        <w:rPr>
          <w:rFonts w:ascii="Times New Roman" w:hAnsi="Times New Roman"/>
          <w:sz w:val="24"/>
          <w:szCs w:val="24"/>
          <w:lang w:eastAsia="lt-LT"/>
        </w:rPr>
        <w:t> </w:t>
      </w:r>
      <w:r w:rsidRPr="00123DE2">
        <w:rPr>
          <w:rFonts w:ascii="Times New Roman" w:hAnsi="Times New Roman"/>
          <w:sz w:val="24"/>
          <w:szCs w:val="24"/>
          <w:lang w:eastAsia="lt-LT"/>
        </w:rPr>
        <w:t xml:space="preserve">[2]. </w:t>
      </w:r>
    </w:p>
    <w:p w:rsidR="006A5BC6" w:rsidRPr="00123DE2" w:rsidRDefault="006A5BC6" w:rsidP="006A5BC6">
      <w:pPr>
        <w:pStyle w:val="Sraopastraipa"/>
        <w:tabs>
          <w:tab w:val="left" w:pos="993"/>
          <w:tab w:val="left" w:pos="1134"/>
        </w:tabs>
        <w:spacing w:after="0" w:line="240" w:lineRule="auto"/>
        <w:ind w:left="709" w:firstLine="709"/>
        <w:jc w:val="both"/>
        <w:rPr>
          <w:rFonts w:ascii="Times New Roman" w:hAnsi="Times New Roman"/>
          <w:sz w:val="24"/>
          <w:szCs w:val="24"/>
          <w:lang w:eastAsia="lt-LT"/>
        </w:rPr>
      </w:pPr>
    </w:p>
    <w:p w:rsidR="006A5BC6" w:rsidRPr="00123DE2" w:rsidRDefault="006A5BC6" w:rsidP="006A5BC6">
      <w:pPr>
        <w:jc w:val="center"/>
        <w:outlineLvl w:val="0"/>
        <w:rPr>
          <w:b/>
          <w:bCs/>
          <w:lang w:eastAsia="lt-LT"/>
        </w:rPr>
      </w:pPr>
      <w:r w:rsidRPr="00123DE2">
        <w:rPr>
          <w:b/>
          <w:lang w:eastAsia="lt-LT"/>
        </w:rPr>
        <w:t>II</w:t>
      </w:r>
      <w:r w:rsidRPr="00123DE2">
        <w:rPr>
          <w:b/>
          <w:bCs/>
          <w:lang w:eastAsia="lt-LT"/>
        </w:rPr>
        <w:t xml:space="preserve"> SKYRIUS</w:t>
      </w:r>
    </w:p>
    <w:p w:rsidR="006A5BC6" w:rsidRDefault="006A5BC6" w:rsidP="006A5BC6">
      <w:pPr>
        <w:tabs>
          <w:tab w:val="left" w:pos="993"/>
          <w:tab w:val="left" w:pos="1134"/>
        </w:tabs>
        <w:jc w:val="center"/>
        <w:outlineLvl w:val="0"/>
        <w:rPr>
          <w:b/>
          <w:lang w:eastAsia="lt-LT"/>
        </w:rPr>
      </w:pPr>
      <w:r w:rsidRPr="00123DE2">
        <w:rPr>
          <w:b/>
          <w:lang w:eastAsia="lt-LT"/>
        </w:rPr>
        <w:t>PRIVALOMO AUTOMOBILIŲ STOVĖJIMO VIETŲ SKAIČIAUS NUSTATYMAS</w:t>
      </w:r>
    </w:p>
    <w:p w:rsidR="006A5BC6" w:rsidRPr="00123DE2" w:rsidRDefault="006A5BC6" w:rsidP="006A5BC6">
      <w:pPr>
        <w:tabs>
          <w:tab w:val="left" w:pos="993"/>
          <w:tab w:val="left" w:pos="1134"/>
        </w:tabs>
        <w:jc w:val="center"/>
        <w:outlineLvl w:val="0"/>
        <w:rPr>
          <w:b/>
          <w:lang w:eastAsia="lt-LT"/>
        </w:rPr>
      </w:pPr>
    </w:p>
    <w:p w:rsidR="006A5BC6" w:rsidRPr="00123DE2" w:rsidRDefault="006A5BC6" w:rsidP="006A5BC6">
      <w:pPr>
        <w:numPr>
          <w:ilvl w:val="0"/>
          <w:numId w:val="1"/>
        </w:numPr>
        <w:tabs>
          <w:tab w:val="left" w:pos="993"/>
          <w:tab w:val="left" w:pos="1134"/>
        </w:tabs>
        <w:ind w:left="0" w:firstLine="709"/>
        <w:jc w:val="both"/>
        <w:rPr>
          <w:lang w:eastAsia="lt-LT"/>
        </w:rPr>
      </w:pPr>
      <w:r w:rsidRPr="00123DE2">
        <w:rPr>
          <w:lang w:eastAsia="lt-LT"/>
        </w:rPr>
        <w:t>Bendruoju atveju minimalus automobilių stovėjimo vietų skaičius nustatomas vadovaujantis statybos techninio reglamento [1] 30 lentele.</w:t>
      </w:r>
    </w:p>
    <w:p w:rsidR="006A5BC6" w:rsidRPr="00123DE2" w:rsidRDefault="006A5BC6" w:rsidP="006A5BC6">
      <w:pPr>
        <w:numPr>
          <w:ilvl w:val="0"/>
          <w:numId w:val="1"/>
        </w:numPr>
        <w:tabs>
          <w:tab w:val="left" w:pos="993"/>
          <w:tab w:val="left" w:pos="1134"/>
        </w:tabs>
        <w:ind w:left="0" w:firstLine="709"/>
        <w:jc w:val="both"/>
        <w:rPr>
          <w:lang w:eastAsia="lt-LT"/>
        </w:rPr>
      </w:pPr>
      <w:r w:rsidRPr="00123DE2">
        <w:rPr>
          <w:lang w:eastAsia="lt-LT"/>
        </w:rPr>
        <w:t>Rekonstruojamam ar kapitališk</w:t>
      </w:r>
      <w:r>
        <w:rPr>
          <w:lang w:eastAsia="lt-LT"/>
        </w:rPr>
        <w:t>ai remontuojamam statiniui</w:t>
      </w:r>
      <w:r w:rsidRPr="00123DE2">
        <w:rPr>
          <w:lang w:eastAsia="lt-LT"/>
        </w:rPr>
        <w:t xml:space="preserve"> </w:t>
      </w:r>
      <w:r>
        <w:rPr>
          <w:lang w:eastAsia="lt-LT"/>
        </w:rPr>
        <w:t>(</w:t>
      </w:r>
      <w:r w:rsidRPr="00123DE2">
        <w:rPr>
          <w:lang w:eastAsia="lt-LT"/>
        </w:rPr>
        <w:t>statinio ar jo dalies paskirties keitimo atveju</w:t>
      </w:r>
      <w:r>
        <w:rPr>
          <w:lang w:eastAsia="lt-LT"/>
        </w:rPr>
        <w:t>)</w:t>
      </w:r>
      <w:r w:rsidRPr="00123DE2">
        <w:rPr>
          <w:lang w:eastAsia="lt-LT"/>
        </w:rPr>
        <w:t xml:space="preserve"> privalomas automobilių stovėjimo vietų skaičius perskaičiuojamas tik tam plotui, kurio funkcinė paskirtis yra pakeista.</w:t>
      </w:r>
    </w:p>
    <w:p w:rsidR="006A5BC6" w:rsidRDefault="006A5BC6" w:rsidP="006A5BC6">
      <w:pPr>
        <w:jc w:val="center"/>
        <w:outlineLvl w:val="0"/>
        <w:rPr>
          <w:b/>
          <w:lang w:eastAsia="lt-LT"/>
        </w:rPr>
      </w:pPr>
    </w:p>
    <w:p w:rsidR="006A5BC6" w:rsidRPr="00123DE2" w:rsidRDefault="006A5BC6" w:rsidP="006A5BC6">
      <w:pPr>
        <w:jc w:val="center"/>
        <w:outlineLvl w:val="0"/>
        <w:rPr>
          <w:b/>
          <w:bCs/>
          <w:lang w:eastAsia="lt-LT"/>
        </w:rPr>
      </w:pPr>
      <w:r w:rsidRPr="00123DE2">
        <w:rPr>
          <w:b/>
          <w:lang w:eastAsia="lt-LT"/>
        </w:rPr>
        <w:t>III</w:t>
      </w:r>
      <w:r w:rsidRPr="00123DE2">
        <w:rPr>
          <w:b/>
          <w:bCs/>
          <w:lang w:eastAsia="lt-LT"/>
        </w:rPr>
        <w:t xml:space="preserve"> SKYRIUS</w:t>
      </w:r>
    </w:p>
    <w:p w:rsidR="006A5BC6" w:rsidRPr="00123DE2" w:rsidRDefault="006A5BC6" w:rsidP="006A5BC6">
      <w:pPr>
        <w:tabs>
          <w:tab w:val="left" w:pos="993"/>
          <w:tab w:val="left" w:pos="1134"/>
        </w:tabs>
        <w:jc w:val="center"/>
        <w:outlineLvl w:val="0"/>
        <w:rPr>
          <w:b/>
          <w:lang w:eastAsia="lt-LT"/>
        </w:rPr>
      </w:pPr>
      <w:r w:rsidRPr="00123DE2">
        <w:rPr>
          <w:b/>
          <w:lang w:eastAsia="lt-LT"/>
        </w:rPr>
        <w:t>AUTOMOBILIŲ STOVĖJIMO VIETŲ MAŽINIMAS</w:t>
      </w:r>
    </w:p>
    <w:p w:rsidR="006A5BC6" w:rsidRPr="00123DE2" w:rsidRDefault="006A5BC6" w:rsidP="006A5BC6">
      <w:pPr>
        <w:pStyle w:val="Sraopastraipa"/>
        <w:tabs>
          <w:tab w:val="left" w:pos="993"/>
          <w:tab w:val="left" w:pos="1134"/>
        </w:tabs>
        <w:spacing w:after="0" w:line="240" w:lineRule="auto"/>
        <w:ind w:left="851" w:firstLine="709"/>
        <w:jc w:val="both"/>
        <w:rPr>
          <w:rFonts w:ascii="Times New Roman" w:hAnsi="Times New Roman"/>
          <w:sz w:val="24"/>
          <w:szCs w:val="24"/>
          <w:lang w:eastAsia="lt-LT"/>
        </w:rPr>
      </w:pPr>
    </w:p>
    <w:p w:rsidR="006A5BC6" w:rsidRPr="00123DE2" w:rsidRDefault="006A5BC6" w:rsidP="006A5BC6">
      <w:pPr>
        <w:pStyle w:val="Sraopastraipa"/>
        <w:numPr>
          <w:ilvl w:val="0"/>
          <w:numId w:val="1"/>
        </w:numPr>
        <w:tabs>
          <w:tab w:val="left" w:pos="993"/>
          <w:tab w:val="left" w:pos="1134"/>
          <w:tab w:val="left" w:pos="1276"/>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Vadovaujantis statybos techninio reglamento [1] 108.1 papunkčiu, miesto teritorija suskirstoma į 4</w:t>
      </w:r>
      <w:r>
        <w:rPr>
          <w:rFonts w:ascii="Times New Roman" w:hAnsi="Times New Roman"/>
          <w:sz w:val="24"/>
          <w:szCs w:val="24"/>
          <w:lang w:eastAsia="lt-LT"/>
        </w:rPr>
        <w:t xml:space="preserve"> zonas</w:t>
      </w:r>
      <w:r w:rsidRPr="00123DE2">
        <w:rPr>
          <w:rFonts w:ascii="Times New Roman" w:hAnsi="Times New Roman"/>
          <w:sz w:val="24"/>
          <w:szCs w:val="24"/>
          <w:lang w:eastAsia="lt-LT"/>
        </w:rPr>
        <w:t xml:space="preserve"> pagal grafinį priedą „Automobilių stovėjimo vietų koeficientų zonos“ (priedas) ir kiekvienai zonai nustatomi šie automobilių stovėjimo vietų koeficientai:</w:t>
      </w:r>
    </w:p>
    <w:p w:rsidR="006A5BC6" w:rsidRPr="00123DE2" w:rsidRDefault="006A5BC6" w:rsidP="006A5BC6">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8</w:t>
      </w:r>
      <w:r w:rsidRPr="00123DE2">
        <w:rPr>
          <w:rFonts w:ascii="Times New Roman" w:hAnsi="Times New Roman"/>
          <w:sz w:val="24"/>
          <w:szCs w:val="24"/>
          <w:lang w:eastAsia="lt-LT"/>
        </w:rPr>
        <w:t>.1. 1 zona (senamiestis) – 0,25;</w:t>
      </w:r>
    </w:p>
    <w:p w:rsidR="006A5BC6" w:rsidRPr="00123DE2" w:rsidRDefault="006A5BC6" w:rsidP="006A5BC6">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8</w:t>
      </w:r>
      <w:r w:rsidRPr="00123DE2">
        <w:rPr>
          <w:rFonts w:ascii="Times New Roman" w:hAnsi="Times New Roman"/>
          <w:sz w:val="24"/>
          <w:szCs w:val="24"/>
          <w:lang w:eastAsia="lt-LT"/>
        </w:rPr>
        <w:t>.2. 2 zona (centrinė mieto dalis) – 0,50;</w:t>
      </w:r>
    </w:p>
    <w:p w:rsidR="006A5BC6" w:rsidRPr="00123DE2" w:rsidRDefault="006A5BC6" w:rsidP="006A5BC6">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8</w:t>
      </w:r>
      <w:r w:rsidRPr="00123DE2">
        <w:rPr>
          <w:rFonts w:ascii="Times New Roman" w:hAnsi="Times New Roman"/>
          <w:sz w:val="24"/>
          <w:szCs w:val="24"/>
          <w:lang w:eastAsia="lt-LT"/>
        </w:rPr>
        <w:t>.3. 3 zona (Smiltynė) – 0,75;</w:t>
      </w:r>
    </w:p>
    <w:p w:rsidR="006A5BC6" w:rsidRDefault="006A5BC6" w:rsidP="006A5BC6">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lastRenderedPageBreak/>
        <w:t>8</w:t>
      </w:r>
      <w:r w:rsidRPr="00123DE2">
        <w:rPr>
          <w:rFonts w:ascii="Times New Roman" w:hAnsi="Times New Roman"/>
          <w:sz w:val="24"/>
          <w:szCs w:val="24"/>
          <w:lang w:eastAsia="lt-LT"/>
        </w:rPr>
        <w:t>.4. 4 zona (likusi miesto teritorija) – 1,0.</w:t>
      </w:r>
    </w:p>
    <w:p w:rsidR="006A5BC6" w:rsidRPr="00123DE2" w:rsidRDefault="006A5BC6" w:rsidP="006A5BC6">
      <w:pPr>
        <w:pStyle w:val="Sraopastraipa"/>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 xml:space="preserve">9. </w:t>
      </w:r>
      <w:r w:rsidRPr="00123DE2">
        <w:rPr>
          <w:rFonts w:ascii="Times New Roman" w:hAnsi="Times New Roman"/>
          <w:sz w:val="24"/>
          <w:szCs w:val="24"/>
          <w:lang w:eastAsia="lt-LT"/>
        </w:rPr>
        <w:t xml:space="preserve">Vadovaujantis statybos techninio reglamento </w:t>
      </w:r>
      <w:r>
        <w:rPr>
          <w:rFonts w:ascii="Times New Roman" w:hAnsi="Times New Roman"/>
          <w:sz w:val="24"/>
          <w:szCs w:val="24"/>
          <w:lang w:eastAsia="lt-LT"/>
        </w:rPr>
        <w:t>[1] 108.2</w:t>
      </w:r>
      <w:r w:rsidRPr="00123DE2">
        <w:rPr>
          <w:rFonts w:ascii="Times New Roman" w:hAnsi="Times New Roman"/>
          <w:sz w:val="24"/>
          <w:szCs w:val="24"/>
          <w:lang w:eastAsia="lt-LT"/>
        </w:rPr>
        <w:t xml:space="preserve"> papunkčiu</w:t>
      </w:r>
      <w:r>
        <w:rPr>
          <w:rFonts w:ascii="Times New Roman" w:hAnsi="Times New Roman"/>
          <w:sz w:val="24"/>
          <w:szCs w:val="24"/>
          <w:lang w:eastAsia="lt-LT"/>
        </w:rPr>
        <w:t xml:space="preserve"> 2 ir 3 zonose nustatytą automobilių stovėjimo vietų skaičių galima mažinti ne didesne nei 0,25 reikšme, už neįrengtas vietas mokant kompensaciją.</w:t>
      </w:r>
    </w:p>
    <w:p w:rsidR="006A5BC6" w:rsidRPr="00F17398" w:rsidRDefault="006A5BC6" w:rsidP="006A5BC6">
      <w:pPr>
        <w:tabs>
          <w:tab w:val="left" w:pos="993"/>
        </w:tabs>
        <w:ind w:firstLine="709"/>
        <w:jc w:val="both"/>
        <w:rPr>
          <w:lang w:eastAsia="lt-LT"/>
        </w:rPr>
      </w:pPr>
      <w:bookmarkStart w:id="5" w:name="_Ref336291674"/>
      <w:r>
        <w:rPr>
          <w:lang w:eastAsia="lt-LT"/>
        </w:rPr>
        <w:t>10. </w:t>
      </w:r>
      <w:r w:rsidRPr="00F17398">
        <w:rPr>
          <w:lang w:eastAsia="lt-LT"/>
        </w:rPr>
        <w:t>Kompensacijos dydis už vieną automobilių stovėjimo vietą, dėl kurios kompensavimo sutartis sudaryta iki Aprašo įsigaliojimo, yra 700,00 Eur, nuo Aprašo įsigaliojimo kompensacijos dydis yra 1500,00 Eur.</w:t>
      </w:r>
    </w:p>
    <w:bookmarkEnd w:id="5"/>
    <w:p w:rsidR="006A5BC6" w:rsidRPr="00123DE2" w:rsidRDefault="006A5BC6" w:rsidP="006A5BC6">
      <w:pPr>
        <w:pStyle w:val="Sraopastraipa"/>
        <w:tabs>
          <w:tab w:val="left" w:pos="1134"/>
        </w:tabs>
        <w:spacing w:after="0" w:line="240" w:lineRule="auto"/>
        <w:ind w:left="709"/>
        <w:jc w:val="both"/>
        <w:rPr>
          <w:rFonts w:ascii="Times New Roman" w:hAnsi="Times New Roman"/>
          <w:sz w:val="24"/>
          <w:szCs w:val="24"/>
          <w:lang w:eastAsia="lt-LT"/>
        </w:rPr>
      </w:pPr>
    </w:p>
    <w:p w:rsidR="006A5BC6" w:rsidRPr="00123DE2" w:rsidRDefault="006A5BC6" w:rsidP="006A5BC6">
      <w:pPr>
        <w:jc w:val="center"/>
        <w:outlineLvl w:val="0"/>
        <w:rPr>
          <w:b/>
          <w:bCs/>
          <w:lang w:eastAsia="lt-LT"/>
        </w:rPr>
      </w:pPr>
      <w:r w:rsidRPr="00123DE2">
        <w:rPr>
          <w:b/>
          <w:bCs/>
          <w:lang w:eastAsia="lt-LT"/>
        </w:rPr>
        <w:t>IV SKYRIUS</w:t>
      </w:r>
    </w:p>
    <w:p w:rsidR="006A5BC6" w:rsidRPr="00123DE2" w:rsidRDefault="006A5BC6" w:rsidP="006A5BC6">
      <w:pPr>
        <w:pStyle w:val="Sraopastraipa"/>
        <w:tabs>
          <w:tab w:val="left" w:pos="1134"/>
        </w:tabs>
        <w:spacing w:after="0" w:line="240" w:lineRule="auto"/>
        <w:ind w:left="0"/>
        <w:jc w:val="center"/>
        <w:outlineLvl w:val="0"/>
        <w:rPr>
          <w:rFonts w:ascii="Times New Roman" w:hAnsi="Times New Roman"/>
          <w:b/>
          <w:bCs/>
          <w:sz w:val="24"/>
          <w:szCs w:val="24"/>
          <w:lang w:eastAsia="lt-LT"/>
        </w:rPr>
      </w:pPr>
      <w:r w:rsidRPr="00123DE2">
        <w:rPr>
          <w:rFonts w:ascii="Times New Roman" w:hAnsi="Times New Roman"/>
          <w:b/>
          <w:bCs/>
          <w:sz w:val="24"/>
          <w:szCs w:val="24"/>
          <w:lang w:eastAsia="lt-LT"/>
        </w:rPr>
        <w:t xml:space="preserve">DOKUMENTŲ TVARKYMAS IR SUTARTIES SUDARYMAS </w:t>
      </w:r>
    </w:p>
    <w:p w:rsidR="006A5BC6" w:rsidRPr="00F17398" w:rsidRDefault="006A5BC6" w:rsidP="006A5BC6">
      <w:pPr>
        <w:pStyle w:val="Sraopastraipa"/>
        <w:tabs>
          <w:tab w:val="left" w:pos="1134"/>
        </w:tabs>
        <w:spacing w:after="0" w:line="240" w:lineRule="auto"/>
        <w:ind w:left="0" w:firstLine="709"/>
        <w:jc w:val="center"/>
        <w:outlineLvl w:val="0"/>
        <w:rPr>
          <w:rFonts w:ascii="Times New Roman" w:hAnsi="Times New Roman"/>
          <w:b/>
          <w:bCs/>
          <w:sz w:val="24"/>
          <w:szCs w:val="24"/>
          <w:lang w:eastAsia="lt-LT"/>
        </w:rPr>
      </w:pPr>
    </w:p>
    <w:p w:rsidR="006A5BC6" w:rsidRPr="00F17398" w:rsidRDefault="006A5BC6" w:rsidP="006A5BC6">
      <w:pPr>
        <w:pStyle w:val="Sraopastraipa"/>
        <w:numPr>
          <w:ilvl w:val="0"/>
          <w:numId w:val="2"/>
        </w:numPr>
        <w:tabs>
          <w:tab w:val="left" w:pos="1134"/>
        </w:tabs>
        <w:spacing w:after="0" w:line="240" w:lineRule="auto"/>
        <w:ind w:left="0" w:firstLine="709"/>
        <w:jc w:val="both"/>
        <w:rPr>
          <w:rFonts w:ascii="Times New Roman" w:hAnsi="Times New Roman"/>
          <w:sz w:val="24"/>
          <w:szCs w:val="24"/>
          <w:lang w:eastAsia="lt-LT"/>
        </w:rPr>
      </w:pPr>
      <w:r w:rsidRPr="00F17398">
        <w:rPr>
          <w:rFonts w:ascii="Times New Roman" w:hAnsi="Times New Roman"/>
          <w:sz w:val="24"/>
          <w:szCs w:val="24"/>
          <w:lang w:eastAsia="lt-LT"/>
        </w:rPr>
        <w:t>Klaipėdos miesto savivaldybės (toliau – Savivaldybė) administracijos Urbanistinės plėtros departamentas, išduodamas planavimo sąlygas teritorijų planavimo dokumentams rengti ir specialiuosius architektūros reikalavimus sklypo architektūrai formuoti, nurodo Savivaldybės tarybos sprendimą, kuriuo buvo patvirtintas šis Aprašas.</w:t>
      </w:r>
    </w:p>
    <w:p w:rsidR="006A5BC6" w:rsidRPr="00F17398" w:rsidRDefault="006A5BC6" w:rsidP="006A5BC6">
      <w:pPr>
        <w:pStyle w:val="Sraopastraipa"/>
        <w:numPr>
          <w:ilvl w:val="0"/>
          <w:numId w:val="2"/>
        </w:numPr>
        <w:tabs>
          <w:tab w:val="left" w:pos="1134"/>
        </w:tabs>
        <w:spacing w:after="0" w:line="240" w:lineRule="auto"/>
        <w:ind w:left="0" w:firstLine="709"/>
        <w:jc w:val="both"/>
        <w:rPr>
          <w:rFonts w:ascii="Times New Roman" w:hAnsi="Times New Roman"/>
          <w:bCs/>
          <w:sz w:val="24"/>
          <w:szCs w:val="24"/>
          <w:lang w:eastAsia="lt-LT"/>
        </w:rPr>
      </w:pPr>
      <w:r w:rsidRPr="00F17398">
        <w:rPr>
          <w:rFonts w:ascii="Times New Roman" w:hAnsi="Times New Roman"/>
          <w:sz w:val="24"/>
          <w:szCs w:val="24"/>
          <w:lang w:eastAsia="lt-LT"/>
        </w:rPr>
        <w:t xml:space="preserve">Statytojas, nustatęs, kad projektuojamam naujam statiniui, rekonstruojamam ar kapitališkai remontuojamam statiniui (statinio ar jo dalies paskirties keitimo atveju) dėl fizinių sąlygų nebuvimo ar dėl ekonominių priežasčių trūksta reikalingų automobilių stovėjimo vietų, sudaro su Savivaldybe sutartį pagal Savivaldybės tarybos sprendimu patvirtintą tipinę sutartį. </w:t>
      </w:r>
    </w:p>
    <w:p w:rsidR="006A5BC6" w:rsidRPr="00F17398" w:rsidRDefault="006A5BC6" w:rsidP="006A5BC6">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lang w:eastAsia="lt-LT"/>
        </w:rPr>
      </w:pPr>
      <w:r w:rsidRPr="00F17398">
        <w:rPr>
          <w:rFonts w:ascii="Times New Roman" w:hAnsi="Times New Roman"/>
          <w:sz w:val="24"/>
          <w:szCs w:val="24"/>
          <w:lang w:eastAsia="lt-LT"/>
        </w:rPr>
        <w:t>Skirta kompensacija nesuteikia statytojui nuosavybės ar naudojimo, valdymo teisių į įrengtą bendrojo naudojimo automobilių stovėjimo aikštelę Klaipėdos mieste. Statytojas gali naudotis įrengta bendrojo naudojimo automobilių stovėjimo aikštele bendra tvarka, sumokėdamas aikštelę eksploatuojančiai organizacijai už automobilių statymą. Statytojas, sumokėjęs kompensaciją, neįgyja teisės gauti gyventojo leidimo automobilių valdytojams lengvatinėmis sąlygomis.</w:t>
      </w:r>
    </w:p>
    <w:p w:rsidR="006A5BC6" w:rsidRPr="00F17398" w:rsidRDefault="006A5BC6" w:rsidP="006A5BC6">
      <w:pPr>
        <w:pStyle w:val="Sraopastraipa"/>
        <w:numPr>
          <w:ilvl w:val="0"/>
          <w:numId w:val="2"/>
        </w:numPr>
        <w:tabs>
          <w:tab w:val="left" w:pos="1134"/>
        </w:tabs>
        <w:spacing w:after="0" w:line="240" w:lineRule="auto"/>
        <w:ind w:left="0" w:firstLine="709"/>
        <w:jc w:val="both"/>
        <w:rPr>
          <w:rFonts w:ascii="Times New Roman" w:hAnsi="Times New Roman"/>
          <w:sz w:val="24"/>
          <w:szCs w:val="24"/>
          <w:lang w:eastAsia="lt-LT"/>
        </w:rPr>
      </w:pPr>
      <w:r w:rsidRPr="00F17398">
        <w:rPr>
          <w:rFonts w:ascii="Times New Roman" w:hAnsi="Times New Roman"/>
          <w:sz w:val="24"/>
          <w:szCs w:val="24"/>
        </w:rPr>
        <w:t>Kompensacija už neįrengtas automobilių stovėjimo vietas turi būti sumokėta iki prašymo gauti statybą leidžiantį dokumentą pateikimo dienos.</w:t>
      </w:r>
    </w:p>
    <w:p w:rsidR="006A5BC6" w:rsidRPr="00123DE2" w:rsidRDefault="006A5BC6" w:rsidP="006A5BC6">
      <w:pPr>
        <w:pStyle w:val="Sraopastraipa"/>
        <w:tabs>
          <w:tab w:val="left" w:pos="1134"/>
        </w:tabs>
        <w:spacing w:after="0" w:line="240" w:lineRule="auto"/>
        <w:ind w:left="0" w:firstLine="709"/>
        <w:jc w:val="both"/>
        <w:rPr>
          <w:rFonts w:ascii="Times New Roman" w:hAnsi="Times New Roman"/>
          <w:sz w:val="24"/>
          <w:szCs w:val="24"/>
          <w:lang w:eastAsia="lt-LT"/>
        </w:rPr>
      </w:pPr>
    </w:p>
    <w:p w:rsidR="006A5BC6" w:rsidRPr="00123DE2" w:rsidRDefault="006A5BC6" w:rsidP="006A5BC6">
      <w:pPr>
        <w:jc w:val="center"/>
        <w:outlineLvl w:val="0"/>
        <w:rPr>
          <w:b/>
          <w:bCs/>
          <w:lang w:eastAsia="lt-LT"/>
        </w:rPr>
      </w:pPr>
      <w:r w:rsidRPr="00123DE2">
        <w:rPr>
          <w:b/>
          <w:bCs/>
          <w:lang w:eastAsia="lt-LT"/>
        </w:rPr>
        <w:t>V SKYRIUS</w:t>
      </w:r>
    </w:p>
    <w:p w:rsidR="006A5BC6" w:rsidRPr="00123DE2" w:rsidRDefault="006A5BC6" w:rsidP="006A5BC6">
      <w:pPr>
        <w:pStyle w:val="Sraopastraipa"/>
        <w:tabs>
          <w:tab w:val="left" w:pos="1134"/>
        </w:tabs>
        <w:spacing w:after="0" w:line="240" w:lineRule="auto"/>
        <w:ind w:left="0"/>
        <w:jc w:val="center"/>
        <w:outlineLvl w:val="0"/>
        <w:rPr>
          <w:rFonts w:ascii="Times New Roman" w:hAnsi="Times New Roman"/>
          <w:sz w:val="24"/>
          <w:szCs w:val="24"/>
          <w:lang w:eastAsia="lt-LT"/>
        </w:rPr>
      </w:pPr>
      <w:r w:rsidRPr="00123DE2">
        <w:rPr>
          <w:rFonts w:ascii="Times New Roman" w:hAnsi="Times New Roman"/>
          <w:b/>
          <w:bCs/>
          <w:sz w:val="24"/>
          <w:szCs w:val="24"/>
          <w:lang w:eastAsia="lt-LT"/>
        </w:rPr>
        <w:t>KOMPENSACIJOS PANAUDOJIMAS</w:t>
      </w:r>
    </w:p>
    <w:p w:rsidR="006A5BC6" w:rsidRPr="00123DE2" w:rsidRDefault="006A5BC6" w:rsidP="006A5BC6">
      <w:pPr>
        <w:pStyle w:val="Sraopastraipa"/>
        <w:tabs>
          <w:tab w:val="left" w:pos="1134"/>
        </w:tabs>
        <w:spacing w:after="0" w:line="240" w:lineRule="auto"/>
        <w:ind w:left="0" w:firstLine="709"/>
        <w:jc w:val="both"/>
        <w:rPr>
          <w:rFonts w:ascii="Times New Roman" w:hAnsi="Times New Roman"/>
          <w:sz w:val="24"/>
          <w:szCs w:val="24"/>
          <w:lang w:eastAsia="lt-LT"/>
        </w:rPr>
      </w:pPr>
    </w:p>
    <w:p w:rsidR="006A5BC6" w:rsidRPr="00123DE2" w:rsidRDefault="006A5BC6" w:rsidP="006A5BC6">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rPr>
      </w:pPr>
      <w:r w:rsidRPr="00123DE2">
        <w:rPr>
          <w:rFonts w:ascii="Times New Roman" w:hAnsi="Times New Roman"/>
          <w:sz w:val="24"/>
          <w:szCs w:val="24"/>
          <w:lang w:eastAsia="lt-LT"/>
        </w:rPr>
        <w:t xml:space="preserve">Kompensacija už neįrengtas automobilių stovėjimo vietas kaupiama ir apskaitoma atskiroje Savivaldybės administracijos Investicijų ir ekonomikos departamento sąskaitoje. Iš šios sąskaitos surinktos lėšos pervedamos į Savivaldybės biudžetą iki planuojamų metų sausio 10 dienos. Kompensacijos lėšų panaudojimas planuojamas ir apskaitomas Savivaldybės biudžete. </w:t>
      </w:r>
    </w:p>
    <w:p w:rsidR="006A5BC6" w:rsidRPr="00123DE2" w:rsidRDefault="006A5BC6" w:rsidP="006A5BC6">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 xml:space="preserve">Kompensacijos lėšos naudojamos tik bendrojo naudojimo automobilių stovėjimo aikštelėms Klaipėdos miesto automobilių statymo poreikiams tenkinti pagal Klaipėdos miesto savivaldybės administracijos metų veiklos plano Susisiekimo sistemos priežiūros ir plėtros programą Nr. 6. </w:t>
      </w:r>
    </w:p>
    <w:p w:rsidR="006A5BC6" w:rsidRPr="00123DE2" w:rsidRDefault="006A5BC6" w:rsidP="006A5BC6">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Einamaisiais metais nepanaudotos kompensacijos lėšos naudojamos kartu su kitais finansiniais metais gautomis lėšomis.</w:t>
      </w:r>
      <w:r w:rsidR="00607B94">
        <w:rPr>
          <w:rFonts w:ascii="Times New Roman" w:hAnsi="Times New Roman"/>
          <w:sz w:val="24"/>
          <w:szCs w:val="24"/>
          <w:lang w:eastAsia="lt-LT"/>
        </w:rPr>
        <w:t xml:space="preserve"> </w:t>
      </w:r>
      <w:r w:rsidR="00607B94" w:rsidRPr="00607B94">
        <w:rPr>
          <w:rFonts w:ascii="Times New Roman" w:hAnsi="Times New Roman"/>
          <w:sz w:val="24"/>
          <w:szCs w:val="24"/>
          <w:lang w:eastAsia="lt-LT"/>
        </w:rPr>
        <w:t>Lėšos privalo būti naudojamos 16 punkte numatytam tikslui.</w:t>
      </w:r>
    </w:p>
    <w:p w:rsidR="006A5BC6" w:rsidRPr="00123DE2" w:rsidRDefault="006A5BC6" w:rsidP="006A5BC6">
      <w:pPr>
        <w:jc w:val="center"/>
      </w:pPr>
    </w:p>
    <w:p w:rsidR="006A5BC6" w:rsidRPr="00123DE2" w:rsidRDefault="006A5BC6" w:rsidP="006A5BC6">
      <w:pPr>
        <w:jc w:val="center"/>
      </w:pPr>
      <w:r w:rsidRPr="00123DE2">
        <w:t>__________________________</w:t>
      </w:r>
    </w:p>
    <w:p w:rsidR="00D57F27" w:rsidRPr="00832CC9" w:rsidRDefault="00D57F27" w:rsidP="006A5BC6">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11D9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120FF"/>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607B94"/>
    <w:rsid w:val="006A5BC6"/>
    <w:rsid w:val="00832CC9"/>
    <w:rsid w:val="008354D5"/>
    <w:rsid w:val="008E6E82"/>
    <w:rsid w:val="00996C61"/>
    <w:rsid w:val="00AF7D08"/>
    <w:rsid w:val="00B750B6"/>
    <w:rsid w:val="00CA4D3B"/>
    <w:rsid w:val="00D42B72"/>
    <w:rsid w:val="00D57F27"/>
    <w:rsid w:val="00E33871"/>
    <w:rsid w:val="00E56A73"/>
    <w:rsid w:val="00EC21AD"/>
    <w:rsid w:val="00F11D92"/>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2EB1"/>
  <w15:docId w15:val="{EF785B07-FB11-4130-BACB-1911BDE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A5BC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3436</Words>
  <Characters>1960</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2019-04-16T12:25:00Z</dcterms:created>
  <dcterms:modified xsi:type="dcterms:W3CDTF">2019-04-16T12:25:00Z</dcterms:modified>
</cp:coreProperties>
</file>