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6A" w:rsidRPr="00AF296A" w:rsidRDefault="00AF296A" w:rsidP="00AF296A">
      <w:pPr>
        <w:shd w:val="clear" w:color="auto" w:fill="FFFFFF"/>
        <w:spacing w:before="255" w:after="0" w:line="240" w:lineRule="auto"/>
        <w:jc w:val="center"/>
        <w:rPr>
          <w:rFonts w:ascii="Arial" w:eastAsia="Times New Roman" w:hAnsi="Arial" w:cs="Arial"/>
          <w:color w:val="6F6F6F"/>
          <w:sz w:val="20"/>
          <w:szCs w:val="20"/>
          <w:lang w:eastAsia="lt-LT"/>
        </w:rPr>
      </w:pPr>
      <w:r w:rsidRPr="00AF296A">
        <w:rPr>
          <w:rFonts w:ascii="Times New Roman" w:eastAsia="Times New Roman" w:hAnsi="Times New Roman" w:cs="Times New Roman"/>
          <w:b/>
          <w:bCs/>
          <w:color w:val="000000"/>
          <w:sz w:val="21"/>
          <w:szCs w:val="21"/>
          <w:shd w:val="clear" w:color="auto" w:fill="FFFFFF"/>
          <w:lang w:eastAsia="lt-LT"/>
        </w:rPr>
        <w:t>Sprendimas</w:t>
      </w:r>
    </w:p>
    <w:p w:rsidR="00AF296A" w:rsidRDefault="00AF296A" w:rsidP="00AF296A">
      <w:pPr>
        <w:shd w:val="clear" w:color="auto" w:fill="FFFFFF"/>
        <w:spacing w:before="255" w:after="0" w:line="240" w:lineRule="auto"/>
        <w:rPr>
          <w:rFonts w:ascii="Times New Roman" w:eastAsia="Times New Roman" w:hAnsi="Times New Roman" w:cs="Times New Roman"/>
          <w:color w:val="000000"/>
          <w:sz w:val="24"/>
          <w:szCs w:val="24"/>
          <w:shd w:val="clear" w:color="auto" w:fill="FFFFFF"/>
          <w:lang w:eastAsia="lt-LT"/>
        </w:rPr>
      </w:pPr>
      <w:r w:rsidRPr="00AF296A">
        <w:rPr>
          <w:rFonts w:ascii="Times New Roman" w:eastAsia="Times New Roman" w:hAnsi="Times New Roman" w:cs="Times New Roman"/>
          <w:color w:val="000000"/>
          <w:sz w:val="24"/>
          <w:szCs w:val="24"/>
          <w:lang w:eastAsia="lt-LT"/>
        </w:rPr>
        <w:t>Dėl Klaipėdos universitetinės ligoninės pastato Liepojos g. 39, Klaipėda, dalies D rekonstravimo darbų su darbo projekto parengimu </w:t>
      </w:r>
      <w:r w:rsidRPr="00AF296A">
        <w:rPr>
          <w:rFonts w:ascii="Times New Roman" w:eastAsia="Times New Roman" w:hAnsi="Times New Roman" w:cs="Times New Roman"/>
          <w:color w:val="000000"/>
          <w:sz w:val="24"/>
          <w:szCs w:val="24"/>
          <w:shd w:val="clear" w:color="auto" w:fill="FFFFFF"/>
          <w:lang w:eastAsia="lt-LT"/>
        </w:rPr>
        <w:t>pirkimo</w:t>
      </w:r>
      <w:r w:rsidRPr="00AF296A">
        <w:rPr>
          <w:rFonts w:ascii="Times New Roman" w:eastAsia="Times New Roman" w:hAnsi="Times New Roman" w:cs="Times New Roman"/>
          <w:color w:val="000000"/>
          <w:sz w:val="24"/>
          <w:szCs w:val="24"/>
          <w:lang w:eastAsia="lt-LT"/>
        </w:rPr>
        <w:t xml:space="preserve"> supaprastinto atviro konkurso </w:t>
      </w:r>
      <w:proofErr w:type="spellStart"/>
      <w:r w:rsidRPr="00AF296A">
        <w:rPr>
          <w:rFonts w:ascii="Times New Roman" w:eastAsia="Times New Roman" w:hAnsi="Times New Roman" w:cs="Times New Roman"/>
          <w:color w:val="000000"/>
          <w:sz w:val="24"/>
          <w:szCs w:val="24"/>
          <w:lang w:eastAsia="lt-LT"/>
        </w:rPr>
        <w:t>būdu</w:t>
      </w:r>
      <w:r w:rsidRPr="00AF296A">
        <w:rPr>
          <w:rFonts w:ascii="Times New Roman" w:eastAsia="Times New Roman" w:hAnsi="Times New Roman" w:cs="Times New Roman"/>
          <w:color w:val="000000"/>
          <w:sz w:val="24"/>
          <w:szCs w:val="24"/>
          <w:shd w:val="clear" w:color="auto" w:fill="FFFFFF"/>
          <w:lang w:eastAsia="lt-LT"/>
        </w:rPr>
        <w:t>nevykdymo</w:t>
      </w:r>
      <w:proofErr w:type="spellEnd"/>
      <w:r w:rsidRPr="00AF296A">
        <w:rPr>
          <w:rFonts w:ascii="Times New Roman" w:eastAsia="Times New Roman" w:hAnsi="Times New Roman" w:cs="Times New Roman"/>
          <w:color w:val="000000"/>
          <w:sz w:val="24"/>
          <w:szCs w:val="24"/>
          <w:shd w:val="clear" w:color="auto" w:fill="FFFFFF"/>
          <w:lang w:eastAsia="lt-LT"/>
        </w:rPr>
        <w:t xml:space="preserve"> naudojantis centrinės perkančiosios organizacijos paslaugomis</w:t>
      </w:r>
    </w:p>
    <w:p w:rsidR="00A12A6A" w:rsidRPr="00AF296A" w:rsidRDefault="00A12A6A" w:rsidP="00A12A6A">
      <w:pPr>
        <w:shd w:val="clear" w:color="auto" w:fill="FFFFFF"/>
        <w:spacing w:after="0" w:line="240" w:lineRule="auto"/>
        <w:rPr>
          <w:rFonts w:ascii="Arial" w:eastAsia="Times New Roman" w:hAnsi="Arial" w:cs="Arial"/>
          <w:color w:val="6F6F6F"/>
          <w:sz w:val="20"/>
          <w:szCs w:val="20"/>
          <w:lang w:eastAsia="lt-LT"/>
        </w:rPr>
      </w:pPr>
    </w:p>
    <w:tbl>
      <w:tblPr>
        <w:tblW w:w="9778" w:type="dxa"/>
        <w:tblInd w:w="135" w:type="dxa"/>
        <w:shd w:val="clear" w:color="auto" w:fill="FFFFFF"/>
        <w:tblCellMar>
          <w:top w:w="15" w:type="dxa"/>
          <w:left w:w="15" w:type="dxa"/>
          <w:bottom w:w="15" w:type="dxa"/>
          <w:right w:w="15" w:type="dxa"/>
        </w:tblCellMar>
        <w:tblLook w:val="04A0" w:firstRow="1" w:lastRow="0" w:firstColumn="1" w:lastColumn="0" w:noHBand="0" w:noVBand="1"/>
      </w:tblPr>
      <w:tblGrid>
        <w:gridCol w:w="724"/>
        <w:gridCol w:w="3578"/>
        <w:gridCol w:w="5476"/>
      </w:tblGrid>
      <w:tr w:rsidR="00AF296A" w:rsidRPr="00AF296A" w:rsidTr="00A12A6A">
        <w:trPr>
          <w:trHeight w:val="657"/>
        </w:trPr>
        <w:tc>
          <w:tcPr>
            <w:tcW w:w="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96A" w:rsidRPr="00AF296A" w:rsidRDefault="00AF296A" w:rsidP="00AF296A">
            <w:pPr>
              <w:spacing w:after="0" w:line="240" w:lineRule="auto"/>
              <w:rPr>
                <w:rFonts w:ascii="Arial" w:eastAsia="Times New Roman" w:hAnsi="Arial" w:cs="Arial"/>
                <w:color w:val="6F6F6F"/>
                <w:sz w:val="20"/>
                <w:szCs w:val="20"/>
                <w:lang w:eastAsia="lt-LT"/>
              </w:rPr>
            </w:pPr>
            <w:r w:rsidRPr="00AF296A">
              <w:rPr>
                <w:rFonts w:ascii="Arial" w:eastAsia="Times New Roman" w:hAnsi="Arial" w:cs="Arial"/>
                <w:color w:val="000000"/>
                <w:sz w:val="24"/>
                <w:szCs w:val="24"/>
                <w:lang w:eastAsia="lt-LT"/>
              </w:rPr>
              <w:t> </w:t>
            </w:r>
            <w:r w:rsidRPr="00AF296A">
              <w:rPr>
                <w:rFonts w:ascii="Arial" w:eastAsia="Times New Roman" w:hAnsi="Arial" w:cs="Arial"/>
                <w:color w:val="6F6F6F"/>
                <w:sz w:val="20"/>
                <w:szCs w:val="20"/>
                <w:lang w:eastAsia="lt-LT"/>
              </w:rPr>
              <w:t> </w:t>
            </w:r>
          </w:p>
        </w:tc>
        <w:tc>
          <w:tcPr>
            <w:tcW w:w="35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96A" w:rsidRPr="00AF296A" w:rsidRDefault="00AF296A" w:rsidP="00AF296A">
            <w:pPr>
              <w:spacing w:after="0" w:line="240" w:lineRule="auto"/>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Ar pirkimas bus atliekamas pe</w:t>
            </w:r>
            <w:bookmarkStart w:id="0" w:name="_GoBack"/>
            <w:bookmarkEnd w:id="0"/>
            <w:r w:rsidRPr="00AF296A">
              <w:rPr>
                <w:rFonts w:ascii="Arial" w:eastAsia="Times New Roman" w:hAnsi="Arial" w:cs="Arial"/>
                <w:color w:val="6F6F6F"/>
                <w:sz w:val="20"/>
                <w:szCs w:val="20"/>
                <w:lang w:eastAsia="lt-LT"/>
              </w:rPr>
              <w:t>r centrinę perkančiąją organizaciją (CPO)</w:t>
            </w:r>
          </w:p>
        </w:tc>
        <w:tc>
          <w:tcPr>
            <w:tcW w:w="54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96A" w:rsidRPr="00AF296A" w:rsidRDefault="00AF296A" w:rsidP="00AF296A">
            <w:pPr>
              <w:spacing w:after="255" w:line="240" w:lineRule="auto"/>
              <w:rPr>
                <w:rFonts w:ascii="Arial" w:eastAsia="Times New Roman" w:hAnsi="Arial" w:cs="Arial"/>
                <w:color w:val="6F6F6F"/>
                <w:sz w:val="20"/>
                <w:szCs w:val="20"/>
                <w:lang w:eastAsia="lt-LT"/>
              </w:rPr>
            </w:pPr>
            <w:r w:rsidRPr="00AF296A">
              <w:rPr>
                <w:rFonts w:ascii="Arial" w:eastAsia="Times New Roman" w:hAnsi="Arial" w:cs="Arial"/>
                <w:b/>
                <w:bCs/>
                <w:color w:val="6F6F6F"/>
                <w:sz w:val="20"/>
                <w:szCs w:val="20"/>
                <w:lang w:eastAsia="lt-LT"/>
              </w:rPr>
              <w:t>Ne</w:t>
            </w:r>
          </w:p>
          <w:p w:rsidR="00AF296A" w:rsidRPr="00AF296A" w:rsidRDefault="00AF296A" w:rsidP="00AF296A">
            <w:pPr>
              <w:spacing w:before="255" w:after="255" w:line="240" w:lineRule="auto"/>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Priežastys dėl kurių negalime vykdyti pirkimą per CPO katalogą (toliau – katalogas):</w:t>
            </w:r>
          </w:p>
          <w:p w:rsidR="00AF296A" w:rsidRPr="00AF296A" w:rsidRDefault="00AF296A" w:rsidP="00AF296A">
            <w:pPr>
              <w:spacing w:before="255" w:after="255" w:line="240" w:lineRule="auto"/>
              <w:ind w:hanging="360"/>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1.</w:t>
            </w:r>
            <w:r w:rsidRPr="00AF296A">
              <w:rPr>
                <w:rFonts w:ascii="Times New Roman" w:eastAsia="Times New Roman" w:hAnsi="Times New Roman" w:cs="Times New Roman"/>
                <w:color w:val="6F6F6F"/>
                <w:sz w:val="14"/>
                <w:szCs w:val="14"/>
                <w:lang w:eastAsia="lt-LT"/>
              </w:rPr>
              <w:t>       </w:t>
            </w:r>
            <w:r w:rsidRPr="00AF296A">
              <w:rPr>
                <w:rFonts w:ascii="Arial" w:eastAsia="Times New Roman" w:hAnsi="Arial" w:cs="Arial"/>
                <w:color w:val="6F6F6F"/>
                <w:sz w:val="20"/>
                <w:szCs w:val="20"/>
                <w:lang w:eastAsia="lt-LT"/>
              </w:rPr>
              <w:t>Skyriuje DBP18. „Kiti bendrieji statybos darbai“ nėra šių perkamų darbų: kabinetų (patalpų) grindų dangos įrengimo (PVC grindų danga, akmens masės plytelės), lubos apdailos įrengimo (gruntavimas, glaistymas, pakabinamos lubos), sienų apdailos įrengimo (gruntavimas, glaistymas, dažymas). Kataloge yra tik bendrojo naudojimo laiptinių apdaila (sienos, lubos, grindys), laiptinių grindų ir laiptų apdaila, esamų grindų ardymas šiltinant grindis;</w:t>
            </w:r>
          </w:p>
          <w:p w:rsidR="00AF296A" w:rsidRPr="00AF296A" w:rsidRDefault="00AF296A" w:rsidP="00AF296A">
            <w:pPr>
              <w:spacing w:before="255" w:after="255" w:line="240" w:lineRule="auto"/>
              <w:ind w:hanging="360"/>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2.</w:t>
            </w:r>
            <w:r w:rsidRPr="00AF296A">
              <w:rPr>
                <w:rFonts w:ascii="Times New Roman" w:eastAsia="Times New Roman" w:hAnsi="Times New Roman" w:cs="Times New Roman"/>
                <w:color w:val="6F6F6F"/>
                <w:sz w:val="14"/>
                <w:szCs w:val="14"/>
                <w:lang w:eastAsia="lt-LT"/>
              </w:rPr>
              <w:t>       </w:t>
            </w:r>
            <w:r w:rsidRPr="00AF296A">
              <w:rPr>
                <w:rFonts w:ascii="Arial" w:eastAsia="Times New Roman" w:hAnsi="Arial" w:cs="Arial"/>
                <w:color w:val="6F6F6F"/>
                <w:sz w:val="20"/>
                <w:szCs w:val="20"/>
                <w:lang w:eastAsia="lt-LT"/>
              </w:rPr>
              <w:t>Skyriuje DBP18. „Kiti bendrieji statybos darbai“ nėra šių perkamų darbų: G/B monolitinės perdangos plokštės įrengimo, naujų pertvarų įrengimo, ardomų pertvarų;</w:t>
            </w:r>
          </w:p>
          <w:p w:rsidR="00AF296A" w:rsidRPr="00AF296A" w:rsidRDefault="00AF296A" w:rsidP="00AF296A">
            <w:pPr>
              <w:spacing w:before="255" w:after="255" w:line="240" w:lineRule="auto"/>
              <w:ind w:hanging="360"/>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3.</w:t>
            </w:r>
            <w:r w:rsidRPr="00AF296A">
              <w:rPr>
                <w:rFonts w:ascii="Times New Roman" w:eastAsia="Times New Roman" w:hAnsi="Times New Roman" w:cs="Times New Roman"/>
                <w:color w:val="6F6F6F"/>
                <w:sz w:val="14"/>
                <w:szCs w:val="14"/>
                <w:lang w:eastAsia="lt-LT"/>
              </w:rPr>
              <w:t>       </w:t>
            </w:r>
            <w:r w:rsidRPr="00AF296A">
              <w:rPr>
                <w:rFonts w:ascii="Arial" w:eastAsia="Times New Roman" w:hAnsi="Arial" w:cs="Arial"/>
                <w:color w:val="6F6F6F"/>
                <w:sz w:val="20"/>
                <w:szCs w:val="20"/>
                <w:lang w:eastAsia="lt-LT"/>
              </w:rPr>
              <w:t>Skyriuje DBP12. „Ventiliacijos atnaujinimas“ yra tik natūralios ventiliacijos sistemos atnaujinimo darbai, ventiliacijos sistemos modernizavimas vieno-dviejų-trijų-keturių kambarių butuose (įkainiai pritaikyti tik daugiabučių gyvenamųjų namų). Mūsų projekto apimtyse yra: Vėdinimo sistemos (13 vnt.) (</w:t>
            </w:r>
            <w:proofErr w:type="spellStart"/>
            <w:r w:rsidRPr="00AF296A">
              <w:rPr>
                <w:rFonts w:ascii="Arial" w:eastAsia="Times New Roman" w:hAnsi="Arial" w:cs="Arial"/>
                <w:color w:val="6F6F6F"/>
                <w:sz w:val="20"/>
                <w:szCs w:val="20"/>
                <w:lang w:eastAsia="lt-LT"/>
              </w:rPr>
              <w:t>rekuperatoriai</w:t>
            </w:r>
            <w:proofErr w:type="spellEnd"/>
            <w:r w:rsidRPr="00AF296A">
              <w:rPr>
                <w:rFonts w:ascii="Arial" w:eastAsia="Times New Roman" w:hAnsi="Arial" w:cs="Arial"/>
                <w:color w:val="6F6F6F"/>
                <w:sz w:val="20"/>
                <w:szCs w:val="20"/>
                <w:lang w:eastAsia="lt-LT"/>
              </w:rPr>
              <w:t>, traukos spintos laboratorijai) įrengimai, ortakių montavimai;</w:t>
            </w:r>
          </w:p>
          <w:p w:rsidR="00AF296A" w:rsidRPr="00AF296A" w:rsidRDefault="00AF296A" w:rsidP="00AF296A">
            <w:pPr>
              <w:spacing w:before="255" w:after="255" w:line="240" w:lineRule="auto"/>
              <w:ind w:hanging="360"/>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4.</w:t>
            </w:r>
            <w:r w:rsidRPr="00AF296A">
              <w:rPr>
                <w:rFonts w:ascii="Times New Roman" w:eastAsia="Times New Roman" w:hAnsi="Times New Roman" w:cs="Times New Roman"/>
                <w:color w:val="6F6F6F"/>
                <w:sz w:val="14"/>
                <w:szCs w:val="14"/>
                <w:lang w:eastAsia="lt-LT"/>
              </w:rPr>
              <w:t>       </w:t>
            </w:r>
            <w:r w:rsidRPr="00AF296A">
              <w:rPr>
                <w:rFonts w:ascii="Arial" w:eastAsia="Times New Roman" w:hAnsi="Arial" w:cs="Arial"/>
                <w:color w:val="6F6F6F"/>
                <w:sz w:val="20"/>
                <w:szCs w:val="20"/>
                <w:lang w:eastAsia="lt-LT"/>
              </w:rPr>
              <w:t>Skyriuje DBP11. „Šildymo sistemos remontas“ nėra šių perkamų darbų: grindinio šildymo (</w:t>
            </w:r>
            <w:proofErr w:type="spellStart"/>
            <w:r w:rsidRPr="00AF296A">
              <w:rPr>
                <w:rFonts w:ascii="Arial" w:eastAsia="Times New Roman" w:hAnsi="Arial" w:cs="Arial"/>
                <w:color w:val="6F6F6F"/>
                <w:sz w:val="20"/>
                <w:szCs w:val="20"/>
                <w:lang w:eastAsia="lt-LT"/>
              </w:rPr>
              <w:t>kolektorinės</w:t>
            </w:r>
            <w:proofErr w:type="spellEnd"/>
            <w:r w:rsidRPr="00AF296A">
              <w:rPr>
                <w:rFonts w:ascii="Arial" w:eastAsia="Times New Roman" w:hAnsi="Arial" w:cs="Arial"/>
                <w:color w:val="6F6F6F"/>
                <w:sz w:val="20"/>
                <w:szCs w:val="20"/>
                <w:lang w:eastAsia="lt-LT"/>
              </w:rPr>
              <w:t xml:space="preserve"> sistemos) įrengimo. Kataloge yra tik </w:t>
            </w:r>
            <w:proofErr w:type="spellStart"/>
            <w:r w:rsidRPr="00AF296A">
              <w:rPr>
                <w:rFonts w:ascii="Arial" w:eastAsia="Times New Roman" w:hAnsi="Arial" w:cs="Arial"/>
                <w:color w:val="6F6F6F"/>
                <w:sz w:val="20"/>
                <w:szCs w:val="20"/>
                <w:lang w:eastAsia="lt-LT"/>
              </w:rPr>
              <w:t>vienvamzdės</w:t>
            </w:r>
            <w:proofErr w:type="spellEnd"/>
            <w:r w:rsidRPr="00AF296A">
              <w:rPr>
                <w:rFonts w:ascii="Arial" w:eastAsia="Times New Roman" w:hAnsi="Arial" w:cs="Arial"/>
                <w:color w:val="6F6F6F"/>
                <w:sz w:val="20"/>
                <w:szCs w:val="20"/>
                <w:lang w:eastAsia="lt-LT"/>
              </w:rPr>
              <w:t xml:space="preserve"> šildymo sistemos stovų vamzdynų keitimas į dvivamzdės sistemos stovų vamzdynus, šildymo radiatorių keitimas naujais šildymo radiatoriais (paprasti-standartiniai gaminiai), o mūsų atveju plieniniai radiatoriai higieniniai (pritaikyti dažnam valymui ir priežiūrai intensyviai);</w:t>
            </w:r>
          </w:p>
          <w:p w:rsidR="00AF296A" w:rsidRPr="00AF296A" w:rsidRDefault="00AF296A" w:rsidP="00AF296A">
            <w:pPr>
              <w:spacing w:before="255" w:after="255" w:line="240" w:lineRule="auto"/>
              <w:ind w:hanging="360"/>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5.</w:t>
            </w:r>
            <w:r w:rsidRPr="00AF296A">
              <w:rPr>
                <w:rFonts w:ascii="Times New Roman" w:eastAsia="Times New Roman" w:hAnsi="Times New Roman" w:cs="Times New Roman"/>
                <w:color w:val="6F6F6F"/>
                <w:sz w:val="14"/>
                <w:szCs w:val="14"/>
                <w:lang w:eastAsia="lt-LT"/>
              </w:rPr>
              <w:t>       </w:t>
            </w:r>
            <w:r w:rsidRPr="00AF296A">
              <w:rPr>
                <w:rFonts w:ascii="Arial" w:eastAsia="Times New Roman" w:hAnsi="Arial" w:cs="Arial"/>
                <w:color w:val="6F6F6F"/>
                <w:sz w:val="20"/>
                <w:szCs w:val="20"/>
                <w:lang w:eastAsia="lt-LT"/>
              </w:rPr>
              <w:t>Projekto apimtyje yra apsauginės signalizacijos įrengimas, o kataloge šių darbų visai nėra galimybės nupirkti;</w:t>
            </w:r>
          </w:p>
          <w:p w:rsidR="00AF296A" w:rsidRPr="00AF296A" w:rsidRDefault="00AF296A" w:rsidP="00AF296A">
            <w:pPr>
              <w:spacing w:before="255" w:after="255" w:line="240" w:lineRule="auto"/>
              <w:ind w:hanging="360"/>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6.</w:t>
            </w:r>
            <w:r w:rsidRPr="00AF296A">
              <w:rPr>
                <w:rFonts w:ascii="Times New Roman" w:eastAsia="Times New Roman" w:hAnsi="Times New Roman" w:cs="Times New Roman"/>
                <w:color w:val="6F6F6F"/>
                <w:sz w:val="14"/>
                <w:szCs w:val="14"/>
                <w:lang w:eastAsia="lt-LT"/>
              </w:rPr>
              <w:t>       </w:t>
            </w:r>
            <w:r w:rsidRPr="00AF296A">
              <w:rPr>
                <w:rFonts w:ascii="Arial" w:eastAsia="Times New Roman" w:hAnsi="Arial" w:cs="Arial"/>
                <w:color w:val="6F6F6F"/>
                <w:sz w:val="20"/>
                <w:szCs w:val="20"/>
                <w:lang w:eastAsia="lt-LT"/>
              </w:rPr>
              <w:t>Projekto apimtyje yra telekomunikacijų tinklai (ryšiai), o kataloge šių darbų visai nėra galimybės nupirkti;</w:t>
            </w:r>
          </w:p>
          <w:p w:rsidR="00AF296A" w:rsidRPr="00AF296A" w:rsidRDefault="00AF296A" w:rsidP="00AF296A">
            <w:pPr>
              <w:spacing w:before="255" w:after="255" w:line="240" w:lineRule="auto"/>
              <w:ind w:hanging="360"/>
              <w:rPr>
                <w:rFonts w:ascii="Arial" w:eastAsia="Times New Roman" w:hAnsi="Arial" w:cs="Arial"/>
                <w:color w:val="6F6F6F"/>
                <w:sz w:val="20"/>
                <w:szCs w:val="20"/>
                <w:lang w:eastAsia="lt-LT"/>
              </w:rPr>
            </w:pPr>
            <w:r w:rsidRPr="00AF296A">
              <w:rPr>
                <w:rFonts w:ascii="Arial" w:eastAsia="Times New Roman" w:hAnsi="Arial" w:cs="Arial"/>
                <w:color w:val="6F6F6F"/>
                <w:sz w:val="20"/>
                <w:szCs w:val="20"/>
                <w:lang w:eastAsia="lt-LT"/>
              </w:rPr>
              <w:t>7.</w:t>
            </w:r>
            <w:r w:rsidRPr="00AF296A">
              <w:rPr>
                <w:rFonts w:ascii="Times New Roman" w:eastAsia="Times New Roman" w:hAnsi="Times New Roman" w:cs="Times New Roman"/>
                <w:color w:val="6F6F6F"/>
                <w:sz w:val="14"/>
                <w:szCs w:val="14"/>
                <w:lang w:eastAsia="lt-LT"/>
              </w:rPr>
              <w:t>       </w:t>
            </w:r>
            <w:r w:rsidRPr="00AF296A">
              <w:rPr>
                <w:rFonts w:ascii="Arial" w:eastAsia="Times New Roman" w:hAnsi="Arial" w:cs="Arial"/>
                <w:color w:val="6F6F6F"/>
                <w:sz w:val="20"/>
                <w:szCs w:val="20"/>
                <w:lang w:eastAsia="lt-LT"/>
              </w:rPr>
              <w:t xml:space="preserve">Skyriuje DBP15. „Priešgaisrinės saugos įrenginių sistemos modernizavimas“ yra tik gaisrinių čiaupų spintelių keitimas ir priešgaisrinės signalizacijos sistemos įrengimas (1 jutiklis). Mūsų atveju perkami kito pobūdžio gaisrinės signalizacijos elementai: gaisrinė </w:t>
            </w:r>
            <w:proofErr w:type="spellStart"/>
            <w:r w:rsidRPr="00AF296A">
              <w:rPr>
                <w:rFonts w:ascii="Arial" w:eastAsia="Times New Roman" w:hAnsi="Arial" w:cs="Arial"/>
                <w:color w:val="6F6F6F"/>
                <w:sz w:val="20"/>
                <w:szCs w:val="20"/>
                <w:lang w:eastAsia="lt-LT"/>
              </w:rPr>
              <w:t>centralė</w:t>
            </w:r>
            <w:proofErr w:type="spellEnd"/>
            <w:r w:rsidRPr="00AF296A">
              <w:rPr>
                <w:rFonts w:ascii="Arial" w:eastAsia="Times New Roman" w:hAnsi="Arial" w:cs="Arial"/>
                <w:color w:val="6F6F6F"/>
                <w:sz w:val="20"/>
                <w:szCs w:val="20"/>
                <w:lang w:eastAsia="lt-LT"/>
              </w:rPr>
              <w:t>, dūminiai optiniai detektoriai, sirenos, PVC vamzdžiai ir kabeliai.</w:t>
            </w:r>
          </w:p>
          <w:p w:rsidR="00AF296A" w:rsidRPr="00AF296A" w:rsidRDefault="00AF296A" w:rsidP="00AF296A">
            <w:pPr>
              <w:spacing w:before="255" w:after="255" w:line="240" w:lineRule="auto"/>
              <w:rPr>
                <w:rFonts w:ascii="Arial" w:eastAsia="Times New Roman" w:hAnsi="Arial" w:cs="Arial"/>
                <w:color w:val="6F6F6F"/>
                <w:sz w:val="20"/>
                <w:szCs w:val="20"/>
                <w:lang w:eastAsia="lt-LT"/>
              </w:rPr>
            </w:pPr>
            <w:r w:rsidRPr="00AF296A">
              <w:rPr>
                <w:rFonts w:ascii="Arial" w:eastAsia="Times New Roman" w:hAnsi="Arial" w:cs="Arial"/>
                <w:i/>
                <w:iCs/>
                <w:color w:val="6F6F6F"/>
                <w:sz w:val="20"/>
                <w:szCs w:val="20"/>
                <w:lang w:eastAsia="lt-LT"/>
              </w:rPr>
              <w:t>(Jei taip, nurodoma „taip“)</w:t>
            </w:r>
          </w:p>
          <w:p w:rsidR="00AF296A" w:rsidRPr="00AF296A" w:rsidRDefault="00AF296A" w:rsidP="00AF296A">
            <w:pPr>
              <w:spacing w:before="255" w:after="0" w:line="240" w:lineRule="auto"/>
              <w:rPr>
                <w:rFonts w:ascii="Arial" w:eastAsia="Times New Roman" w:hAnsi="Arial" w:cs="Arial"/>
                <w:color w:val="6F6F6F"/>
                <w:sz w:val="20"/>
                <w:szCs w:val="20"/>
                <w:lang w:eastAsia="lt-LT"/>
              </w:rPr>
            </w:pPr>
            <w:r w:rsidRPr="00AF296A">
              <w:rPr>
                <w:rFonts w:ascii="Arial" w:eastAsia="Times New Roman" w:hAnsi="Arial" w:cs="Arial"/>
                <w:i/>
                <w:iCs/>
                <w:color w:val="6F6F6F"/>
                <w:sz w:val="20"/>
                <w:szCs w:val="20"/>
                <w:lang w:eastAsia="lt-LT"/>
              </w:rPr>
              <w:t>(Jei nenumatoma pirkti iš CPO ar per ją, nors pirkimo objektas yra CPO kataloge, privaloma motyvuoti siūlymą neatlikti prekių, paslaugų ar darbų pirkimo iš CPO ar per ją)</w:t>
            </w:r>
          </w:p>
        </w:tc>
      </w:tr>
    </w:tbl>
    <w:p w:rsidR="002C3331" w:rsidRDefault="002C3331"/>
    <w:sectPr w:rsidR="002C3331" w:rsidSect="00AF296A">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67"/>
    <w:rsid w:val="002C3331"/>
    <w:rsid w:val="00A12A6A"/>
    <w:rsid w:val="00AF296A"/>
    <w:rsid w:val="00CA2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76A0"/>
  <w15:chartTrackingRefBased/>
  <w15:docId w15:val="{5B5FC642-2F60-4B9A-97E7-F8392355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1688</Words>
  <Characters>963</Characters>
  <Application>Microsoft Office Word</Application>
  <DocSecurity>0</DocSecurity>
  <Lines>8</Lines>
  <Paragraphs>5</Paragraphs>
  <ScaleCrop>false</ScaleCrop>
  <Company>Klaipėdos miesto savivaldybės administracija</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Marciene</dc:creator>
  <cp:keywords/>
  <dc:description/>
  <cp:lastModifiedBy>Gitana Marciene</cp:lastModifiedBy>
  <cp:revision>3</cp:revision>
  <dcterms:created xsi:type="dcterms:W3CDTF">2019-07-22T05:44:00Z</dcterms:created>
  <dcterms:modified xsi:type="dcterms:W3CDTF">2019-07-22T05:46:00Z</dcterms:modified>
</cp:coreProperties>
</file>