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juridinio asmens</w:t>
            </w:r>
            <w:r w:rsidRPr="00092541">
              <w:rPr>
                <w:rFonts w:eastAsia="Times New Roman"/>
                <w:b w:val="0"/>
                <w:smallCaps w:val="0"/>
              </w:rPr>
              <w:t xml:space="preserve"> </w:t>
            </w:r>
            <w:r w:rsidRPr="00092541">
              <w:rPr>
                <w:rFonts w:eastAsia="Times New Roman"/>
                <w:b w:val="0"/>
                <w:smallCaps w:val="0"/>
              </w:rPr>
              <w:lastRenderedPageBreak/>
              <w:t>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(-us)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r w:rsidR="00E25720" w:rsidRPr="00847D6B">
        <w:rPr>
          <w:rFonts w:eastAsia="Times New Roman"/>
          <w:b w:val="0"/>
          <w:bCs/>
          <w:i/>
          <w:smallCaps w:val="0"/>
        </w:rPr>
        <w:t>us)</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r w:rsidRPr="00F820C5">
              <w:rPr>
                <w:rFonts w:eastAsia="Times New Roman"/>
                <w:bCs/>
                <w:smallCaps w:val="0"/>
              </w:rPr>
              <w:t>Prioritetai</w:t>
            </w:r>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r w:rsidRPr="00FE31B0">
              <w:rPr>
                <w:smallCaps w:val="0"/>
                <w:lang w:val="es-ES"/>
              </w:rPr>
              <w:t>Pagrindimas ir detalizavimas bei</w:t>
            </w:r>
          </w:p>
          <w:p w14:paraId="1D4F5350" w14:textId="11E5A2CE" w:rsidR="00A37EF5" w:rsidRPr="002A2068" w:rsidRDefault="009A28CD" w:rsidP="000D3F4C">
            <w:pPr>
              <w:tabs>
                <w:tab w:val="left" w:pos="426"/>
              </w:tabs>
              <w:jc w:val="center"/>
              <w:rPr>
                <w:rFonts w:eastAsia="Times New Roman"/>
                <w:bCs/>
                <w:smallCaps w:val="0"/>
                <w:lang w:val="lt-LT"/>
              </w:rPr>
            </w:pPr>
            <w:r w:rsidRPr="00FE31B0">
              <w:rPr>
                <w:rFonts w:eastAsia="Times New Roman"/>
                <w:bCs/>
                <w:smallCaps w:val="0"/>
                <w:lang w:val="es-ES"/>
              </w:rPr>
              <w:t>nuoroda į atitiktį įrodančius dokumentus</w:t>
            </w:r>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r w:rsidR="00EC2068" w:rsidRPr="002504A2">
              <w:rPr>
                <w:b w:val="0"/>
                <w:smallCaps w:val="0"/>
                <w:lang w:val="lt-LT"/>
              </w:rPr>
              <w:t>as</w:t>
            </w:r>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(-as) paslaugą (-as)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811"/>
        <w:gridCol w:w="991"/>
        <w:gridCol w:w="1701"/>
        <w:gridCol w:w="1418"/>
        <w:gridCol w:w="1703"/>
        <w:gridCol w:w="1665"/>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ių)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r w:rsidRPr="001758A1">
              <w:rPr>
                <w:rFonts w:eastAsia="Times New Roman"/>
                <w:smallCaps w:val="0"/>
              </w:rPr>
              <w:t>Bendradar</w:t>
            </w:r>
            <w:r w:rsidR="001441EC">
              <w:rPr>
                <w:rFonts w:eastAsia="Times New Roman"/>
                <w:smallCaps w:val="0"/>
              </w:rPr>
              <w:t>-</w:t>
            </w:r>
            <w:r w:rsidRPr="001758A1">
              <w:rPr>
                <w:rFonts w:eastAsia="Times New Roman"/>
                <w:smallCaps w:val="0"/>
              </w:rPr>
              <w:t xml:space="preserve">biavimo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r w:rsidR="009E2F84" w:rsidRPr="002A2068">
              <w:rPr>
                <w:rFonts w:eastAsia="Times New Roman"/>
                <w:smallCaps w:val="0"/>
              </w:rPr>
              <w:t>ių)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r w:rsidRPr="001758A1">
              <w:rPr>
                <w:rFonts w:eastAsia="Times New Roman"/>
                <w:smallCaps w:val="0"/>
              </w:rPr>
              <w:t xml:space="preserve">ių) pasirinkimo priežastys ir </w:t>
            </w:r>
            <w:r w:rsidR="001C78FC">
              <w:rPr>
                <w:rFonts w:eastAsia="Times New Roman"/>
                <w:smallCaps w:val="0"/>
              </w:rPr>
              <w:t>konkre-</w:t>
            </w:r>
            <w:r w:rsidR="007C128C" w:rsidRPr="001758A1">
              <w:rPr>
                <w:rFonts w:eastAsia="Times New Roman"/>
                <w:smallCaps w:val="0"/>
              </w:rPr>
              <w:t>tus (</w:t>
            </w:r>
            <w:r w:rsidR="007C128C" w:rsidRPr="001758A1">
              <w:rPr>
                <w:rFonts w:eastAsia="Times New Roman"/>
                <w:smallCaps w:val="0"/>
              </w:rPr>
              <w:noBreakHyphen/>
              <w:t xml:space="preserve">ūs)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t>en</w:t>
            </w:r>
            <w:r w:rsidRPr="001758A1">
              <w:rPr>
                <w:rFonts w:eastAsia="Times New Roman"/>
                <w:smallCaps w:val="0"/>
              </w:rPr>
              <w:t>ys)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(-ius)</w:t>
      </w:r>
      <w:r w:rsidR="001C2259" w:rsidRPr="00B412EC">
        <w:t xml:space="preserve"> </w:t>
      </w:r>
      <w:r w:rsidR="001C2259" w:rsidRPr="00B412EC">
        <w:rPr>
          <w:b w:val="0"/>
          <w:i/>
          <w:smallCaps w:val="0"/>
        </w:rPr>
        <w:t>pasiekt</w:t>
      </w:r>
      <w:r w:rsidR="00580759" w:rsidRPr="00B412EC">
        <w:rPr>
          <w:b w:val="0"/>
          <w:i/>
          <w:smallCaps w:val="0"/>
        </w:rPr>
        <w:t>ą (-</w:t>
      </w:r>
      <w:r w:rsidR="001C2259" w:rsidRPr="00B412EC">
        <w:rPr>
          <w:b w:val="0"/>
          <w:i/>
          <w:smallCaps w:val="0"/>
        </w:rPr>
        <w:t>us</w:t>
      </w:r>
      <w:r w:rsidR="00580759" w:rsidRPr="00B412EC">
        <w:rPr>
          <w:b w:val="0"/>
          <w:i/>
          <w:smallCaps w:val="0"/>
        </w:rPr>
        <w:t xml:space="preserve">) rezultatą </w:t>
      </w:r>
      <w:r w:rsidR="00001A31" w:rsidRPr="00B412EC">
        <w:rPr>
          <w:b w:val="0"/>
          <w:i/>
          <w:smallCaps w:val="0"/>
        </w:rPr>
        <w:t>(</w:t>
      </w:r>
      <w:r w:rsidR="00580759" w:rsidRPr="00B412EC">
        <w:rPr>
          <w:b w:val="0"/>
          <w:i/>
          <w:smallCaps w:val="0"/>
        </w:rPr>
        <w:t xml:space="preserve">-us)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(-us)</w:t>
      </w:r>
      <w:r w:rsidR="002A5B3A" w:rsidRPr="00B412EC">
        <w:rPr>
          <w:b w:val="0"/>
          <w:i/>
          <w:smallCaps w:val="0"/>
        </w:rPr>
        <w:t xml:space="preserve"> </w:t>
      </w:r>
      <w:r w:rsidR="007179ED" w:rsidRPr="00B412EC">
        <w:rPr>
          <w:b w:val="0"/>
          <w:i/>
          <w:smallCaps w:val="0"/>
        </w:rPr>
        <w:t xml:space="preserve">kokybinį (-ius) ir kiekybinį (-ius) </w:t>
      </w:r>
      <w:r w:rsidR="002A5B3A" w:rsidRPr="00B412EC">
        <w:rPr>
          <w:b w:val="0"/>
          <w:i/>
          <w:smallCaps w:val="0"/>
        </w:rPr>
        <w:t>rezu</w:t>
      </w:r>
      <w:r w:rsidR="00BF4188" w:rsidRPr="00B412EC">
        <w:rPr>
          <w:b w:val="0"/>
          <w:i/>
          <w:smallCaps w:val="0"/>
        </w:rPr>
        <w:t>ltatą (</w:t>
      </w:r>
      <w:r w:rsidR="007179ED" w:rsidRPr="00B412EC">
        <w:rPr>
          <w:b w:val="0"/>
          <w:i/>
          <w:smallCaps w:val="0"/>
        </w:rPr>
        <w:noBreakHyphen/>
      </w:r>
      <w:r w:rsidR="00BF4188" w:rsidRPr="00B412EC">
        <w:rPr>
          <w:b w:val="0"/>
          <w:i/>
          <w:smallCaps w:val="0"/>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Nedi-</w:t>
            </w:r>
          </w:p>
          <w:p w14:paraId="3F03354D" w14:textId="77777777" w:rsidR="00D15109" w:rsidRPr="00F820C5" w:rsidRDefault="00D15109" w:rsidP="00D15109">
            <w:pPr>
              <w:suppressAutoHyphens/>
              <w:jc w:val="center"/>
              <w:rPr>
                <w:rFonts w:eastAsia="Times New Roman"/>
                <w:smallCaps w:val="0"/>
                <w:lang w:eastAsia="zh-CN"/>
              </w:rPr>
            </w:pPr>
            <w:r w:rsidRPr="00F820C5">
              <w:rPr>
                <w:rFonts w:eastAsia="Times New Roman"/>
                <w:b w:val="0"/>
                <w:smallCaps w:val="0"/>
                <w:lang w:eastAsia="zh-CN"/>
              </w:rPr>
              <w:t>delis</w:t>
            </w:r>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tinis</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Dide-</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r w:rsidRPr="00F820C5">
              <w:rPr>
                <w:smallCaps w:val="0"/>
              </w:rPr>
              <w:t xml:space="preserve">Trukmė </w:t>
            </w:r>
            <w:r w:rsidRPr="00F820C5">
              <w:rPr>
                <w:b w:val="0"/>
                <w:i/>
                <w:smallCaps w:val="0"/>
              </w:rPr>
              <w:t>(nurodykite metus, mėnesį, dieną)</w:t>
            </w:r>
          </w:p>
        </w:tc>
        <w:tc>
          <w:tcPr>
            <w:tcW w:w="3209" w:type="dxa"/>
          </w:tcPr>
          <w:p w14:paraId="6A240A0C" w14:textId="3470F5D9" w:rsidR="0086380F" w:rsidRPr="00F820C5" w:rsidRDefault="0086380F" w:rsidP="00C057EB">
            <w:pPr>
              <w:jc w:val="both"/>
              <w:rPr>
                <w:smallCaps w:val="0"/>
              </w:rPr>
            </w:pPr>
            <w:r w:rsidRPr="00F820C5">
              <w:rPr>
                <w:smallCaps w:val="0"/>
              </w:rPr>
              <w:t>Nuo</w:t>
            </w:r>
          </w:p>
        </w:tc>
        <w:tc>
          <w:tcPr>
            <w:tcW w:w="3210" w:type="dxa"/>
          </w:tcPr>
          <w:p w14:paraId="03A2662C" w14:textId="6C94431F" w:rsidR="0086380F" w:rsidRPr="00314DB3" w:rsidRDefault="0086380F" w:rsidP="00C057EB">
            <w:pPr>
              <w:jc w:val="both"/>
              <w:rPr>
                <w:smallCaps w:val="0"/>
              </w:rPr>
            </w:pPr>
            <w:r w:rsidRPr="00F820C5">
              <w:rPr>
                <w:smallCaps w:val="0"/>
              </w:rPr>
              <w:t>Iki</w:t>
            </w:r>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328"/>
        <w:gridCol w:w="1010"/>
        <w:gridCol w:w="288"/>
        <w:gridCol w:w="288"/>
        <w:gridCol w:w="288"/>
        <w:gridCol w:w="282"/>
        <w:gridCol w:w="6"/>
        <w:gridCol w:w="285"/>
        <w:gridCol w:w="285"/>
        <w:gridCol w:w="288"/>
        <w:gridCol w:w="288"/>
        <w:gridCol w:w="432"/>
        <w:gridCol w:w="577"/>
        <w:gridCol w:w="577"/>
        <w:gridCol w:w="492"/>
        <w:gridCol w:w="2015"/>
        <w:gridCol w:w="993"/>
        <w:gridCol w:w="9"/>
        <w:gridCol w:w="1260"/>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(-os)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Prašo-ma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imo laikotarpiai</w:t>
            </w:r>
            <w:r w:rsidRPr="002504A2">
              <w:rPr>
                <w:smallCaps w:val="0"/>
              </w:rPr>
              <w:t xml:space="preserve">mėnesiais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r w:rsidR="00D127CF" w:rsidRPr="000F1A29">
              <w:rPr>
                <w:b w:val="0"/>
                <w:i/>
                <w:smallCaps w:val="0"/>
              </w:rPr>
              <w:t>o</w:t>
            </w:r>
            <w:r w:rsidR="00D127CF">
              <w:rPr>
                <w:b w:val="0"/>
                <w:i/>
                <w:smallCaps w:val="0"/>
              </w:rPr>
              <w:t>s</w:t>
            </w:r>
            <w:r w:rsidRPr="000F1A29">
              <w:rPr>
                <w:b w:val="0"/>
                <w:i/>
                <w:smallCaps w:val="0"/>
              </w:rPr>
              <w:t>) bus teikiama (-os)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r>
              <w:rPr>
                <w:smallCaps w:val="0"/>
              </w:rPr>
              <w:t>Paslau-gos (-ų)</w:t>
            </w:r>
            <w:r w:rsidR="00B600BF" w:rsidRPr="00830358">
              <w:rPr>
                <w:smallCaps w:val="0"/>
                <w:strike/>
              </w:rPr>
              <w:t xml:space="preserve"> </w:t>
            </w:r>
            <w:r w:rsidR="00830358" w:rsidRPr="00D12450">
              <w:rPr>
                <w:smallCaps w:val="0"/>
              </w:rPr>
              <w:t>teikimo</w:t>
            </w:r>
            <w:r w:rsidR="00B600BF" w:rsidRPr="000F1A29">
              <w:rPr>
                <w:smallCaps w:val="0"/>
              </w:rPr>
              <w:t>vieta</w:t>
            </w:r>
          </w:p>
        </w:tc>
        <w:tc>
          <w:tcPr>
            <w:tcW w:w="402" w:type="pct"/>
            <w:vMerge w:val="restart"/>
            <w:vAlign w:val="center"/>
          </w:tcPr>
          <w:p w14:paraId="28DEDE74" w14:textId="4BD1B3E7" w:rsidR="00B600BF" w:rsidRPr="000F1A29" w:rsidRDefault="00B600BF" w:rsidP="00105614">
            <w:pPr>
              <w:jc w:val="center"/>
              <w:rPr>
                <w:smallCaps w:val="0"/>
              </w:rPr>
            </w:pPr>
            <w:r w:rsidRPr="000F1A29">
              <w:rPr>
                <w:smallCaps w:val="0"/>
              </w:rPr>
              <w:t xml:space="preserve">Tiesiogi-nių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r w:rsidR="00457D5A" w:rsidRPr="00E30754">
        <w:rPr>
          <w:rFonts w:eastAsia="Times New Roman"/>
          <w:bCs/>
          <w:smallCaps w:val="0"/>
          <w:lang w:eastAsia="ar-SA"/>
        </w:rPr>
        <w:t>os</w:t>
      </w:r>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r w:rsidR="00457D5A" w:rsidRPr="00F820C5">
        <w:rPr>
          <w:rFonts w:eastAsia="Times New Roman"/>
          <w:bCs/>
          <w:smallCaps w:val="0"/>
          <w:lang w:eastAsia="ar-SA"/>
        </w:rPr>
        <w:t>os</w:t>
      </w:r>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421"/>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r w:rsidRPr="000F5924">
              <w:rPr>
                <w:rFonts w:eastAsia="Times New Roman"/>
                <w:smallCaps w:val="0"/>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r>
              <w:rPr>
                <w:rFonts w:eastAsia="Times New Roman"/>
                <w:b w:val="0"/>
                <w:smallCaps w:val="0"/>
                <w:lang w:eastAsia="zh-CN"/>
              </w:rPr>
              <w:t>Į</w:t>
            </w:r>
            <w:r w:rsidR="001A2218">
              <w:rPr>
                <w:rFonts w:eastAsia="Times New Roman"/>
                <w:b w:val="0"/>
                <w:smallCaps w:val="0"/>
                <w:lang w:eastAsia="zh-CN"/>
              </w:rPr>
              <w:t xml:space="preserve">gyvendi-nant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1"/>
        <w:gridCol w:w="1240"/>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(-ys)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r w:rsidR="00AF1869" w:rsidRPr="00F820C5">
              <w:rPr>
                <w:rFonts w:eastAsia="Times New Roman"/>
                <w:b w:val="0"/>
                <w:smallCaps w:val="0"/>
              </w:rPr>
              <w:t>ys</w:t>
            </w:r>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r w:rsidR="004E7B40" w:rsidRPr="00F820C5">
              <w:rPr>
                <w:b w:val="0"/>
                <w:smallCaps w:val="0"/>
              </w:rPr>
              <w:t xml:space="preserve">ių) grupės (-ių)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FC03" w14:textId="77777777" w:rsidR="00012C3F" w:rsidRDefault="00012C3F">
      <w:r>
        <w:separator/>
      </w:r>
    </w:p>
  </w:endnote>
  <w:endnote w:type="continuationSeparator" w:id="0">
    <w:p w14:paraId="5673E9C9" w14:textId="77777777" w:rsidR="00012C3F" w:rsidRDefault="000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2660" w14:textId="77777777" w:rsidR="00012C3F" w:rsidRDefault="00012C3F">
      <w:r>
        <w:separator/>
      </w:r>
    </w:p>
  </w:footnote>
  <w:footnote w:type="continuationSeparator" w:id="0">
    <w:p w14:paraId="49A4A714" w14:textId="77777777" w:rsidR="00012C3F" w:rsidRDefault="0001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2058" w14:textId="1A8B80D6"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890E81">
      <w:rPr>
        <w:b w:val="0"/>
        <w:noProof/>
      </w:rPr>
      <w:t>2</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0E81"/>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C59"/>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9397E905-9A26-453B-BFA2-AED02126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CE16F-8CA2-486E-99AC-A3B22B97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10298</Words>
  <Characters>5871</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Sonata Bagdoniene</cp:lastModifiedBy>
  <cp:revision>2</cp:revision>
  <cp:lastPrinted>2019-08-28T13:02:00Z</cp:lastPrinted>
  <dcterms:created xsi:type="dcterms:W3CDTF">2019-10-01T12:32:00Z</dcterms:created>
  <dcterms:modified xsi:type="dcterms:W3CDTF">2019-10-01T12:32:00Z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