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C" w:rsidRPr="00E148BC" w:rsidRDefault="00635A8B" w:rsidP="00275D2C">
      <w:pPr>
        <w:pStyle w:val="Pavadinimas"/>
        <w:spacing w:after="20"/>
      </w:pPr>
      <w:bookmarkStart w:id="0" w:name="_GoBack"/>
      <w:bookmarkEnd w:id="0"/>
      <w:r w:rsidRPr="00E148BC">
        <w:rPr>
          <w:noProof/>
          <w:lang w:eastAsia="lt-LT"/>
        </w:rPr>
        <w:drawing>
          <wp:inline distT="0" distB="0" distL="0" distR="0" wp14:anchorId="10802617" wp14:editId="1F420046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Pr="00E148BC" w:rsidRDefault="00275D2C" w:rsidP="00275D2C">
      <w:pPr>
        <w:pStyle w:val="Pavadinimas"/>
        <w:spacing w:after="20"/>
      </w:pPr>
      <w:r w:rsidRPr="00E148BC">
        <w:t xml:space="preserve"> </w:t>
      </w:r>
    </w:p>
    <w:p w:rsidR="00275D2C" w:rsidRPr="00E148BC" w:rsidRDefault="00275D2C" w:rsidP="00275D2C">
      <w:pPr>
        <w:spacing w:after="2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148BC">
        <w:rPr>
          <w:rFonts w:ascii="Times New Roman" w:hAnsi="Times New Roman"/>
          <w:b/>
          <w:sz w:val="28"/>
          <w:szCs w:val="28"/>
          <w:lang w:val="lt-LT"/>
        </w:rPr>
        <w:t>LIETUVOS RESPUBLIKOS ŠVIETIMO</w:t>
      </w:r>
      <w:r w:rsidR="00C87C45" w:rsidRPr="00E148BC">
        <w:rPr>
          <w:rFonts w:ascii="Times New Roman" w:hAnsi="Times New Roman"/>
          <w:b/>
          <w:sz w:val="28"/>
          <w:szCs w:val="28"/>
          <w:lang w:val="lt-LT"/>
        </w:rPr>
        <w:t>,</w:t>
      </w:r>
      <w:r w:rsidRPr="00E148BC">
        <w:rPr>
          <w:rFonts w:ascii="Times New Roman" w:hAnsi="Times New Roman"/>
          <w:b/>
          <w:sz w:val="28"/>
          <w:szCs w:val="28"/>
          <w:lang w:val="lt-LT"/>
        </w:rPr>
        <w:t xml:space="preserve"> MOKSLO</w:t>
      </w:r>
      <w:r w:rsidR="00C87C45" w:rsidRPr="00E148BC">
        <w:rPr>
          <w:rFonts w:ascii="Times New Roman" w:hAnsi="Times New Roman"/>
          <w:b/>
          <w:sz w:val="28"/>
          <w:szCs w:val="28"/>
          <w:lang w:val="lt-LT"/>
        </w:rPr>
        <w:t xml:space="preserve"> IR SPORTO</w:t>
      </w:r>
      <w:r w:rsidRPr="00E148BC">
        <w:rPr>
          <w:rFonts w:ascii="Times New Roman" w:hAnsi="Times New Roman"/>
          <w:b/>
          <w:sz w:val="28"/>
          <w:szCs w:val="28"/>
          <w:lang w:val="lt-LT"/>
        </w:rPr>
        <w:t xml:space="preserve"> MINISTERIJA</w:t>
      </w:r>
    </w:p>
    <w:p w:rsidR="00275D2C" w:rsidRPr="00E148BC" w:rsidRDefault="00275D2C" w:rsidP="00275D2C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37854" w:rsidRPr="00E148BC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lang w:val="lt-LT"/>
        </w:rPr>
      </w:pPr>
      <w:r w:rsidRPr="00E148BC">
        <w:rPr>
          <w:rFonts w:ascii="Times New Roman" w:hAnsi="Times New Roman"/>
          <w:lang w:val="lt-LT"/>
        </w:rPr>
        <w:t xml:space="preserve">Biudžetinė įstaiga, A. </w:t>
      </w:r>
      <w:proofErr w:type="spellStart"/>
      <w:r w:rsidRPr="00E148BC">
        <w:rPr>
          <w:rFonts w:ascii="Times New Roman" w:hAnsi="Times New Roman"/>
          <w:lang w:val="lt-LT"/>
        </w:rPr>
        <w:t>Volano</w:t>
      </w:r>
      <w:proofErr w:type="spellEnd"/>
      <w:r w:rsidRPr="00E148BC">
        <w:rPr>
          <w:rFonts w:ascii="Times New Roman" w:hAnsi="Times New Roman"/>
          <w:lang w:val="lt-LT"/>
        </w:rPr>
        <w:t xml:space="preserve"> g. 2, 01516 </w:t>
      </w:r>
      <w:smartTag w:uri="urn:schemas-tilde-lv/tildestengine" w:element="firmas">
        <w:r w:rsidRPr="00E148BC">
          <w:rPr>
            <w:rFonts w:ascii="Times New Roman" w:hAnsi="Times New Roman"/>
            <w:lang w:val="lt-LT"/>
          </w:rPr>
          <w:t>Vilnius</w:t>
        </w:r>
      </w:smartTag>
      <w:r w:rsidRPr="00E148BC">
        <w:rPr>
          <w:rFonts w:ascii="Times New Roman" w:hAnsi="Times New Roman"/>
          <w:lang w:val="lt-LT"/>
        </w:rPr>
        <w:t xml:space="preserve">, tel. (8 5) 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>219 1225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>/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 xml:space="preserve">219 1152, el. p. </w:t>
      </w:r>
      <w:proofErr w:type="spellStart"/>
      <w:r w:rsidRPr="00E148BC">
        <w:rPr>
          <w:rFonts w:ascii="Times New Roman" w:hAnsi="Times New Roman"/>
          <w:lang w:val="lt-LT"/>
        </w:rPr>
        <w:t>smmin@smm.lt</w:t>
      </w:r>
      <w:proofErr w:type="spellEnd"/>
      <w:r w:rsidRPr="00E148BC">
        <w:rPr>
          <w:rFonts w:ascii="Times New Roman" w:hAnsi="Times New Roman"/>
          <w:lang w:val="lt-LT"/>
        </w:rPr>
        <w:t xml:space="preserve">, http://www.smm.lt. Duomenys kaupiami ir saugomi Juridinių asmenų registre, kodas </w:t>
      </w:r>
      <w:r w:rsidRPr="00E148BC">
        <w:rPr>
          <w:rFonts w:ascii="Times New Roman" w:hAnsi="Times New Roman"/>
          <w:lang w:val="lt-LT" w:eastAsia="en-GB"/>
        </w:rPr>
        <w:t>188603091.</w:t>
      </w:r>
    </w:p>
    <w:p w:rsidR="00337854" w:rsidRPr="00E148BC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lang w:val="lt-LT"/>
        </w:rPr>
      </w:pPr>
      <w:proofErr w:type="spellStart"/>
      <w:r w:rsidRPr="00E148BC">
        <w:rPr>
          <w:rFonts w:ascii="Times New Roman" w:hAnsi="Times New Roman"/>
          <w:lang w:val="lt-LT"/>
        </w:rPr>
        <w:t>Atsisk</w:t>
      </w:r>
      <w:proofErr w:type="spellEnd"/>
      <w:r w:rsidRPr="00E148BC">
        <w:rPr>
          <w:rFonts w:ascii="Times New Roman" w:hAnsi="Times New Roman"/>
          <w:lang w:val="lt-LT"/>
        </w:rPr>
        <w:t xml:space="preserve">. </w:t>
      </w:r>
      <w:proofErr w:type="spellStart"/>
      <w:r w:rsidRPr="00E148BC">
        <w:rPr>
          <w:rFonts w:ascii="Times New Roman" w:hAnsi="Times New Roman"/>
          <w:lang w:val="lt-LT"/>
        </w:rPr>
        <w:t>sąsk</w:t>
      </w:r>
      <w:proofErr w:type="spellEnd"/>
      <w:r w:rsidRPr="00E148BC">
        <w:rPr>
          <w:rFonts w:ascii="Times New Roman" w:hAnsi="Times New Roman"/>
          <w:lang w:val="lt-LT"/>
        </w:rPr>
        <w:t>. LT30 7300 0100 0245 7205 „Swedbank“, AB, kodas 73000</w:t>
      </w:r>
    </w:p>
    <w:p w:rsidR="00275D2C" w:rsidRPr="00E148BC" w:rsidRDefault="00275D2C" w:rsidP="00275D2C">
      <w:pPr>
        <w:rPr>
          <w:rFonts w:ascii="Times New Roman" w:hAnsi="Times New Roman"/>
          <w:lang w:val="lt-LT"/>
        </w:rPr>
      </w:pPr>
      <w:r w:rsidRPr="00E148BC">
        <w:rPr>
          <w:rFonts w:ascii="Times New Roman" w:hAnsi="Times New Roman"/>
          <w:position w:val="10"/>
          <w:lang w:val="lt-LT"/>
        </w:rPr>
        <w:t>_____________________________________________________________________________________________</w:t>
      </w:r>
    </w:p>
    <w:p w:rsidR="00275D2C" w:rsidRPr="00E148BC" w:rsidRDefault="00275D2C" w:rsidP="00275D2C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145"/>
      </w:tblGrid>
      <w:tr w:rsidR="00275D2C" w:rsidRPr="00E148BC" w:rsidTr="006F1FCC">
        <w:tc>
          <w:tcPr>
            <w:tcW w:w="3369" w:type="dxa"/>
          </w:tcPr>
          <w:p w:rsidR="004C5E22" w:rsidRPr="00E148BC" w:rsidRDefault="00174452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>Savivaldybių administracijoms</w:t>
            </w:r>
            <w:r w:rsidR="004E4338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:rsidR="00275D2C" w:rsidRPr="00E148BC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45" w:type="dxa"/>
          </w:tcPr>
          <w:p w:rsidR="00275D2C" w:rsidRPr="00E148BC" w:rsidRDefault="00041281" w:rsidP="00B50EFA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275D2C" w:rsidRPr="00E148BC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275D2C" w:rsidRPr="00E148BC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Nr. </w:t>
            </w:r>
          </w:p>
          <w:p w:rsidR="00275D2C" w:rsidRPr="00E148BC" w:rsidRDefault="00275D2C" w:rsidP="004E4338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  </w:t>
            </w:r>
          </w:p>
        </w:tc>
      </w:tr>
    </w:tbl>
    <w:p w:rsidR="00275D2C" w:rsidRPr="00E148BC" w:rsidRDefault="00275D2C" w:rsidP="00275D2C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275D2C" w:rsidRPr="00E148BC" w:rsidTr="006F1FCC">
        <w:tc>
          <w:tcPr>
            <w:tcW w:w="9498" w:type="dxa"/>
          </w:tcPr>
          <w:p w:rsidR="00275D2C" w:rsidRPr="00E148BC" w:rsidRDefault="00174452" w:rsidP="00015582">
            <w:pPr>
              <w:pStyle w:val="Porat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NEFORMALIOJO VAIKŲ</w:t>
            </w:r>
            <w:r w:rsidR="004E4338"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ŠVIETIMO </w:t>
            </w:r>
            <w:r w:rsidR="00015582"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FINANSAVIMO </w:t>
            </w:r>
          </w:p>
        </w:tc>
      </w:tr>
    </w:tbl>
    <w:p w:rsidR="00275D2C" w:rsidRPr="00E148BC" w:rsidRDefault="00275D2C" w:rsidP="00275D2C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p w:rsidR="00174452" w:rsidRPr="00E148BC" w:rsidRDefault="00174452" w:rsidP="00275D2C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p w:rsidR="00EA6B00" w:rsidRPr="00E148BC" w:rsidRDefault="00F46DCB" w:rsidP="00B656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>Švietimo, mokslo ir sporto ministerija</w:t>
      </w:r>
      <w:r w:rsidR="00174452" w:rsidRPr="00E148BC">
        <w:rPr>
          <w:rFonts w:ascii="Times New Roman" w:hAnsi="Times New Roman"/>
          <w:sz w:val="24"/>
          <w:szCs w:val="24"/>
          <w:lang w:val="lt-LT"/>
        </w:rPr>
        <w:t xml:space="preserve"> (toliau – Ministerija)</w:t>
      </w:r>
      <w:r w:rsidR="0096309E" w:rsidRPr="00E148BC">
        <w:rPr>
          <w:rFonts w:ascii="Times New Roman" w:hAnsi="Times New Roman"/>
          <w:sz w:val="24"/>
          <w:szCs w:val="24"/>
          <w:lang w:val="lt-LT"/>
        </w:rPr>
        <w:t xml:space="preserve"> informuoja</w:t>
      </w:r>
      <w:r w:rsidR="00F12CF6" w:rsidRPr="00E148BC">
        <w:rPr>
          <w:rFonts w:ascii="Times New Roman" w:hAnsi="Times New Roman"/>
          <w:sz w:val="24"/>
          <w:szCs w:val="24"/>
          <w:lang w:val="lt-LT"/>
        </w:rPr>
        <w:t>,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jog siekiant užtikrinti tvarią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Neformaliojo vaik</w:t>
      </w:r>
      <w:r w:rsidR="00B6564C" w:rsidRPr="00E148BC">
        <w:rPr>
          <w:rFonts w:ascii="Times New Roman" w:hAnsi="Times New Roman" w:hint="eastAsia"/>
          <w:sz w:val="24"/>
          <w:szCs w:val="24"/>
          <w:lang w:val="lt-LT"/>
        </w:rPr>
        <w:t>ų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 švietimo (toliau – NVŠ)  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>finansavimo sistemą, 2020 m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etais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NVŠ veiklos bus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 ir toliau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finansuojamos išlaikant 2019 m. finansavimo lygį. Finansavimas savivaldybes </w:t>
      </w:r>
      <w:r w:rsidR="00400C3A" w:rsidRPr="00E148BC">
        <w:rPr>
          <w:rFonts w:ascii="Times New Roman" w:hAnsi="Times New Roman"/>
          <w:sz w:val="24"/>
          <w:szCs w:val="24"/>
          <w:lang w:val="lt-LT"/>
        </w:rPr>
        <w:t>ir švietimo teik</w:t>
      </w:r>
      <w:r w:rsidR="006B7F64" w:rsidRPr="00E148BC">
        <w:rPr>
          <w:rFonts w:ascii="Times New Roman" w:hAnsi="Times New Roman"/>
          <w:sz w:val="24"/>
          <w:szCs w:val="24"/>
          <w:lang w:val="lt-LT"/>
        </w:rPr>
        <w:t>ėj</w:t>
      </w:r>
      <w:r w:rsidR="00400C3A" w:rsidRPr="00E148BC">
        <w:rPr>
          <w:rFonts w:ascii="Times New Roman" w:hAnsi="Times New Roman"/>
          <w:sz w:val="24"/>
          <w:szCs w:val="24"/>
          <w:lang w:val="lt-LT"/>
        </w:rPr>
        <w:t xml:space="preserve">us 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pasieks </w:t>
      </w:r>
      <w:r w:rsidR="00400C3A" w:rsidRPr="00E148BC">
        <w:rPr>
          <w:rFonts w:ascii="Times New Roman" w:hAnsi="Times New Roman"/>
          <w:sz w:val="24"/>
          <w:szCs w:val="24"/>
          <w:lang w:val="lt-LT"/>
        </w:rPr>
        <w:t xml:space="preserve">įprasta pastarųjų metų tvarka. </w:t>
      </w:r>
      <w:r w:rsidR="00147EE2" w:rsidRPr="00E148BC">
        <w:rPr>
          <w:rFonts w:ascii="Times New Roman" w:hAnsi="Times New Roman"/>
          <w:sz w:val="24"/>
          <w:szCs w:val="24"/>
          <w:lang w:val="lt-LT"/>
        </w:rPr>
        <w:t>P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 xml:space="preserve">rašome savivaldybių </w:t>
      </w:r>
      <w:r w:rsidR="00F12CF6" w:rsidRPr="00E148BC">
        <w:rPr>
          <w:rFonts w:ascii="Times New Roman" w:hAnsi="Times New Roman"/>
          <w:sz w:val="24"/>
          <w:szCs w:val="24"/>
          <w:lang w:val="lt-LT"/>
        </w:rPr>
        <w:t>administracijų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 xml:space="preserve"> plėtoti neformaliojo vaikų švietimo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veiklas 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>ir informuoti teikėjus apie finansavimo tęstinumą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.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80A64" w:rsidRPr="00E148BC" w:rsidRDefault="00147EE2" w:rsidP="005635A5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Teigiamai vertiname</w:t>
      </w:r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 </w:t>
      </w:r>
      <w:r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Lietuvoje </w:t>
      </w:r>
      <w:r w:rsidR="005635A5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plačiai išvystytą </w:t>
      </w:r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meno ir sporto mokyklų tinkl</w:t>
      </w:r>
      <w:r w:rsidR="005635A5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ą</w:t>
      </w:r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, didel</w:t>
      </w:r>
      <w:r w:rsidR="005635A5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ę </w:t>
      </w:r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meno ir sporto krypčių programų pasiūla – jose dalyvauja beveik 70 proc. visų neformaliojo švietimo </w:t>
      </w:r>
      <w:proofErr w:type="spellStart"/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užsiėmim</w:t>
      </w:r>
      <w:r w:rsidR="000007F1" w:rsidRPr="00E148BC">
        <w:rPr>
          <w:lang w:val="lt-LT"/>
        </w:rPr>
        <w:t>us</w:t>
      </w:r>
      <w:proofErr w:type="spellEnd"/>
      <w:r w:rsidR="000007F1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 pasirinkusių mokinių</w:t>
      </w:r>
      <w:r w:rsidR="005635A5" w:rsidRPr="00E148BC">
        <w:rPr>
          <w:rFonts w:ascii="Times New Roman" w:hAnsi="Times New Roman"/>
          <w:sz w:val="24"/>
          <w:szCs w:val="24"/>
          <w:lang w:val="lt-LT"/>
        </w:rPr>
        <w:t xml:space="preserve">, tačiau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atkreipiame dėmesį, kad tik 5 </w:t>
      </w:r>
      <w:r w:rsidR="00B6564C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proc. Lietuvos mokinių dalyvauja STEAM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(</w:t>
      </w:r>
      <w:r w:rsidR="00B6564C" w:rsidRPr="00E148BC">
        <w:rPr>
          <w:rFonts w:ascii="Times New Roman" w:hAnsi="Times New Roman"/>
          <w:bCs/>
          <w:sz w:val="24"/>
          <w:szCs w:val="24"/>
          <w:lang w:val="lt-LT"/>
        </w:rPr>
        <w:t>angl.</w:t>
      </w:r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Science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,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Technology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,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Engineering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,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Art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 (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creative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activities</w:t>
      </w:r>
      <w:proofErr w:type="spellEnd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 xml:space="preserve">), </w:t>
      </w:r>
      <w:proofErr w:type="spellStart"/>
      <w:r w:rsidR="00B6564C" w:rsidRPr="00E148BC">
        <w:rPr>
          <w:rFonts w:ascii="Times New Roman" w:hAnsi="Times New Roman"/>
          <w:bCs/>
          <w:iCs/>
          <w:sz w:val="24"/>
          <w:szCs w:val="24"/>
          <w:lang w:val="lt-LT"/>
        </w:rPr>
        <w:t>Mathematics</w:t>
      </w:r>
      <w:proofErr w:type="spellEnd"/>
      <w:r w:rsidR="00B6564C" w:rsidRPr="00E148BC">
        <w:rPr>
          <w:rFonts w:ascii="Times New Roman" w:hAnsi="Times New Roman"/>
          <w:bCs/>
          <w:sz w:val="24"/>
          <w:szCs w:val="24"/>
          <w:lang w:val="lt-LT"/>
        </w:rPr>
        <w:t xml:space="preserve">) </w:t>
      </w:r>
      <w:r w:rsidR="00B6564C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>krypčių programose</w:t>
      </w:r>
      <w:r w:rsidR="00B6564C" w:rsidRPr="00E148BC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Pr="00E148BC">
        <w:rPr>
          <w:rFonts w:ascii="Times New Roman" w:hAnsi="Times New Roman"/>
          <w:sz w:val="24"/>
          <w:szCs w:val="24"/>
          <w:lang w:val="lt-LT"/>
        </w:rPr>
        <w:t xml:space="preserve">Lietuvos Respublikos Vyriausybės </w:t>
      </w:r>
      <w:r w:rsidR="00880A64" w:rsidRPr="00E148BC">
        <w:rPr>
          <w:rFonts w:ascii="Times New Roman" w:hAnsi="Times New Roman"/>
          <w:sz w:val="24"/>
          <w:szCs w:val="24"/>
          <w:lang w:val="lt-LT"/>
        </w:rPr>
        <w:t xml:space="preserve">programos </w:t>
      </w:r>
      <w:r w:rsidR="005635A5" w:rsidRPr="00E148BC">
        <w:rPr>
          <w:rFonts w:ascii="Times New Roman" w:hAnsi="Times New Roman"/>
          <w:sz w:val="24"/>
          <w:szCs w:val="24"/>
          <w:lang w:val="lt-LT"/>
        </w:rPr>
        <w:t xml:space="preserve">įgyvendinimo </w:t>
      </w:r>
      <w:r w:rsidR="00880A64" w:rsidRPr="00E148BC">
        <w:rPr>
          <w:rFonts w:ascii="Times New Roman" w:hAnsi="Times New Roman"/>
          <w:sz w:val="24"/>
          <w:szCs w:val="24"/>
          <w:lang w:val="lt-LT"/>
        </w:rPr>
        <w:t>priemon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ėse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 xml:space="preserve"> bei </w:t>
      </w:r>
      <w:r w:rsidR="00B13F7F" w:rsidRPr="00E148BC">
        <w:rPr>
          <w:rFonts w:ascii="Times New Roman" w:hAnsi="Times New Roman"/>
          <w:sz w:val="24"/>
          <w:szCs w:val="24"/>
          <w:lang w:val="lt-LT"/>
        </w:rPr>
        <w:t>vykdom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ų</w:t>
      </w:r>
      <w:r w:rsidR="00B13F7F" w:rsidRPr="00E148BC">
        <w:rPr>
          <w:rFonts w:ascii="Times New Roman" w:hAnsi="Times New Roman"/>
          <w:sz w:val="24"/>
          <w:szCs w:val="24"/>
          <w:lang w:val="lt-LT"/>
        </w:rPr>
        <w:t xml:space="preserve"> reformų projektu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ose </w:t>
      </w:r>
      <w:r w:rsidR="00B6564C" w:rsidRPr="00E148BC">
        <w:rPr>
          <w:rFonts w:ascii="Times New Roman" w:hAnsi="Times New Roman"/>
          <w:bCs/>
          <w:sz w:val="24"/>
          <w:szCs w:val="24"/>
          <w:lang w:val="lt-LT"/>
        </w:rPr>
        <w:t>STEAM plėtra numatyta kaip viena iš prioritetinių veiklų</w:t>
      </w:r>
      <w:r w:rsidR="00DA1096" w:rsidRPr="00E148BC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>nuo ikimokyklinio ugdymo iki aukštojo mokslo</w:t>
      </w:r>
      <w:r w:rsidRPr="00E148BC">
        <w:rPr>
          <w:rFonts w:ascii="Times New Roman" w:hAnsi="Times New Roman"/>
          <w:sz w:val="24"/>
          <w:szCs w:val="24"/>
          <w:lang w:val="lt-LT"/>
        </w:rPr>
        <w:t>.</w:t>
      </w:r>
      <w:r w:rsidR="00880A64" w:rsidRPr="00E148BC"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3D34A2" w:rsidRPr="00E148BC" w:rsidRDefault="008722DF" w:rsidP="00880A64">
      <w:pPr>
        <w:pStyle w:val="Porat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 xml:space="preserve">Ministerija </w:t>
      </w:r>
      <w:r w:rsidR="00AF3FE8" w:rsidRPr="00E148BC">
        <w:rPr>
          <w:rFonts w:ascii="Times New Roman" w:hAnsi="Times New Roman"/>
          <w:sz w:val="24"/>
          <w:szCs w:val="24"/>
          <w:lang w:val="lt-LT"/>
        </w:rPr>
        <w:t>rekomenduoja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 savivaldybėms plėtojant neformalųjį vaikų švietimą</w:t>
      </w:r>
      <w:r w:rsidR="005635A5" w:rsidRPr="00E148BC">
        <w:rPr>
          <w:rFonts w:ascii="Times New Roman" w:hAnsi="Times New Roman"/>
          <w:sz w:val="24"/>
          <w:szCs w:val="24"/>
          <w:lang w:val="lt-LT"/>
        </w:rPr>
        <w:t xml:space="preserve"> didesnį dėmesį skirti 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>STEAM krypties</w:t>
      </w:r>
      <w:r w:rsidR="00880A64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35A5" w:rsidRPr="00E148BC">
        <w:rPr>
          <w:rFonts w:ascii="Times New Roman" w:hAnsi="Times New Roman"/>
          <w:sz w:val="24"/>
          <w:szCs w:val="24"/>
          <w:lang w:val="lt-LT"/>
        </w:rPr>
        <w:t>programoms ir jų finansavimui.</w:t>
      </w:r>
      <w:r w:rsidR="00EA0DD6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R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 xml:space="preserve">emiantis Neformaliojo vaikų švietimo krypčių klasifikatoriumi, patvirtintu švietimo ir mokslo ministro 2012 m. rugpjūčio 16 d. įsakymu Nr. V-1240, </w:t>
      </w:r>
      <w:r w:rsidR="00015582" w:rsidRPr="00E148BC">
        <w:rPr>
          <w:rFonts w:ascii="Times New Roman" w:hAnsi="Times New Roman"/>
          <w:sz w:val="24"/>
          <w:szCs w:val="24"/>
          <w:lang w:val="lt-LT"/>
        </w:rPr>
        <w:t>STEAM programoms būtų priskiriamos</w:t>
      </w:r>
      <w:r w:rsidR="00346174" w:rsidRPr="00E148BC">
        <w:rPr>
          <w:rFonts w:ascii="Times New Roman" w:hAnsi="Times New Roman"/>
          <w:sz w:val="24"/>
          <w:szCs w:val="24"/>
          <w:lang w:val="lt-LT"/>
        </w:rPr>
        <w:t>: techninė kūryba, technologijos, g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>amta ir ekologija, informaci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lastRenderedPageBreak/>
        <w:t xml:space="preserve">nės technologijos, taip pat medijos ar kitos programos, </w:t>
      </w:r>
      <w:r w:rsidR="00C45419" w:rsidRPr="00E148BC">
        <w:rPr>
          <w:rFonts w:ascii="Times New Roman" w:hAnsi="Times New Roman"/>
          <w:sz w:val="24"/>
          <w:szCs w:val="24"/>
          <w:lang w:val="lt-LT"/>
        </w:rPr>
        <w:t xml:space="preserve">didinančios 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>kūrybiškumą ir įgyvendina</w:t>
      </w:r>
      <w:r w:rsidR="00880A64" w:rsidRPr="00E148BC">
        <w:rPr>
          <w:rFonts w:ascii="Times New Roman" w:hAnsi="Times New Roman"/>
          <w:sz w:val="24"/>
          <w:szCs w:val="24"/>
          <w:lang w:val="lt-LT"/>
        </w:rPr>
        <w:t>mos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 xml:space="preserve"> naudoja</w:t>
      </w:r>
      <w:r w:rsidR="00880A64" w:rsidRPr="00E148BC">
        <w:rPr>
          <w:rFonts w:ascii="Times New Roman" w:hAnsi="Times New Roman"/>
          <w:sz w:val="24"/>
          <w:szCs w:val="24"/>
          <w:lang w:val="lt-LT"/>
        </w:rPr>
        <w:t>nt</w:t>
      </w:r>
      <w:r w:rsidR="003D34A2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75CA" w:rsidRPr="00E148BC">
        <w:rPr>
          <w:rFonts w:ascii="Times New Roman" w:hAnsi="Times New Roman"/>
          <w:sz w:val="24"/>
          <w:szCs w:val="24"/>
          <w:lang w:val="lt-LT"/>
        </w:rPr>
        <w:t>technologijas. Skatinamos</w:t>
      </w:r>
      <w:r w:rsidR="00C45419" w:rsidRPr="00E148BC">
        <w:rPr>
          <w:rFonts w:ascii="Times New Roman" w:hAnsi="Times New Roman"/>
          <w:sz w:val="24"/>
          <w:szCs w:val="24"/>
          <w:lang w:val="lt-LT"/>
        </w:rPr>
        <w:t xml:space="preserve"> programos, kurios STEAM veiklas integruoja</w:t>
      </w:r>
      <w:r w:rsidR="008E75CA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45419" w:rsidRPr="00E148BC">
        <w:rPr>
          <w:rFonts w:ascii="Times New Roman" w:hAnsi="Times New Roman"/>
          <w:sz w:val="24"/>
          <w:szCs w:val="24"/>
          <w:lang w:val="lt-LT"/>
        </w:rPr>
        <w:t xml:space="preserve">su </w:t>
      </w:r>
      <w:r w:rsidR="00DA1096" w:rsidRPr="00E148BC">
        <w:rPr>
          <w:rFonts w:ascii="Times New Roman" w:hAnsi="Times New Roman"/>
          <w:sz w:val="24"/>
          <w:szCs w:val="24"/>
          <w:lang w:val="lt-LT"/>
        </w:rPr>
        <w:t>fizinio aktyvumo, meninio ugdymo</w:t>
      </w:r>
      <w:r w:rsidR="00C45419" w:rsidRPr="00E148BC">
        <w:rPr>
          <w:rFonts w:ascii="Times New Roman" w:hAnsi="Times New Roman"/>
          <w:sz w:val="24"/>
          <w:szCs w:val="24"/>
          <w:lang w:val="lt-LT"/>
        </w:rPr>
        <w:t xml:space="preserve"> ir kitais </w:t>
      </w:r>
      <w:proofErr w:type="spellStart"/>
      <w:r w:rsidR="00C45419" w:rsidRPr="00E148BC">
        <w:rPr>
          <w:rFonts w:ascii="Times New Roman" w:hAnsi="Times New Roman"/>
          <w:sz w:val="24"/>
          <w:szCs w:val="24"/>
          <w:lang w:val="lt-LT"/>
        </w:rPr>
        <w:t>užsiėmimais</w:t>
      </w:r>
      <w:proofErr w:type="spellEnd"/>
      <w:r w:rsidR="00DA1096" w:rsidRPr="00E148BC">
        <w:rPr>
          <w:rFonts w:ascii="Times New Roman" w:hAnsi="Times New Roman"/>
          <w:sz w:val="24"/>
          <w:szCs w:val="24"/>
          <w:lang w:val="lt-LT"/>
        </w:rPr>
        <w:t>.</w:t>
      </w:r>
    </w:p>
    <w:p w:rsidR="00AA4F0E" w:rsidRPr="00E148BC" w:rsidRDefault="00AA4F0E" w:rsidP="00AA4F0E">
      <w:pPr>
        <w:spacing w:line="36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  <w:lang w:val="lt-LT" w:eastAsia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>Primename, kad Neformaliojo vaikų švietimo lėšų skyrimo ir panaudojimo tvarkos aprašo (toliau – Aprašas) pakeitimai, įforminti 2019 m. lapkričio 18 d. švietimo, mokslo ir sporto ministro įsakymu Nr. V-1316 „D</w:t>
      </w:r>
      <w:r w:rsidRPr="00E148BC">
        <w:rPr>
          <w:rFonts w:ascii="Times New Roman" w:hAnsi="Times New Roman"/>
          <w:bCs/>
          <w:sz w:val="24"/>
          <w:szCs w:val="24"/>
          <w:lang w:val="lt-LT"/>
        </w:rPr>
        <w:t>ėl švietimo ir mokslo ministro 2018 m. rugsėjo 12 d. įsakymo Nr. V-758 „Dėl neformaliojo vaikų švietimo lėšų skyrimo ir panaudojimo tvarkos aprašo patvirtinimo pakeitimo“, parengti išanalizavus dalyvavimo NVŠ veiklose statistiką, taip pat atsižvelgiant į atliekamų apklausų duomenis bei į suinteresuotų pusių teikiamas rekomendacijas.</w:t>
      </w:r>
      <w:r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C5F07" w:rsidRPr="00E148BC" w:rsidRDefault="003F4C1B" w:rsidP="00BC5F07">
      <w:pPr>
        <w:pStyle w:val="Default"/>
        <w:spacing w:line="360" w:lineRule="auto"/>
        <w:ind w:firstLine="851"/>
        <w:jc w:val="both"/>
        <w:rPr>
          <w:bCs/>
        </w:rPr>
      </w:pPr>
      <w:r w:rsidRPr="00E148BC">
        <w:t>Taip pat</w:t>
      </w:r>
      <w:r w:rsidR="00AA4F0E" w:rsidRPr="00E148BC">
        <w:t xml:space="preserve">, </w:t>
      </w:r>
      <w:r w:rsidR="00880A64" w:rsidRPr="00E148BC">
        <w:t>savivaldyb</w:t>
      </w:r>
      <w:r w:rsidR="00AA4F0E" w:rsidRPr="00E148BC">
        <w:t>ė</w:t>
      </w:r>
      <w:r w:rsidR="00880A64" w:rsidRPr="00E148BC">
        <w:t>s</w:t>
      </w:r>
      <w:r w:rsidR="00AA4F0E" w:rsidRPr="00E148BC">
        <w:t xml:space="preserve"> </w:t>
      </w:r>
      <w:r w:rsidRPr="00E148BC">
        <w:t xml:space="preserve">skatinamos </w:t>
      </w:r>
      <w:r w:rsidR="00880A64" w:rsidRPr="00E148BC">
        <w:t xml:space="preserve">analizuoti NVŠ duomenis, kaupiamus švietimo registruose, naudotis viešąja neformaliojo vaikų švietimo statistika </w:t>
      </w:r>
      <w:proofErr w:type="spellStart"/>
      <w:r w:rsidR="00880A64" w:rsidRPr="00E148BC">
        <w:t>E</w:t>
      </w:r>
      <w:r w:rsidR="008748FC" w:rsidRPr="00E148BC">
        <w:t>.</w:t>
      </w:r>
      <w:r w:rsidR="00880A64" w:rsidRPr="00E148BC">
        <w:t>mokyklos</w:t>
      </w:r>
      <w:proofErr w:type="spellEnd"/>
      <w:r w:rsidR="00880A64" w:rsidRPr="00E148BC">
        <w:t xml:space="preserve"> portale (</w:t>
      </w:r>
      <w:hyperlink r:id="rId12" w:history="1">
        <w:r w:rsidR="00880A64" w:rsidRPr="00E148BC">
          <w:rPr>
            <w:rStyle w:val="Hipersaitas"/>
          </w:rPr>
          <w:t>https://www.emokykla.lt/neformalus/pradzia</w:t>
        </w:r>
      </w:hyperlink>
      <w:r w:rsidR="00880A64" w:rsidRPr="00E148BC">
        <w:t>) ir ŠVIS (</w:t>
      </w:r>
      <w:hyperlink r:id="rId13" w:history="1">
        <w:r w:rsidR="00880A64" w:rsidRPr="00E148BC">
          <w:rPr>
            <w:rStyle w:val="Hipersaitas"/>
          </w:rPr>
          <w:t>http://svis.emokykla.lt/neformalus-vaiku-svietimas/</w:t>
        </w:r>
      </w:hyperlink>
      <w:r w:rsidR="00880A64" w:rsidRPr="00E148BC">
        <w:t>) ir priimti sprendimus, kad kiekvienas vaikas atrastų norimą neformaliojo švietimo programą</w:t>
      </w:r>
      <w:r w:rsidR="008641ED" w:rsidRPr="00E148BC">
        <w:t>.</w:t>
      </w:r>
    </w:p>
    <w:p w:rsidR="00E24494" w:rsidRPr="00E148BC" w:rsidRDefault="00E24494" w:rsidP="00902190">
      <w:pPr>
        <w:pStyle w:val="prastasiniatinklio"/>
        <w:spacing w:before="0" w:beforeAutospacing="0" w:after="0" w:afterAutospacing="0" w:line="360" w:lineRule="auto"/>
        <w:ind w:firstLine="851"/>
        <w:jc w:val="both"/>
      </w:pPr>
      <w:r w:rsidRPr="00E148BC">
        <w:t>Atkreipiame dėmesį</w:t>
      </w:r>
      <w:r w:rsidR="00AA4F0E" w:rsidRPr="00E148BC">
        <w:t xml:space="preserve"> į tai</w:t>
      </w:r>
      <w:r w:rsidRPr="00E148BC">
        <w:t>, kad</w:t>
      </w:r>
      <w:r w:rsidR="004423FB" w:rsidRPr="00E148BC">
        <w:t xml:space="preserve">, atlikus Aprašo pakeitimus, </w:t>
      </w:r>
      <w:r w:rsidR="001B478C" w:rsidRPr="00E148BC">
        <w:t xml:space="preserve">NVŠ teikėjais gali būti ir profesinio mokymo įstaigos, </w:t>
      </w:r>
      <w:r w:rsidR="00880A64" w:rsidRPr="00E148BC">
        <w:t>kuriose</w:t>
      </w:r>
      <w:r w:rsidR="004423FB" w:rsidRPr="00E148BC">
        <w:t xml:space="preserve"> </w:t>
      </w:r>
      <w:r w:rsidR="001B478C" w:rsidRPr="00E148BC">
        <w:t>yra puikios galimybės įgyvendinti įvairių krypčių, ta</w:t>
      </w:r>
      <w:r w:rsidR="008748FC" w:rsidRPr="00E148BC">
        <w:t>rp jų</w:t>
      </w:r>
      <w:r w:rsidR="001B478C" w:rsidRPr="00E148BC">
        <w:t xml:space="preserve"> </w:t>
      </w:r>
      <w:r w:rsidR="00AA4F0E" w:rsidRPr="00E148BC">
        <w:t xml:space="preserve">– </w:t>
      </w:r>
      <w:r w:rsidR="001B478C" w:rsidRPr="00E148BC">
        <w:t>ir STE</w:t>
      </w:r>
      <w:r w:rsidR="004423FB" w:rsidRPr="00E148BC">
        <w:t>AM programas</w:t>
      </w:r>
      <w:r w:rsidR="008748FC" w:rsidRPr="00E148BC">
        <w:t>,</w:t>
      </w:r>
      <w:r w:rsidR="004423FB" w:rsidRPr="00E148BC">
        <w:t xml:space="preserve"> </w:t>
      </w:r>
      <w:r w:rsidR="00AA4F0E" w:rsidRPr="00E148BC">
        <w:t xml:space="preserve">kurios yra </w:t>
      </w:r>
      <w:r w:rsidR="004423FB" w:rsidRPr="00E148BC">
        <w:t>skirt</w:t>
      </w:r>
      <w:r w:rsidR="00AA4F0E" w:rsidRPr="00E148BC">
        <w:t>o</w:t>
      </w:r>
      <w:r w:rsidR="004423FB" w:rsidRPr="00E148BC">
        <w:t>s</w:t>
      </w:r>
      <w:r w:rsidR="00AA4F0E" w:rsidRPr="00E148BC">
        <w:t xml:space="preserve"> ir</w:t>
      </w:r>
      <w:r w:rsidR="004423FB" w:rsidRPr="00E148BC">
        <w:t xml:space="preserve"> vyresniems mokiniams.</w:t>
      </w:r>
    </w:p>
    <w:p w:rsidR="004423FB" w:rsidRPr="00E148BC" w:rsidRDefault="00AA4F0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>Be to, Aprašas numato, kad į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gyvendinant gerovės valstybės nuostatas ir siekiant mažinti socialinius ir švietimo netolygumus, vaikams, turintiems </w:t>
      </w:r>
      <w:r w:rsidRPr="00E148BC">
        <w:rPr>
          <w:rFonts w:ascii="Times New Roman" w:hAnsi="Times New Roman"/>
          <w:sz w:val="24"/>
          <w:szCs w:val="24"/>
          <w:lang w:val="lt-LT"/>
        </w:rPr>
        <w:t xml:space="preserve">įvairių 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>ugdymo poreikių ar gaunantiems socialinę paramą</w:t>
      </w:r>
      <w:r w:rsidR="008748FC" w:rsidRPr="00E148BC">
        <w:rPr>
          <w:rFonts w:ascii="Times New Roman" w:hAnsi="Times New Roman"/>
          <w:sz w:val="24"/>
          <w:szCs w:val="24"/>
          <w:lang w:val="lt-LT"/>
        </w:rPr>
        <w:t>,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 suteikiama pirmumo teis</w:t>
      </w:r>
      <w:r w:rsidR="008748FC" w:rsidRPr="00E148BC">
        <w:rPr>
          <w:rFonts w:ascii="Times New Roman" w:hAnsi="Times New Roman"/>
          <w:sz w:val="24"/>
          <w:szCs w:val="24"/>
          <w:lang w:val="lt-LT"/>
        </w:rPr>
        <w:t>ė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 naudotis NVŠ lėšomis, jei </w:t>
      </w:r>
      <w:r w:rsidRPr="00E148BC">
        <w:rPr>
          <w:rFonts w:ascii="Times New Roman" w:hAnsi="Times New Roman"/>
          <w:sz w:val="24"/>
          <w:szCs w:val="24"/>
          <w:lang w:val="lt-LT"/>
        </w:rPr>
        <w:t>vaikų,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 norinčių pasinaudoti minėtomis lėšomis</w:t>
      </w:r>
      <w:r w:rsidR="008748FC" w:rsidRPr="00E148BC">
        <w:rPr>
          <w:rFonts w:ascii="Times New Roman" w:hAnsi="Times New Roman"/>
          <w:sz w:val="24"/>
          <w:szCs w:val="24"/>
          <w:lang w:val="lt-LT"/>
        </w:rPr>
        <w:t>,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 būtų daugiau, nei leidžia finansinės gal</w:t>
      </w:r>
      <w:r w:rsidR="008748FC" w:rsidRPr="00E148BC">
        <w:rPr>
          <w:rFonts w:ascii="Times New Roman" w:hAnsi="Times New Roman"/>
          <w:sz w:val="24"/>
          <w:szCs w:val="24"/>
          <w:lang w:val="lt-LT"/>
        </w:rPr>
        <w:t xml:space="preserve">imybės. </w:t>
      </w:r>
      <w:r w:rsidRPr="00E148BC">
        <w:rPr>
          <w:rFonts w:ascii="Times New Roman" w:hAnsi="Times New Roman"/>
          <w:sz w:val="24"/>
          <w:szCs w:val="24"/>
          <w:lang w:val="lt-LT"/>
        </w:rPr>
        <w:t xml:space="preserve">Remiantis </w:t>
      </w:r>
      <w:r w:rsidR="008D6E06" w:rsidRPr="00E148BC">
        <w:rPr>
          <w:rFonts w:ascii="Times New Roman" w:hAnsi="Times New Roman"/>
          <w:sz w:val="24"/>
          <w:szCs w:val="24"/>
          <w:lang w:val="lt-LT"/>
        </w:rPr>
        <w:t xml:space="preserve">ŠVIS duomenimis, 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 xml:space="preserve">NVŠ dalyvauja </w:t>
      </w:r>
      <w:r w:rsidR="00BF300E" w:rsidRPr="00E148BC">
        <w:rPr>
          <w:rFonts w:ascii="Times New Roman" w:hAnsi="Times New Roman"/>
          <w:sz w:val="24"/>
          <w:szCs w:val="24"/>
          <w:lang w:val="lt-LT"/>
        </w:rPr>
        <w:t xml:space="preserve">tik 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 xml:space="preserve">30 proc. </w:t>
      </w:r>
      <w:r w:rsidRPr="00E148BC">
        <w:rPr>
          <w:rFonts w:ascii="Times New Roman" w:hAnsi="Times New Roman"/>
          <w:sz w:val="24"/>
          <w:szCs w:val="24"/>
          <w:lang w:val="lt-LT"/>
        </w:rPr>
        <w:t xml:space="preserve">įvairių 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>ugdymosi poreikių turinčių vaikų</w:t>
      </w:r>
      <w:r w:rsidRPr="00E148BC">
        <w:rPr>
          <w:rFonts w:ascii="Times New Roman" w:hAnsi="Times New Roman"/>
          <w:sz w:val="24"/>
          <w:szCs w:val="24"/>
          <w:lang w:val="lt-LT"/>
        </w:rPr>
        <w:t>.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48BC">
        <w:rPr>
          <w:rFonts w:ascii="Times New Roman" w:hAnsi="Times New Roman"/>
          <w:sz w:val="24"/>
          <w:szCs w:val="24"/>
          <w:lang w:val="lt-LT"/>
        </w:rPr>
        <w:t>B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 xml:space="preserve">endras </w:t>
      </w:r>
      <w:r w:rsidR="001D2AE3" w:rsidRPr="00E148BC">
        <w:rPr>
          <w:rFonts w:ascii="Times New Roman" w:hAnsi="Times New Roman"/>
          <w:sz w:val="24"/>
          <w:szCs w:val="24"/>
          <w:lang w:val="lt-LT"/>
        </w:rPr>
        <w:t xml:space="preserve">visų vaikų </w:t>
      </w:r>
      <w:r w:rsidR="004D30DD" w:rsidRPr="00E148BC">
        <w:rPr>
          <w:rFonts w:ascii="Times New Roman" w:hAnsi="Times New Roman"/>
          <w:sz w:val="24"/>
          <w:szCs w:val="24"/>
          <w:lang w:val="lt-LT"/>
        </w:rPr>
        <w:t xml:space="preserve">dalyvavimas NVŠ yra 60 proc. </w:t>
      </w:r>
      <w:r w:rsidRPr="00E148BC">
        <w:rPr>
          <w:rFonts w:ascii="Times New Roman" w:hAnsi="Times New Roman"/>
          <w:sz w:val="24"/>
          <w:szCs w:val="24"/>
          <w:lang w:val="lt-LT"/>
        </w:rPr>
        <w:t>Š</w:t>
      </w:r>
      <w:r w:rsidR="004F63A4" w:rsidRPr="00E148BC">
        <w:rPr>
          <w:rFonts w:ascii="Times New Roman" w:hAnsi="Times New Roman"/>
          <w:sz w:val="24"/>
          <w:szCs w:val="24"/>
          <w:lang w:val="lt-LT"/>
        </w:rPr>
        <w:t xml:space="preserve">iuo metu yra kuriamos </w:t>
      </w:r>
      <w:r w:rsidR="00A310D3" w:rsidRPr="00E148BC">
        <w:rPr>
          <w:rFonts w:ascii="Times New Roman" w:hAnsi="Times New Roman"/>
          <w:sz w:val="24"/>
          <w:szCs w:val="24"/>
          <w:lang w:val="lt-LT"/>
        </w:rPr>
        <w:t xml:space="preserve">ŠVIS ir 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>Socialinės paramos šeimai informacinės sistemos (</w:t>
      </w:r>
      <w:r w:rsidR="00A310D3" w:rsidRPr="00E148BC">
        <w:rPr>
          <w:rFonts w:ascii="Times New Roman" w:hAnsi="Times New Roman"/>
          <w:sz w:val="24"/>
          <w:szCs w:val="24"/>
          <w:lang w:val="lt-LT"/>
        </w:rPr>
        <w:t>SPIS</w:t>
      </w:r>
      <w:r w:rsidR="00A310D3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) </w:t>
      </w:r>
      <w:r w:rsidR="00E74088" w:rsidRPr="00E148BC">
        <w:rPr>
          <w:rFonts w:ascii="Times New Roman" w:hAnsi="Times New Roman"/>
          <w:color w:val="000000"/>
          <w:sz w:val="24"/>
          <w:szCs w:val="24"/>
          <w:lang w:val="lt-LT"/>
        </w:rPr>
        <w:t>sąsaj</w:t>
      </w:r>
      <w:r w:rsidR="004F63A4" w:rsidRPr="00E148BC">
        <w:rPr>
          <w:rFonts w:ascii="Times New Roman" w:hAnsi="Times New Roman"/>
          <w:color w:val="000000"/>
          <w:sz w:val="24"/>
          <w:szCs w:val="24"/>
          <w:lang w:val="lt-LT"/>
        </w:rPr>
        <w:t>os, kurios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 palengvins vaikų, dalyvaujančių NVŠ ir </w:t>
      </w:r>
      <w:r w:rsidR="00B76933" w:rsidRPr="00E148BC">
        <w:rPr>
          <w:rFonts w:ascii="Times New Roman" w:hAnsi="Times New Roman"/>
          <w:sz w:val="24"/>
          <w:szCs w:val="24"/>
          <w:lang w:val="lt-LT"/>
        </w:rPr>
        <w:t>gaunančių socialinę paramą</w:t>
      </w:r>
      <w:r w:rsidR="004F63A4" w:rsidRPr="00E148BC">
        <w:rPr>
          <w:rFonts w:ascii="Times New Roman" w:hAnsi="Times New Roman"/>
          <w:sz w:val="24"/>
          <w:szCs w:val="24"/>
          <w:lang w:val="lt-LT"/>
        </w:rPr>
        <w:t>,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 stebėsen</w:t>
      </w:r>
      <w:r w:rsidR="00E74088" w:rsidRPr="00E148BC"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4F63A4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nacionaliniu ir 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>savivaldybės</w:t>
      </w:r>
      <w:r w:rsidR="004F63A4" w:rsidRPr="00E148BC">
        <w:rPr>
          <w:rFonts w:ascii="Times New Roman" w:hAnsi="Times New Roman"/>
          <w:color w:val="000000"/>
          <w:sz w:val="24"/>
          <w:szCs w:val="24"/>
          <w:lang w:val="lt-LT"/>
        </w:rPr>
        <w:t xml:space="preserve"> lygmenimis</w:t>
      </w:r>
      <w:r w:rsidR="00B76933" w:rsidRPr="00E148BC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84C70" w:rsidRPr="00E148BC" w:rsidRDefault="004423FB" w:rsidP="000F49E4">
      <w:pPr>
        <w:pStyle w:val="Default"/>
        <w:spacing w:line="360" w:lineRule="auto"/>
        <w:ind w:firstLine="851"/>
        <w:jc w:val="both"/>
        <w:rPr>
          <w:bCs/>
        </w:rPr>
      </w:pPr>
      <w:r w:rsidRPr="00E148BC">
        <w:t>Konkrečios rekomendacijos, kaip įgyvendinti N</w:t>
      </w:r>
      <w:r w:rsidR="00AA4F0E" w:rsidRPr="00E148BC">
        <w:t>VŠ</w:t>
      </w:r>
      <w:r w:rsidRPr="00E148BC">
        <w:rPr>
          <w:bCs/>
        </w:rPr>
        <w:t xml:space="preserve"> lėšų skyrimo ir panaudojimo tvarkos aprašo nuostatas, </w:t>
      </w:r>
      <w:r w:rsidR="008722DF" w:rsidRPr="00E148BC">
        <w:rPr>
          <w:bCs/>
        </w:rPr>
        <w:t xml:space="preserve">skelbiamos </w:t>
      </w:r>
      <w:r w:rsidRPr="00E148BC">
        <w:rPr>
          <w:bCs/>
        </w:rPr>
        <w:t>Lietuvos neformaliojo švietimo centro tink</w:t>
      </w:r>
      <w:r w:rsidR="00BC489D" w:rsidRPr="00E148BC">
        <w:rPr>
          <w:bCs/>
        </w:rPr>
        <w:t>lapyje adresu</w:t>
      </w:r>
      <w:r w:rsidRPr="00E148BC">
        <w:rPr>
          <w:bCs/>
        </w:rPr>
        <w:t xml:space="preserve"> </w:t>
      </w:r>
      <w:r w:rsidR="007A5E52" w:rsidRPr="00E148BC">
        <w:rPr>
          <w:bCs/>
        </w:rPr>
        <w:t xml:space="preserve"> </w:t>
      </w:r>
      <w:hyperlink r:id="rId14" w:history="1">
        <w:r w:rsidR="007A5E52" w:rsidRPr="00E148BC">
          <w:rPr>
            <w:rStyle w:val="Hipersaitas"/>
            <w:bCs/>
          </w:rPr>
          <w:t>https://www.lmnsc.lt/nvs-programu-tikslinis-finansavimas/</w:t>
        </w:r>
      </w:hyperlink>
      <w:r w:rsidR="007A5E52" w:rsidRPr="00E148BC">
        <w:rPr>
          <w:bCs/>
        </w:rPr>
        <w:t xml:space="preserve">. </w:t>
      </w:r>
    </w:p>
    <w:p w:rsidR="007A5E52" w:rsidRPr="00E148BC" w:rsidRDefault="007A5E52" w:rsidP="006B7F64">
      <w:pPr>
        <w:pStyle w:val="Default"/>
        <w:spacing w:line="360" w:lineRule="auto"/>
        <w:rPr>
          <w:color w:val="auto"/>
          <w:lang w:eastAsia="en-US"/>
        </w:rPr>
      </w:pPr>
    </w:p>
    <w:p w:rsidR="006B7F64" w:rsidRPr="00E148BC" w:rsidRDefault="006B7F64" w:rsidP="006B7F64">
      <w:pPr>
        <w:pStyle w:val="Default"/>
        <w:spacing w:line="360" w:lineRule="auto"/>
      </w:pPr>
    </w:p>
    <w:tbl>
      <w:tblPr>
        <w:tblW w:w="957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494"/>
        <w:gridCol w:w="4077"/>
      </w:tblGrid>
      <w:tr w:rsidR="00275D2C" w:rsidRPr="00E148BC" w:rsidTr="002800B8">
        <w:trPr>
          <w:cantSplit/>
        </w:trPr>
        <w:tc>
          <w:tcPr>
            <w:tcW w:w="5494" w:type="dxa"/>
          </w:tcPr>
          <w:p w:rsidR="00275D2C" w:rsidRPr="00E148BC" w:rsidRDefault="00B811EC" w:rsidP="00B811EC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lang w:val="lt-LT"/>
              </w:rPr>
              <w:t>Švietimo, mokslo ir sporto m</w:t>
            </w:r>
            <w:r w:rsidR="00AF3FE8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inistras </w:t>
            </w:r>
          </w:p>
        </w:tc>
        <w:tc>
          <w:tcPr>
            <w:tcW w:w="4077" w:type="dxa"/>
          </w:tcPr>
          <w:p w:rsidR="00275D2C" w:rsidRPr="00E148BC" w:rsidRDefault="00AF3FE8" w:rsidP="00E45DC5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Algirdas Monkevičius</w:t>
            </w:r>
          </w:p>
        </w:tc>
      </w:tr>
    </w:tbl>
    <w:p w:rsidR="00EB35AD" w:rsidRPr="00E148BC" w:rsidRDefault="00EB35AD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B35AD" w:rsidRPr="00E148BC" w:rsidRDefault="00EB35AD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1785D" w:rsidRPr="00E148BC" w:rsidRDefault="00D1785D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B7F64" w:rsidRPr="00E148BC" w:rsidRDefault="006B7F64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1785D" w:rsidRPr="00E148BC" w:rsidRDefault="00D1785D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C5DA3" w:rsidRPr="003D34A2" w:rsidRDefault="004C5E22" w:rsidP="0076399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 xml:space="preserve">Aušra Birietienė, </w:t>
      </w:r>
      <w:r w:rsidR="00475ED3" w:rsidRPr="00E148BC">
        <w:rPr>
          <w:rFonts w:ascii="Times New Roman" w:hAnsi="Times New Roman"/>
          <w:sz w:val="24"/>
          <w:szCs w:val="24"/>
          <w:lang w:val="lt-LT"/>
        </w:rPr>
        <w:t>(8 5)  219 116</w:t>
      </w:r>
      <w:r w:rsidRPr="00E148BC">
        <w:rPr>
          <w:rFonts w:ascii="Times New Roman" w:hAnsi="Times New Roman"/>
          <w:sz w:val="24"/>
          <w:szCs w:val="24"/>
          <w:lang w:val="lt-LT"/>
        </w:rPr>
        <w:t>7</w:t>
      </w:r>
      <w:r w:rsidR="002502EA" w:rsidRPr="00E148BC">
        <w:rPr>
          <w:rFonts w:ascii="Times New Roman" w:hAnsi="Times New Roman"/>
          <w:sz w:val="24"/>
          <w:szCs w:val="24"/>
          <w:lang w:val="lt-LT"/>
        </w:rPr>
        <w:t xml:space="preserve">, el. p. </w:t>
      </w:r>
      <w:r w:rsidRPr="00E148BC">
        <w:rPr>
          <w:rFonts w:ascii="Times New Roman" w:hAnsi="Times New Roman"/>
          <w:sz w:val="24"/>
          <w:szCs w:val="24"/>
          <w:lang w:val="lt-LT"/>
        </w:rPr>
        <w:t>Ausra.Birietiene</w:t>
      </w:r>
      <w:r w:rsidR="002502EA" w:rsidRPr="00E148BC">
        <w:rPr>
          <w:rFonts w:ascii="Times New Roman" w:hAnsi="Times New Roman"/>
          <w:sz w:val="24"/>
          <w:szCs w:val="24"/>
          <w:lang w:val="lt-LT"/>
        </w:rPr>
        <w:t>@smm.lt</w:t>
      </w:r>
    </w:p>
    <w:sectPr w:rsidR="00AC5DA3" w:rsidRPr="003D34A2" w:rsidSect="00003E40">
      <w:footerReference w:type="even" r:id="rId15"/>
      <w:footerReference w:type="default" r:id="rId16"/>
      <w:footerReference w:type="first" r:id="rId17"/>
      <w:type w:val="continuous"/>
      <w:pgSz w:w="11907" w:h="16840" w:code="9"/>
      <w:pgMar w:top="1134" w:right="708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6A" w:rsidRDefault="0000306A">
      <w:r>
        <w:separator/>
      </w:r>
    </w:p>
  </w:endnote>
  <w:endnote w:type="continuationSeparator" w:id="0">
    <w:p w:rsidR="0000306A" w:rsidRDefault="0000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Default="00825C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5CDB" w:rsidRDefault="00825CD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Pr="00DA4683" w:rsidRDefault="00825CDB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:rsidR="00825CDB" w:rsidRDefault="00825CD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Pr="00DA4683" w:rsidRDefault="00825CDB" w:rsidP="001349D6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:rsidR="00825CDB" w:rsidRDefault="00825CD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6A" w:rsidRDefault="0000306A">
      <w:r>
        <w:separator/>
      </w:r>
    </w:p>
  </w:footnote>
  <w:footnote w:type="continuationSeparator" w:id="0">
    <w:p w:rsidR="0000306A" w:rsidRDefault="0000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879"/>
    <w:multiLevelType w:val="hybridMultilevel"/>
    <w:tmpl w:val="8FB8E8FC"/>
    <w:lvl w:ilvl="0" w:tplc="CCBC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B206C"/>
    <w:multiLevelType w:val="hybridMultilevel"/>
    <w:tmpl w:val="250ED178"/>
    <w:lvl w:ilvl="0" w:tplc="EBA0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976E2"/>
    <w:multiLevelType w:val="hybridMultilevel"/>
    <w:tmpl w:val="79CC276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5530"/>
    <w:multiLevelType w:val="hybridMultilevel"/>
    <w:tmpl w:val="79CC276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5"/>
    <w:rsid w:val="000007F1"/>
    <w:rsid w:val="0000306A"/>
    <w:rsid w:val="00003E40"/>
    <w:rsid w:val="00006B9B"/>
    <w:rsid w:val="00015582"/>
    <w:rsid w:val="0002049F"/>
    <w:rsid w:val="00041281"/>
    <w:rsid w:val="00060042"/>
    <w:rsid w:val="00066466"/>
    <w:rsid w:val="00075442"/>
    <w:rsid w:val="0008504D"/>
    <w:rsid w:val="000A764D"/>
    <w:rsid w:val="000B035B"/>
    <w:rsid w:val="000B5E84"/>
    <w:rsid w:val="000B66C6"/>
    <w:rsid w:val="000C5369"/>
    <w:rsid w:val="000F49E4"/>
    <w:rsid w:val="000F6DF5"/>
    <w:rsid w:val="001221B7"/>
    <w:rsid w:val="00132154"/>
    <w:rsid w:val="001349D6"/>
    <w:rsid w:val="00147EE2"/>
    <w:rsid w:val="00150C3A"/>
    <w:rsid w:val="00151468"/>
    <w:rsid w:val="00152C58"/>
    <w:rsid w:val="001557AC"/>
    <w:rsid w:val="001637E7"/>
    <w:rsid w:val="00166B54"/>
    <w:rsid w:val="00167C67"/>
    <w:rsid w:val="00171F7B"/>
    <w:rsid w:val="00174452"/>
    <w:rsid w:val="001974E0"/>
    <w:rsid w:val="001B0CE2"/>
    <w:rsid w:val="001B3632"/>
    <w:rsid w:val="001B478C"/>
    <w:rsid w:val="001C05B2"/>
    <w:rsid w:val="001C68D6"/>
    <w:rsid w:val="001D26CC"/>
    <w:rsid w:val="001D2AE3"/>
    <w:rsid w:val="001E29F5"/>
    <w:rsid w:val="001F2F39"/>
    <w:rsid w:val="001F59DC"/>
    <w:rsid w:val="00203A76"/>
    <w:rsid w:val="0020712A"/>
    <w:rsid w:val="0021518B"/>
    <w:rsid w:val="002502EA"/>
    <w:rsid w:val="002523EF"/>
    <w:rsid w:val="002649AB"/>
    <w:rsid w:val="00267DAC"/>
    <w:rsid w:val="00273851"/>
    <w:rsid w:val="00275A4E"/>
    <w:rsid w:val="00275D2C"/>
    <w:rsid w:val="002800B8"/>
    <w:rsid w:val="0029122B"/>
    <w:rsid w:val="00293B0B"/>
    <w:rsid w:val="002B72D5"/>
    <w:rsid w:val="002C377C"/>
    <w:rsid w:val="002F44C1"/>
    <w:rsid w:val="002F4A20"/>
    <w:rsid w:val="003017B0"/>
    <w:rsid w:val="00320263"/>
    <w:rsid w:val="00322863"/>
    <w:rsid w:val="00337854"/>
    <w:rsid w:val="00346174"/>
    <w:rsid w:val="00372CF6"/>
    <w:rsid w:val="00385D08"/>
    <w:rsid w:val="00386581"/>
    <w:rsid w:val="00394F53"/>
    <w:rsid w:val="003976EE"/>
    <w:rsid w:val="003A06CD"/>
    <w:rsid w:val="003B28D4"/>
    <w:rsid w:val="003D0938"/>
    <w:rsid w:val="003D34A2"/>
    <w:rsid w:val="003E4F79"/>
    <w:rsid w:val="003F4C1B"/>
    <w:rsid w:val="003F7AFE"/>
    <w:rsid w:val="00400C3A"/>
    <w:rsid w:val="00403BF2"/>
    <w:rsid w:val="00407A48"/>
    <w:rsid w:val="004134A2"/>
    <w:rsid w:val="00420049"/>
    <w:rsid w:val="004235D9"/>
    <w:rsid w:val="004423FB"/>
    <w:rsid w:val="00456F34"/>
    <w:rsid w:val="00462C7E"/>
    <w:rsid w:val="00470D1C"/>
    <w:rsid w:val="00475ED3"/>
    <w:rsid w:val="004845E3"/>
    <w:rsid w:val="00484887"/>
    <w:rsid w:val="00493018"/>
    <w:rsid w:val="00494B71"/>
    <w:rsid w:val="00496F77"/>
    <w:rsid w:val="00497B75"/>
    <w:rsid w:val="004B53C3"/>
    <w:rsid w:val="004C5E22"/>
    <w:rsid w:val="004D30DD"/>
    <w:rsid w:val="004D6ADD"/>
    <w:rsid w:val="004E212C"/>
    <w:rsid w:val="004E4338"/>
    <w:rsid w:val="004F4C20"/>
    <w:rsid w:val="004F63A4"/>
    <w:rsid w:val="004F7047"/>
    <w:rsid w:val="00500F6A"/>
    <w:rsid w:val="00522F79"/>
    <w:rsid w:val="00526043"/>
    <w:rsid w:val="005347B2"/>
    <w:rsid w:val="00551756"/>
    <w:rsid w:val="005635A5"/>
    <w:rsid w:val="00565FCC"/>
    <w:rsid w:val="005671E2"/>
    <w:rsid w:val="0057433E"/>
    <w:rsid w:val="00576494"/>
    <w:rsid w:val="00584F20"/>
    <w:rsid w:val="005C56F0"/>
    <w:rsid w:val="005E7CF7"/>
    <w:rsid w:val="005F095B"/>
    <w:rsid w:val="005F3F21"/>
    <w:rsid w:val="00603693"/>
    <w:rsid w:val="006223DE"/>
    <w:rsid w:val="00635A8B"/>
    <w:rsid w:val="006419A8"/>
    <w:rsid w:val="00645C90"/>
    <w:rsid w:val="00666801"/>
    <w:rsid w:val="00667A7F"/>
    <w:rsid w:val="00681ECC"/>
    <w:rsid w:val="00684984"/>
    <w:rsid w:val="006925EA"/>
    <w:rsid w:val="00697EF8"/>
    <w:rsid w:val="006A00D1"/>
    <w:rsid w:val="006A2199"/>
    <w:rsid w:val="006B7F64"/>
    <w:rsid w:val="006D3D9D"/>
    <w:rsid w:val="006D7020"/>
    <w:rsid w:val="006E0B16"/>
    <w:rsid w:val="006E3B3D"/>
    <w:rsid w:val="006F1FCC"/>
    <w:rsid w:val="00700E6C"/>
    <w:rsid w:val="0071465E"/>
    <w:rsid w:val="007245CD"/>
    <w:rsid w:val="007252C5"/>
    <w:rsid w:val="007259D8"/>
    <w:rsid w:val="00740FEB"/>
    <w:rsid w:val="00750C1D"/>
    <w:rsid w:val="00755A25"/>
    <w:rsid w:val="00762242"/>
    <w:rsid w:val="00763998"/>
    <w:rsid w:val="007813F2"/>
    <w:rsid w:val="00786C8C"/>
    <w:rsid w:val="007A354E"/>
    <w:rsid w:val="007A5E52"/>
    <w:rsid w:val="007C376C"/>
    <w:rsid w:val="007C7F1D"/>
    <w:rsid w:val="007D0F58"/>
    <w:rsid w:val="007F3A8B"/>
    <w:rsid w:val="00816746"/>
    <w:rsid w:val="00825CDB"/>
    <w:rsid w:val="008528B4"/>
    <w:rsid w:val="0085449E"/>
    <w:rsid w:val="008641ED"/>
    <w:rsid w:val="008722DF"/>
    <w:rsid w:val="008748FC"/>
    <w:rsid w:val="008754B9"/>
    <w:rsid w:val="00880A64"/>
    <w:rsid w:val="008D0EA2"/>
    <w:rsid w:val="008D2FB3"/>
    <w:rsid w:val="008D39D5"/>
    <w:rsid w:val="008D6E06"/>
    <w:rsid w:val="008E75CA"/>
    <w:rsid w:val="00902190"/>
    <w:rsid w:val="00903008"/>
    <w:rsid w:val="00943DCA"/>
    <w:rsid w:val="0095629C"/>
    <w:rsid w:val="0096309E"/>
    <w:rsid w:val="009725B0"/>
    <w:rsid w:val="00973D74"/>
    <w:rsid w:val="00984C70"/>
    <w:rsid w:val="00985B1B"/>
    <w:rsid w:val="009C7AC4"/>
    <w:rsid w:val="009D5091"/>
    <w:rsid w:val="009F1484"/>
    <w:rsid w:val="00A161CF"/>
    <w:rsid w:val="00A310D3"/>
    <w:rsid w:val="00A5257D"/>
    <w:rsid w:val="00A87766"/>
    <w:rsid w:val="00A948AC"/>
    <w:rsid w:val="00AA4F0E"/>
    <w:rsid w:val="00AA57E5"/>
    <w:rsid w:val="00AA79D9"/>
    <w:rsid w:val="00AC0A2C"/>
    <w:rsid w:val="00AC5DA3"/>
    <w:rsid w:val="00AC77CE"/>
    <w:rsid w:val="00AF3D2F"/>
    <w:rsid w:val="00AF3FE8"/>
    <w:rsid w:val="00B02884"/>
    <w:rsid w:val="00B13F7F"/>
    <w:rsid w:val="00B2222D"/>
    <w:rsid w:val="00B22380"/>
    <w:rsid w:val="00B27CE8"/>
    <w:rsid w:val="00B348F7"/>
    <w:rsid w:val="00B50EFA"/>
    <w:rsid w:val="00B61E3D"/>
    <w:rsid w:val="00B6564C"/>
    <w:rsid w:val="00B7287C"/>
    <w:rsid w:val="00B76933"/>
    <w:rsid w:val="00B772AC"/>
    <w:rsid w:val="00B811EC"/>
    <w:rsid w:val="00B8192F"/>
    <w:rsid w:val="00B93D1B"/>
    <w:rsid w:val="00B969D3"/>
    <w:rsid w:val="00BA0BBC"/>
    <w:rsid w:val="00BA1081"/>
    <w:rsid w:val="00BA1503"/>
    <w:rsid w:val="00BB513D"/>
    <w:rsid w:val="00BC489D"/>
    <w:rsid w:val="00BC5F07"/>
    <w:rsid w:val="00BE0D14"/>
    <w:rsid w:val="00BE6719"/>
    <w:rsid w:val="00BF300E"/>
    <w:rsid w:val="00C17762"/>
    <w:rsid w:val="00C224DF"/>
    <w:rsid w:val="00C37B84"/>
    <w:rsid w:val="00C43302"/>
    <w:rsid w:val="00C45419"/>
    <w:rsid w:val="00C4737C"/>
    <w:rsid w:val="00C5440C"/>
    <w:rsid w:val="00C56EC4"/>
    <w:rsid w:val="00C60208"/>
    <w:rsid w:val="00C617FF"/>
    <w:rsid w:val="00C70A79"/>
    <w:rsid w:val="00C82B1B"/>
    <w:rsid w:val="00C84192"/>
    <w:rsid w:val="00C86EC8"/>
    <w:rsid w:val="00C87C45"/>
    <w:rsid w:val="00C936B4"/>
    <w:rsid w:val="00CA567B"/>
    <w:rsid w:val="00CA5FC4"/>
    <w:rsid w:val="00CB081D"/>
    <w:rsid w:val="00CB1AE4"/>
    <w:rsid w:val="00CD280D"/>
    <w:rsid w:val="00CD75B9"/>
    <w:rsid w:val="00CE2BF1"/>
    <w:rsid w:val="00CF228B"/>
    <w:rsid w:val="00CF51D3"/>
    <w:rsid w:val="00D1785D"/>
    <w:rsid w:val="00D32952"/>
    <w:rsid w:val="00D363D4"/>
    <w:rsid w:val="00D42CB1"/>
    <w:rsid w:val="00D4500F"/>
    <w:rsid w:val="00D63282"/>
    <w:rsid w:val="00D73A55"/>
    <w:rsid w:val="00D87938"/>
    <w:rsid w:val="00D91BB9"/>
    <w:rsid w:val="00D92054"/>
    <w:rsid w:val="00DA1096"/>
    <w:rsid w:val="00DA4683"/>
    <w:rsid w:val="00DA7A30"/>
    <w:rsid w:val="00DC498E"/>
    <w:rsid w:val="00DD7DE5"/>
    <w:rsid w:val="00DE3C20"/>
    <w:rsid w:val="00DE53EC"/>
    <w:rsid w:val="00DF3065"/>
    <w:rsid w:val="00DF68BA"/>
    <w:rsid w:val="00DF7B7C"/>
    <w:rsid w:val="00E0580E"/>
    <w:rsid w:val="00E148BC"/>
    <w:rsid w:val="00E21204"/>
    <w:rsid w:val="00E24494"/>
    <w:rsid w:val="00E24868"/>
    <w:rsid w:val="00E30D62"/>
    <w:rsid w:val="00E37878"/>
    <w:rsid w:val="00E45DC5"/>
    <w:rsid w:val="00E47A70"/>
    <w:rsid w:val="00E70E5D"/>
    <w:rsid w:val="00E73E21"/>
    <w:rsid w:val="00E74088"/>
    <w:rsid w:val="00E77300"/>
    <w:rsid w:val="00E9791F"/>
    <w:rsid w:val="00EA0DD6"/>
    <w:rsid w:val="00EA6B00"/>
    <w:rsid w:val="00EB0BF5"/>
    <w:rsid w:val="00EB35AD"/>
    <w:rsid w:val="00EC1723"/>
    <w:rsid w:val="00EC4FCF"/>
    <w:rsid w:val="00EE726D"/>
    <w:rsid w:val="00EF2D64"/>
    <w:rsid w:val="00F1126C"/>
    <w:rsid w:val="00F12CF6"/>
    <w:rsid w:val="00F20D41"/>
    <w:rsid w:val="00F36DAE"/>
    <w:rsid w:val="00F46DCB"/>
    <w:rsid w:val="00F518E0"/>
    <w:rsid w:val="00F6270F"/>
    <w:rsid w:val="00F627ED"/>
    <w:rsid w:val="00F87F0D"/>
    <w:rsid w:val="00F94A03"/>
    <w:rsid w:val="00FC3400"/>
    <w:rsid w:val="00FC5195"/>
    <w:rsid w:val="00FD205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5A812B38"/>
  <w15:chartTrackingRefBased/>
  <w15:docId w15:val="{56FB0045-E06C-4F08-B268-39508071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496F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96F77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F46DC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82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val="lt-LT" w:eastAsia="lt-LT"/>
    </w:rPr>
  </w:style>
  <w:style w:type="paragraph" w:customStyle="1" w:styleId="Default">
    <w:name w:val="Default"/>
    <w:rsid w:val="00442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rsid w:val="008722D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722D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722DF"/>
    <w:rPr>
      <w:rFonts w:ascii="HelveticaLT" w:hAnsi="Helvetica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3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772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1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vis.emokykla.lt/neformalus-vaiku-svietim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okykla.lt/neformalus/pradzi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mnsc.lt/nvs-programu-tikslinis-finansavim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648B-6CDE-42EC-B3E9-ED115DEB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BDCA9-76E5-4A2B-AE72-8D6C5E9CE13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56630-5265-41CE-9006-8740155B9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CF633-CD58-41C0-B372-CF763C5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4167</Characters>
  <Application>Microsoft Office Word</Application>
  <DocSecurity>4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ed0e0258-8f74-4ba4-8c20-d0d8e9c58e8b</vt:lpstr>
      <vt:lpstr> </vt:lpstr>
    </vt:vector>
  </TitlesOfParts>
  <Company>VKS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ed0e0258-8f74-4ba4-8c20-d0d8e9c58e8b</dc:title>
  <dc:subject/>
  <dc:creator>Birietienė Aušra</dc:creator>
  <cp:keywords/>
  <cp:lastModifiedBy>Alma Radvilė</cp:lastModifiedBy>
  <cp:revision>2</cp:revision>
  <cp:lastPrinted>2020-01-02T07:00:00Z</cp:lastPrinted>
  <dcterms:created xsi:type="dcterms:W3CDTF">2020-01-30T12:17:00Z</dcterms:created>
  <dcterms:modified xsi:type="dcterms:W3CDTF">2020-01-30T12:17:00Z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</Properties>
</file>