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B02C9" w14:textId="77777777" w:rsidR="00CF19D0" w:rsidRDefault="00CF19D0" w:rsidP="007D3A32">
      <w:pPr>
        <w:jc w:val="center"/>
        <w:rPr>
          <w:b/>
          <w:caps/>
        </w:rPr>
      </w:pPr>
      <w:bookmarkStart w:id="0" w:name="_GoBack"/>
      <w:bookmarkEnd w:id="0"/>
      <w:r>
        <w:rPr>
          <w:b/>
          <w:caps/>
        </w:rPr>
        <w:t>Aiškinamasis raštas</w:t>
      </w:r>
    </w:p>
    <w:p w14:paraId="25DB02CA" w14:textId="59217259" w:rsidR="00CF19D0" w:rsidRPr="00F33612" w:rsidRDefault="00CF19D0" w:rsidP="00387345">
      <w:pPr>
        <w:jc w:val="center"/>
        <w:rPr>
          <w:szCs w:val="24"/>
        </w:rPr>
      </w:pPr>
      <w:r w:rsidRPr="00F255E8">
        <w:rPr>
          <w:b/>
        </w:rPr>
        <w:t xml:space="preserve">PRIE </w:t>
      </w:r>
      <w:r>
        <w:rPr>
          <w:b/>
        </w:rPr>
        <w:t xml:space="preserve">TARYBOS </w:t>
      </w:r>
      <w:r w:rsidRPr="00F255E8">
        <w:rPr>
          <w:b/>
        </w:rPr>
        <w:t>SPRENDIMO PROJEKTO</w:t>
      </w:r>
      <w:r>
        <w:rPr>
          <w:b/>
        </w:rPr>
        <w:t xml:space="preserve"> </w:t>
      </w:r>
      <w:r>
        <w:t>„</w:t>
      </w:r>
      <w:r w:rsidRPr="00F33612">
        <w:rPr>
          <w:b/>
          <w:caps/>
          <w:szCs w:val="24"/>
        </w:rPr>
        <w:t>DĖL</w:t>
      </w:r>
      <w:r>
        <w:rPr>
          <w:b/>
          <w:caps/>
          <w:szCs w:val="24"/>
        </w:rPr>
        <w:t xml:space="preserve"> </w:t>
      </w:r>
      <w:r w:rsidR="00743A5D" w:rsidRPr="00743A5D">
        <w:rPr>
          <w:b/>
          <w:caps/>
          <w:szCs w:val="24"/>
        </w:rPr>
        <w:t>KLAIPĖDOS MIESTO SAVIVALDYBĖS TARYBOS 2017 M. LIEPOS 27 D. SPRENDIMO NR. T2-185 „DĖL KLAIPĖDOS MIESTO TVARKYMO IR ŠVAROS TAISYKLIŲ PATVIRTINIMO“ PAKEITIMO</w:t>
      </w:r>
      <w:r>
        <w:rPr>
          <w:b/>
          <w:caps/>
          <w:szCs w:val="24"/>
        </w:rPr>
        <w:t>“</w:t>
      </w:r>
    </w:p>
    <w:p w14:paraId="25DB02CB" w14:textId="77777777" w:rsidR="00522D69" w:rsidRDefault="00522D69" w:rsidP="00684BA2">
      <w:pPr>
        <w:jc w:val="both"/>
      </w:pPr>
    </w:p>
    <w:p w14:paraId="25DB02CC" w14:textId="77777777" w:rsidR="00CF19D0" w:rsidRDefault="00CF19D0" w:rsidP="00684BA2">
      <w:pPr>
        <w:jc w:val="both"/>
        <w:rPr>
          <w:b/>
        </w:rPr>
      </w:pPr>
      <w:r>
        <w:rPr>
          <w:b/>
        </w:rPr>
        <w:t>1. Sprendimo projekto esmė, tikslai ir uždaviniai.</w:t>
      </w:r>
    </w:p>
    <w:p w14:paraId="25DB02CD" w14:textId="38F84A44" w:rsidR="00543BDE" w:rsidRPr="00247D4A" w:rsidRDefault="00CF19D0" w:rsidP="00543BDE">
      <w:pPr>
        <w:ind w:firstLine="540"/>
        <w:jc w:val="both"/>
        <w:rPr>
          <w:szCs w:val="24"/>
        </w:rPr>
      </w:pPr>
      <w:r w:rsidRPr="00344649">
        <w:t>Šio sprendimo projekt</w:t>
      </w:r>
      <w:r w:rsidR="000F7B5F">
        <w:t xml:space="preserve">o tikslas </w:t>
      </w:r>
      <w:r w:rsidR="000F7B5F" w:rsidRPr="00344649">
        <w:rPr>
          <w:szCs w:val="24"/>
        </w:rPr>
        <w:t>–</w:t>
      </w:r>
      <w:r w:rsidR="000F7B5F">
        <w:t xml:space="preserve"> </w:t>
      </w:r>
      <w:r w:rsidRPr="00344649">
        <w:t xml:space="preserve">pakeisti </w:t>
      </w:r>
      <w:r w:rsidRPr="00344649">
        <w:rPr>
          <w:szCs w:val="24"/>
        </w:rPr>
        <w:t xml:space="preserve">Klaipėdos miesto </w:t>
      </w:r>
      <w:r w:rsidR="00743A5D">
        <w:rPr>
          <w:szCs w:val="24"/>
        </w:rPr>
        <w:t>tvarkymo ir švaros</w:t>
      </w:r>
      <w:r w:rsidRPr="00344649">
        <w:rPr>
          <w:szCs w:val="24"/>
        </w:rPr>
        <w:t xml:space="preserve"> taisykles (toliau – Taisykles), </w:t>
      </w:r>
      <w:r w:rsidRPr="00344649">
        <w:t>sureguliuo</w:t>
      </w:r>
      <w:r w:rsidR="002C5D15">
        <w:t xml:space="preserve">ti Taisyklių </w:t>
      </w:r>
      <w:r w:rsidR="00F1557B">
        <w:t xml:space="preserve">teisinį </w:t>
      </w:r>
      <w:r w:rsidR="002C5D15">
        <w:t xml:space="preserve">reglamentavimą </w:t>
      </w:r>
      <w:r w:rsidR="00F1557B">
        <w:t>siekiant išvengti</w:t>
      </w:r>
      <w:r w:rsidR="002C5D15">
        <w:t xml:space="preserve"> </w:t>
      </w:r>
      <w:r w:rsidR="005C3A49">
        <w:rPr>
          <w:rFonts w:eastAsia="Times New Roman"/>
          <w:lang w:eastAsia="lt-LT"/>
        </w:rPr>
        <w:t>neaiškum</w:t>
      </w:r>
      <w:r w:rsidR="00F1557B">
        <w:rPr>
          <w:rFonts w:eastAsia="Times New Roman"/>
          <w:lang w:eastAsia="lt-LT"/>
        </w:rPr>
        <w:t>ų</w:t>
      </w:r>
      <w:r w:rsidR="00543BDE" w:rsidRPr="00247D4A">
        <w:rPr>
          <w:szCs w:val="24"/>
        </w:rPr>
        <w:t xml:space="preserve">, </w:t>
      </w:r>
      <w:r w:rsidR="00F1557B">
        <w:rPr>
          <w:szCs w:val="24"/>
        </w:rPr>
        <w:t>atsirandančių</w:t>
      </w:r>
      <w:r w:rsidR="00543BDE" w:rsidRPr="00247D4A">
        <w:rPr>
          <w:szCs w:val="24"/>
        </w:rPr>
        <w:t xml:space="preserve"> taikant šių Taisyklių reikalavimus</w:t>
      </w:r>
      <w:r w:rsidR="00543BDE" w:rsidRPr="00543BDE">
        <w:rPr>
          <w:szCs w:val="24"/>
        </w:rPr>
        <w:t xml:space="preserve"> </w:t>
      </w:r>
      <w:r w:rsidR="00543BDE" w:rsidRPr="00247D4A">
        <w:rPr>
          <w:szCs w:val="24"/>
        </w:rPr>
        <w:t xml:space="preserve">praktikoje. </w:t>
      </w:r>
    </w:p>
    <w:p w14:paraId="25DB02CE" w14:textId="77777777" w:rsidR="00CF19D0" w:rsidRDefault="00CF19D0" w:rsidP="00684BA2">
      <w:pPr>
        <w:jc w:val="both"/>
        <w:rPr>
          <w:b/>
        </w:rPr>
      </w:pPr>
      <w:r>
        <w:rPr>
          <w:b/>
        </w:rPr>
        <w:t>2. Projekto rengimo priežastys ir kuo remiantis parengtas sprendimo projektas.</w:t>
      </w:r>
    </w:p>
    <w:p w14:paraId="79E0EF41" w14:textId="213D0AA2" w:rsidR="00B3397A" w:rsidRPr="00EF20B5" w:rsidRDefault="00F1557B" w:rsidP="000C3FE8">
      <w:pPr>
        <w:pStyle w:val="Pagrindinistekstas"/>
        <w:ind w:firstLine="690"/>
        <w:rPr>
          <w:i w:val="0"/>
          <w:szCs w:val="24"/>
        </w:rPr>
      </w:pPr>
      <w:r>
        <w:rPr>
          <w:i w:val="0"/>
          <w:szCs w:val="24"/>
        </w:rPr>
        <w:t xml:space="preserve">Klaipėdos miesto savivaldybės administracijos </w:t>
      </w:r>
      <w:r w:rsidR="001C6B3C">
        <w:rPr>
          <w:i w:val="0"/>
          <w:szCs w:val="24"/>
        </w:rPr>
        <w:t xml:space="preserve">(toliau – Savivaldybės administracija) </w:t>
      </w:r>
      <w:r w:rsidR="00380703">
        <w:rPr>
          <w:i w:val="0"/>
          <w:szCs w:val="24"/>
        </w:rPr>
        <w:t>direktoriui patvirtin</w:t>
      </w:r>
      <w:r>
        <w:rPr>
          <w:i w:val="0"/>
          <w:szCs w:val="24"/>
        </w:rPr>
        <w:t xml:space="preserve">us konteinerių aikštelių priskyrimą atliekų turėtojams bendrojo naudojimo objektų valdytojai privalėjo pasirašyti tarpusavio susitarimus dėl mišrių komunalinių atliekų ir </w:t>
      </w:r>
      <w:r w:rsidRPr="00EF20B5">
        <w:rPr>
          <w:i w:val="0"/>
          <w:szCs w:val="24"/>
        </w:rPr>
        <w:t>antrinių žaliavų surinkimo konteinerių stovėjimo vietų ir aikštelių priežiūros, jei konteinerių stovėjimo vietos ir aikštelės yra priskirtos dviem ar daugiau skirtingų bendrojo naudojimo objektų valdytojų.</w:t>
      </w:r>
      <w:r w:rsidR="001A22A1" w:rsidRPr="00EF20B5">
        <w:rPr>
          <w:i w:val="0"/>
          <w:szCs w:val="24"/>
        </w:rPr>
        <w:t xml:space="preserve"> </w:t>
      </w:r>
      <w:r w:rsidR="00C57F9D" w:rsidRPr="00EF20B5">
        <w:rPr>
          <w:i w:val="0"/>
          <w:szCs w:val="24"/>
        </w:rPr>
        <w:t>Pažymėtina, kad Taisyklės nenumatė jokios alternatyvos dėl konteinerių aikštelių tvarkymo tuo atveju, jei susitarimai nebus pasirašyti. Esant tokiai situacijai teisinio reglamentavimo nepakankamumas apsunkino ne tik aikštelių tvarkymą, bet ir tokių Taisyklių nuostatų kontrolę.</w:t>
      </w:r>
    </w:p>
    <w:p w14:paraId="7A3CBC8A" w14:textId="7EF82586" w:rsidR="002906A0" w:rsidRPr="00EF20B5" w:rsidRDefault="00C57F9D" w:rsidP="002701D7">
      <w:pPr>
        <w:pStyle w:val="Pagrindinistekstas"/>
        <w:ind w:firstLine="690"/>
        <w:rPr>
          <w:i w:val="0"/>
          <w:szCs w:val="24"/>
        </w:rPr>
      </w:pPr>
      <w:r w:rsidRPr="00EF20B5">
        <w:rPr>
          <w:i w:val="0"/>
          <w:szCs w:val="24"/>
        </w:rPr>
        <w:t xml:space="preserve">Be to, </w:t>
      </w:r>
      <w:r w:rsidR="005E3F8A" w:rsidRPr="00EF20B5">
        <w:rPr>
          <w:i w:val="0"/>
          <w:szCs w:val="24"/>
        </w:rPr>
        <w:t xml:space="preserve">praktika parodė, kad praėjus nustatytam terminui dalis priskirtų subjektų susitarimų nepasirašė. </w:t>
      </w:r>
      <w:r w:rsidR="00B3397A" w:rsidRPr="00EF20B5">
        <w:rPr>
          <w:i w:val="0"/>
          <w:szCs w:val="24"/>
        </w:rPr>
        <w:t>P</w:t>
      </w:r>
      <w:r w:rsidR="005E3F8A" w:rsidRPr="00EF20B5">
        <w:rPr>
          <w:i w:val="0"/>
          <w:szCs w:val="24"/>
        </w:rPr>
        <w:t>agal Taisyklių nuostatas tokius susitarimus privalo pasirašyti bendrojo naudojimo objektų valdytojai</w:t>
      </w:r>
      <w:r w:rsidR="000C3FE8" w:rsidRPr="00EF20B5">
        <w:rPr>
          <w:i w:val="0"/>
          <w:szCs w:val="24"/>
        </w:rPr>
        <w:t xml:space="preserve">, t. y. butų savininkai (iki bus įsteigta bendrija ar paskirtas bendrojo naudojimo objektų administratorius), gyvenamojo namo butų ir kitų patalpų savininkų bendrijos, jungtinės veiklos sutartimi įgaliotas asmuo, bendrojo naudojimo objektų administratorius (Taisyklių 3.1. papunktis). Tačiau </w:t>
      </w:r>
      <w:r w:rsidR="00033CDF" w:rsidRPr="00EF20B5">
        <w:rPr>
          <w:i w:val="0"/>
          <w:szCs w:val="24"/>
        </w:rPr>
        <w:t xml:space="preserve">praktikoje </w:t>
      </w:r>
      <w:r w:rsidR="00B3397A" w:rsidRPr="00EF20B5">
        <w:rPr>
          <w:i w:val="0"/>
          <w:szCs w:val="24"/>
        </w:rPr>
        <w:t>yra</w:t>
      </w:r>
      <w:r w:rsidR="00033CDF" w:rsidRPr="00EF20B5">
        <w:rPr>
          <w:i w:val="0"/>
          <w:szCs w:val="24"/>
        </w:rPr>
        <w:t xml:space="preserve"> atvejų, kai konteineriai priskirti ir </w:t>
      </w:r>
      <w:r w:rsidR="0000165B" w:rsidRPr="00EF20B5">
        <w:rPr>
          <w:i w:val="0"/>
          <w:szCs w:val="24"/>
        </w:rPr>
        <w:t xml:space="preserve">nekilnojamojo turto objektams </w:t>
      </w:r>
      <w:r w:rsidR="00033CDF" w:rsidRPr="00EF20B5">
        <w:rPr>
          <w:i w:val="0"/>
          <w:szCs w:val="24"/>
        </w:rPr>
        <w:t>(kuriuos</w:t>
      </w:r>
      <w:r w:rsidR="0000165B" w:rsidRPr="00EF20B5">
        <w:rPr>
          <w:i w:val="0"/>
          <w:szCs w:val="24"/>
        </w:rPr>
        <w:t xml:space="preserve"> nuosavybės ar kita teise valdo</w:t>
      </w:r>
      <w:r w:rsidR="00033CDF" w:rsidRPr="00EF20B5">
        <w:rPr>
          <w:i w:val="0"/>
          <w:szCs w:val="24"/>
        </w:rPr>
        <w:t xml:space="preserve"> atliekų turėtojai), kurių neapima Taisyklėse nustatyta bendrojo naudojimo objektų valdytojų sąvoka, t. y. bendrovės, fiziniai asmenys</w:t>
      </w:r>
      <w:r w:rsidR="000D7546" w:rsidRPr="00EF20B5">
        <w:rPr>
          <w:i w:val="0"/>
          <w:szCs w:val="24"/>
        </w:rPr>
        <w:t>, asmenys, kuriems priklauso ne gyvenamosios paskirties pastatai</w:t>
      </w:r>
      <w:r w:rsidR="00033CDF" w:rsidRPr="00EF20B5">
        <w:rPr>
          <w:i w:val="0"/>
          <w:szCs w:val="24"/>
        </w:rPr>
        <w:t xml:space="preserve"> ir kt. Todėl bendrojo naudojimo objektų valdytojams</w:t>
      </w:r>
      <w:r w:rsidR="00B3397A" w:rsidRPr="00EF20B5">
        <w:rPr>
          <w:i w:val="0"/>
          <w:szCs w:val="24"/>
        </w:rPr>
        <w:t>,</w:t>
      </w:r>
      <w:r w:rsidR="00033CDF" w:rsidRPr="00EF20B5">
        <w:rPr>
          <w:i w:val="0"/>
          <w:szCs w:val="24"/>
        </w:rPr>
        <w:t xml:space="preserve"> net ir siekiant įvykdyti Taisyklių reikalavim</w:t>
      </w:r>
      <w:r w:rsidR="00B3397A" w:rsidRPr="00EF20B5">
        <w:rPr>
          <w:i w:val="0"/>
          <w:szCs w:val="24"/>
        </w:rPr>
        <w:t>ą</w:t>
      </w:r>
      <w:r w:rsidR="00033CDF" w:rsidRPr="00EF20B5">
        <w:rPr>
          <w:i w:val="0"/>
          <w:szCs w:val="24"/>
        </w:rPr>
        <w:t xml:space="preserve"> (susitarti), to nepavykdavo padaryti. </w:t>
      </w:r>
    </w:p>
    <w:p w14:paraId="629F8D3C" w14:textId="77777777" w:rsidR="00636753" w:rsidRPr="00EF20B5" w:rsidRDefault="00314ABB" w:rsidP="00314ABB">
      <w:pPr>
        <w:pStyle w:val="Pagrindinistekstas"/>
        <w:ind w:firstLine="690"/>
        <w:rPr>
          <w:i w:val="0"/>
          <w:szCs w:val="24"/>
        </w:rPr>
      </w:pPr>
      <w:r w:rsidRPr="00EF20B5">
        <w:rPr>
          <w:i w:val="0"/>
          <w:szCs w:val="24"/>
        </w:rPr>
        <w:t xml:space="preserve">Priėmus šį sprendimą </w:t>
      </w:r>
      <w:r w:rsidR="00636753" w:rsidRPr="00EF20B5">
        <w:rPr>
          <w:i w:val="0"/>
          <w:szCs w:val="24"/>
        </w:rPr>
        <w:t>bus nustatyta aiški konteinerių stovėjimo vietos tvarkos ir švarios aplinkos palaikymo tvarka:</w:t>
      </w:r>
    </w:p>
    <w:p w14:paraId="1F3A396C" w14:textId="0E137AC6" w:rsidR="00636753" w:rsidRPr="00EF20B5" w:rsidRDefault="00636753" w:rsidP="00636753">
      <w:pPr>
        <w:pStyle w:val="Pagrindinistekstas"/>
        <w:numPr>
          <w:ilvl w:val="0"/>
          <w:numId w:val="5"/>
        </w:numPr>
        <w:tabs>
          <w:tab w:val="left" w:pos="993"/>
        </w:tabs>
        <w:ind w:left="0" w:firstLine="690"/>
        <w:rPr>
          <w:i w:val="0"/>
          <w:szCs w:val="24"/>
        </w:rPr>
      </w:pPr>
      <w:r w:rsidRPr="00EF20B5">
        <w:rPr>
          <w:i w:val="0"/>
          <w:szCs w:val="24"/>
        </w:rPr>
        <w:t xml:space="preserve">tikslinama ir paaiškinama, kad konteinerių aikštelės ir stovėjimo vietos priežiūros prievolė tenka ne tik </w:t>
      </w:r>
      <w:r w:rsidRPr="00EF20B5">
        <w:rPr>
          <w:i w:val="0"/>
        </w:rPr>
        <w:t>bendrojo naudojimo objektų valdytojams, bet ir kitiems asmenims (subjektams), kuriems šie konteineriai yra priskirti;</w:t>
      </w:r>
    </w:p>
    <w:p w14:paraId="38DE614C" w14:textId="4223542D" w:rsidR="00636753" w:rsidRPr="00EF20B5" w:rsidRDefault="00B97554" w:rsidP="00B97554">
      <w:pPr>
        <w:pStyle w:val="Pagrindinistekstas"/>
        <w:numPr>
          <w:ilvl w:val="0"/>
          <w:numId w:val="5"/>
        </w:numPr>
        <w:tabs>
          <w:tab w:val="left" w:pos="993"/>
        </w:tabs>
        <w:ind w:left="0" w:firstLine="690"/>
        <w:rPr>
          <w:i w:val="0"/>
          <w:szCs w:val="24"/>
        </w:rPr>
      </w:pPr>
      <w:r w:rsidRPr="00EF20B5">
        <w:rPr>
          <w:i w:val="0"/>
          <w:szCs w:val="24"/>
        </w:rPr>
        <w:t xml:space="preserve">nustatoma, kad tais atvejais, kai </w:t>
      </w:r>
      <w:r w:rsidRPr="00EF20B5">
        <w:rPr>
          <w:i w:val="0"/>
        </w:rPr>
        <w:t>konteinerių stovėjimo vietos ir aikštelės yra priskirtos dviem ar daugiau skirtingų subjektų,</w:t>
      </w:r>
      <w:r w:rsidRPr="00EF20B5">
        <w:rPr>
          <w:i w:val="0"/>
          <w:szCs w:val="24"/>
        </w:rPr>
        <w:t xml:space="preserve"> konteinerių aikštelės ir stovėjimo vietos priežiūrą priskirti subjektai vykdys po vieną mėnesį iš eilės, pradedant skaičiuoti nuo kalendorinių metų pradžios, o eiliškumas nustatomas </w:t>
      </w:r>
      <w:r w:rsidRPr="00EF20B5">
        <w:rPr>
          <w:i w:val="0"/>
        </w:rPr>
        <w:t>pagal Klaipėdos miesto savivaldybės mišrių komunalinių atliekų ir antrinių žaliavų surinkimo konteinerių stovėjimo vietų ir aikštelių išdėstymo schemos gyvenamųjų rajonų mišrių komunalinių atliekų ir antrinių žaliavų surinkimo konteinerių stovėjimo vietų ir aikštelių sąrašus, patvirtintus Klaipėdos miesto savivaldybės administracijos direktoriaus</w:t>
      </w:r>
      <w:r w:rsidR="000D7546" w:rsidRPr="00EF20B5">
        <w:rPr>
          <w:i w:val="0"/>
        </w:rPr>
        <w:t>. Pavyzdžiui:</w:t>
      </w:r>
    </w:p>
    <w:p w14:paraId="1A0836BF" w14:textId="5CA3F889" w:rsidR="00412482" w:rsidRPr="00BB64D7" w:rsidRDefault="00412482" w:rsidP="00412482">
      <w:pPr>
        <w:pStyle w:val="Pagrindinistekstas"/>
        <w:ind w:firstLine="690"/>
        <w:rPr>
          <w:sz w:val="22"/>
          <w:szCs w:val="24"/>
        </w:rPr>
      </w:pPr>
      <w:r w:rsidRPr="00BB64D7">
        <w:rPr>
          <w:sz w:val="22"/>
          <w:szCs w:val="24"/>
        </w:rPr>
        <w:t>Klaipėdos miesto savivaldybės mišrių komunalinių atliekų ir antrinių žaliavų surinkimo konteinerių stovėjimo vietų ir aikštelių išdėstymo schemos 48 dalies priedo Gedminų dvaro gyvenamojo rajono mišrių komunalinių atliekų ir antrinių žaliavų surinkimo konteinerių stovėjimo vietų ir aikštelių sąrašo ištrauka (Klaipėdos miesto savivaldybės administracijos direktoriaus 2019-12-02 įsakymas Nr. AD1-1464)</w:t>
      </w:r>
    </w:p>
    <w:p w14:paraId="4828EAA5" w14:textId="77777777" w:rsidR="00412482" w:rsidRPr="00BB64D7" w:rsidRDefault="00412482" w:rsidP="00412482">
      <w:pPr>
        <w:pStyle w:val="Pagrindinistekstas"/>
        <w:rPr>
          <w:sz w:val="22"/>
          <w:szCs w:val="24"/>
        </w:rPr>
      </w:pPr>
    </w:p>
    <w:tbl>
      <w:tblPr>
        <w:tblW w:w="9639" w:type="dxa"/>
        <w:tblInd w:w="-5" w:type="dxa"/>
        <w:tblLayout w:type="fixed"/>
        <w:tblLook w:val="04A0" w:firstRow="1" w:lastRow="0" w:firstColumn="1" w:lastColumn="0" w:noHBand="0" w:noVBand="1"/>
      </w:tblPr>
      <w:tblGrid>
        <w:gridCol w:w="567"/>
        <w:gridCol w:w="1418"/>
        <w:gridCol w:w="1134"/>
        <w:gridCol w:w="1134"/>
        <w:gridCol w:w="1417"/>
        <w:gridCol w:w="1134"/>
        <w:gridCol w:w="1134"/>
        <w:gridCol w:w="1701"/>
      </w:tblGrid>
      <w:tr w:rsidR="00412482" w:rsidRPr="00BB64D7" w14:paraId="40E33AE6" w14:textId="77777777" w:rsidTr="00B41BBF">
        <w:trPr>
          <w:trHeight w:val="51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4BE8AB0" w14:textId="77777777" w:rsidR="00412482" w:rsidRPr="00BB64D7" w:rsidRDefault="00412482" w:rsidP="00B41BBF">
            <w:pPr>
              <w:jc w:val="center"/>
              <w:rPr>
                <w:i/>
                <w:color w:val="000000"/>
                <w:sz w:val="22"/>
                <w:lang w:eastAsia="lt-LT"/>
              </w:rPr>
            </w:pPr>
            <w:r w:rsidRPr="00BB64D7">
              <w:rPr>
                <w:i/>
                <w:color w:val="000000"/>
                <w:sz w:val="22"/>
                <w:lang w:eastAsia="lt-LT"/>
              </w:rPr>
              <w:t>EEil. Nr.</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DB7E77" w14:textId="77777777" w:rsidR="00412482" w:rsidRPr="00BB64D7" w:rsidRDefault="00412482" w:rsidP="00B41BBF">
            <w:pPr>
              <w:ind w:firstLine="0"/>
              <w:jc w:val="center"/>
              <w:rPr>
                <w:i/>
                <w:color w:val="000000"/>
                <w:sz w:val="22"/>
                <w:lang w:eastAsia="lt-LT"/>
              </w:rPr>
            </w:pPr>
            <w:r w:rsidRPr="00BB64D7">
              <w:rPr>
                <w:i/>
                <w:color w:val="000000"/>
                <w:sz w:val="22"/>
                <w:lang w:eastAsia="lt-LT"/>
              </w:rPr>
              <w:t>Konteinerių stovėjimo adresas (prie)</w:t>
            </w: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14:paraId="0B8F9717" w14:textId="77777777" w:rsidR="00412482" w:rsidRPr="00BB64D7" w:rsidRDefault="00412482" w:rsidP="00B41BBF">
            <w:pPr>
              <w:ind w:firstLine="0"/>
              <w:jc w:val="center"/>
              <w:rPr>
                <w:i/>
                <w:color w:val="000000"/>
                <w:sz w:val="22"/>
                <w:lang w:eastAsia="lt-LT"/>
              </w:rPr>
            </w:pPr>
            <w:r w:rsidRPr="00BB64D7">
              <w:rPr>
                <w:i/>
                <w:color w:val="000000"/>
                <w:sz w:val="22"/>
                <w:lang w:eastAsia="lt-LT"/>
              </w:rPr>
              <w:t>Antžeminių konteinerių kiekis (vnt.)</w:t>
            </w:r>
          </w:p>
        </w:tc>
        <w:tc>
          <w:tcPr>
            <w:tcW w:w="3685" w:type="dxa"/>
            <w:gridSpan w:val="3"/>
            <w:tcBorders>
              <w:top w:val="single" w:sz="4" w:space="0" w:color="auto"/>
              <w:left w:val="nil"/>
              <w:bottom w:val="single" w:sz="4" w:space="0" w:color="auto"/>
              <w:right w:val="single" w:sz="4" w:space="0" w:color="000000"/>
            </w:tcBorders>
            <w:shd w:val="clear" w:color="auto" w:fill="auto"/>
            <w:vAlign w:val="bottom"/>
            <w:hideMark/>
          </w:tcPr>
          <w:p w14:paraId="1EA40A93" w14:textId="77777777" w:rsidR="00412482" w:rsidRPr="00BB64D7" w:rsidRDefault="00412482" w:rsidP="00B41BBF">
            <w:pPr>
              <w:ind w:firstLine="0"/>
              <w:jc w:val="center"/>
              <w:rPr>
                <w:i/>
                <w:color w:val="000000"/>
                <w:sz w:val="22"/>
                <w:lang w:eastAsia="lt-LT"/>
              </w:rPr>
            </w:pPr>
            <w:r w:rsidRPr="00BB64D7">
              <w:rPr>
                <w:i/>
                <w:color w:val="000000"/>
                <w:sz w:val="22"/>
                <w:lang w:eastAsia="lt-LT"/>
              </w:rPr>
              <w:t>Požeminių/pusiau požeminių konteinerių kiekis (vnt.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6366C3E" w14:textId="77777777" w:rsidR="00412482" w:rsidRPr="00BB64D7" w:rsidRDefault="00412482" w:rsidP="00B41BBF">
            <w:pPr>
              <w:ind w:firstLine="0"/>
              <w:jc w:val="center"/>
              <w:rPr>
                <w:i/>
                <w:color w:val="000000"/>
                <w:sz w:val="22"/>
                <w:lang w:eastAsia="lt-LT"/>
              </w:rPr>
            </w:pPr>
            <w:r w:rsidRPr="00BB64D7">
              <w:rPr>
                <w:i/>
                <w:color w:val="000000"/>
                <w:sz w:val="22"/>
                <w:lang w:eastAsia="lt-LT"/>
              </w:rPr>
              <w:t>Konteinerių stovėjimo vieta ar aikštelė priskirta</w:t>
            </w:r>
          </w:p>
        </w:tc>
      </w:tr>
      <w:tr w:rsidR="00412482" w:rsidRPr="00BB64D7" w14:paraId="4929A103" w14:textId="77777777" w:rsidTr="00B41BBF">
        <w:trPr>
          <w:trHeight w:val="10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857621E" w14:textId="77777777" w:rsidR="00412482" w:rsidRPr="00BB64D7" w:rsidRDefault="00412482" w:rsidP="00B41BBF">
            <w:pPr>
              <w:rPr>
                <w:i/>
                <w:color w:val="000000"/>
                <w:sz w:val="22"/>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B5C0D8F" w14:textId="77777777" w:rsidR="00412482" w:rsidRPr="00BB64D7" w:rsidRDefault="00412482" w:rsidP="00B41BBF">
            <w:pPr>
              <w:rPr>
                <w:i/>
                <w:color w:val="000000"/>
                <w:sz w:val="22"/>
                <w:lang w:eastAsia="lt-LT"/>
              </w:rPr>
            </w:pPr>
          </w:p>
        </w:tc>
        <w:tc>
          <w:tcPr>
            <w:tcW w:w="1134" w:type="dxa"/>
            <w:tcBorders>
              <w:top w:val="nil"/>
              <w:left w:val="nil"/>
              <w:bottom w:val="single" w:sz="4" w:space="0" w:color="auto"/>
              <w:right w:val="single" w:sz="4" w:space="0" w:color="auto"/>
            </w:tcBorders>
            <w:shd w:val="clear" w:color="auto" w:fill="auto"/>
            <w:vAlign w:val="bottom"/>
            <w:hideMark/>
          </w:tcPr>
          <w:p w14:paraId="15812009" w14:textId="77777777" w:rsidR="00412482" w:rsidRPr="00BB64D7" w:rsidRDefault="00412482" w:rsidP="00B41BBF">
            <w:pPr>
              <w:ind w:firstLine="0"/>
              <w:jc w:val="center"/>
              <w:rPr>
                <w:i/>
                <w:color w:val="000000"/>
                <w:sz w:val="22"/>
                <w:lang w:eastAsia="lt-LT"/>
              </w:rPr>
            </w:pPr>
            <w:r w:rsidRPr="00BB64D7">
              <w:rPr>
                <w:i/>
                <w:color w:val="000000"/>
                <w:sz w:val="22"/>
                <w:lang w:eastAsia="lt-LT"/>
              </w:rPr>
              <w:t>Mišrių komuna-</w:t>
            </w:r>
          </w:p>
          <w:p w14:paraId="15B6C121" w14:textId="77777777" w:rsidR="00412482" w:rsidRPr="00BB64D7" w:rsidRDefault="00412482" w:rsidP="00B41BBF">
            <w:pPr>
              <w:ind w:firstLine="0"/>
              <w:jc w:val="center"/>
              <w:rPr>
                <w:i/>
                <w:color w:val="000000"/>
                <w:sz w:val="22"/>
                <w:lang w:eastAsia="lt-LT"/>
              </w:rPr>
            </w:pPr>
            <w:r w:rsidRPr="00BB64D7">
              <w:rPr>
                <w:i/>
                <w:color w:val="000000"/>
                <w:sz w:val="22"/>
                <w:lang w:eastAsia="lt-LT"/>
              </w:rPr>
              <w:t>linių</w:t>
            </w:r>
          </w:p>
          <w:p w14:paraId="1F1BC9E2" w14:textId="77777777" w:rsidR="00412482" w:rsidRPr="00BB64D7" w:rsidRDefault="00412482" w:rsidP="00B41BBF">
            <w:pPr>
              <w:ind w:firstLine="0"/>
              <w:jc w:val="center"/>
              <w:rPr>
                <w:i/>
                <w:color w:val="000000"/>
                <w:sz w:val="22"/>
                <w:lang w:eastAsia="lt-LT"/>
              </w:rPr>
            </w:pPr>
            <w:r w:rsidRPr="00BB64D7">
              <w:rPr>
                <w:i/>
                <w:color w:val="000000"/>
                <w:sz w:val="22"/>
                <w:lang w:eastAsia="lt-LT"/>
              </w:rPr>
              <w:t>(1,1 m</w:t>
            </w:r>
            <w:r w:rsidRPr="00BB64D7">
              <w:rPr>
                <w:i/>
                <w:color w:val="000000"/>
                <w:sz w:val="22"/>
                <w:vertAlign w:val="superscript"/>
                <w:lang w:eastAsia="lt-LT"/>
              </w:rPr>
              <w:t>3</w:t>
            </w:r>
            <w:r w:rsidRPr="00BB64D7">
              <w:rPr>
                <w:i/>
                <w:color w:val="000000"/>
                <w:sz w:val="22"/>
                <w:lang w:eastAsia="lt-LT"/>
              </w:rPr>
              <w:t>)</w:t>
            </w:r>
          </w:p>
        </w:tc>
        <w:tc>
          <w:tcPr>
            <w:tcW w:w="1134" w:type="dxa"/>
            <w:tcBorders>
              <w:top w:val="nil"/>
              <w:left w:val="nil"/>
              <w:bottom w:val="single" w:sz="4" w:space="0" w:color="auto"/>
              <w:right w:val="single" w:sz="4" w:space="0" w:color="auto"/>
            </w:tcBorders>
            <w:shd w:val="clear" w:color="auto" w:fill="auto"/>
            <w:vAlign w:val="bottom"/>
            <w:hideMark/>
          </w:tcPr>
          <w:p w14:paraId="081CB41A" w14:textId="77777777" w:rsidR="00412482" w:rsidRPr="00BB64D7" w:rsidRDefault="00412482" w:rsidP="00B41BBF">
            <w:pPr>
              <w:ind w:firstLine="0"/>
              <w:rPr>
                <w:i/>
                <w:color w:val="000000"/>
                <w:sz w:val="22"/>
                <w:lang w:eastAsia="lt-LT"/>
              </w:rPr>
            </w:pPr>
            <w:r w:rsidRPr="00BB64D7">
              <w:rPr>
                <w:i/>
                <w:color w:val="000000"/>
                <w:sz w:val="22"/>
                <w:lang w:eastAsia="lt-LT"/>
              </w:rPr>
              <w:t>Antrinių žaliavų (2,4 m</w:t>
            </w:r>
            <w:r w:rsidRPr="00BB64D7">
              <w:rPr>
                <w:i/>
                <w:color w:val="000000"/>
                <w:sz w:val="22"/>
                <w:vertAlign w:val="superscript"/>
                <w:lang w:eastAsia="lt-LT"/>
              </w:rPr>
              <w:t>3</w:t>
            </w:r>
            <w:r w:rsidRPr="00BB64D7">
              <w:rPr>
                <w:i/>
                <w:color w:val="000000"/>
                <w:sz w:val="22"/>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50360A7B" w14:textId="77777777" w:rsidR="00412482" w:rsidRPr="00BB64D7" w:rsidRDefault="00412482" w:rsidP="00B41BBF">
            <w:pPr>
              <w:ind w:firstLine="0"/>
              <w:jc w:val="center"/>
              <w:rPr>
                <w:i/>
                <w:color w:val="000000"/>
                <w:sz w:val="22"/>
                <w:lang w:eastAsia="lt-LT"/>
              </w:rPr>
            </w:pPr>
            <w:r w:rsidRPr="00BB64D7">
              <w:rPr>
                <w:i/>
                <w:color w:val="000000"/>
                <w:sz w:val="22"/>
                <w:lang w:eastAsia="lt-LT"/>
              </w:rPr>
              <w:t>Mišrių komuna-</w:t>
            </w:r>
          </w:p>
          <w:p w14:paraId="443D0400" w14:textId="77777777" w:rsidR="00412482" w:rsidRPr="00BB64D7" w:rsidRDefault="00412482" w:rsidP="00B41BBF">
            <w:pPr>
              <w:ind w:firstLine="0"/>
              <w:jc w:val="center"/>
              <w:rPr>
                <w:i/>
                <w:color w:val="000000"/>
                <w:sz w:val="22"/>
                <w:lang w:eastAsia="lt-LT"/>
              </w:rPr>
            </w:pPr>
            <w:r w:rsidRPr="00BB64D7">
              <w:rPr>
                <w:i/>
                <w:color w:val="000000"/>
                <w:sz w:val="22"/>
                <w:lang w:eastAsia="lt-LT"/>
              </w:rPr>
              <w:t xml:space="preserve">linių </w:t>
            </w:r>
          </w:p>
          <w:p w14:paraId="73CF3C61" w14:textId="77777777" w:rsidR="00412482" w:rsidRPr="00BB64D7" w:rsidRDefault="00412482" w:rsidP="00B41BBF">
            <w:pPr>
              <w:ind w:firstLine="0"/>
              <w:jc w:val="center"/>
              <w:rPr>
                <w:i/>
                <w:color w:val="000000"/>
                <w:sz w:val="22"/>
                <w:lang w:eastAsia="lt-LT"/>
              </w:rPr>
            </w:pPr>
            <w:r w:rsidRPr="00BB64D7">
              <w:rPr>
                <w:i/>
                <w:color w:val="000000"/>
                <w:sz w:val="22"/>
                <w:lang w:eastAsia="lt-LT"/>
              </w:rPr>
              <w:t>(5 m</w:t>
            </w:r>
            <w:r w:rsidRPr="00BB64D7">
              <w:rPr>
                <w:i/>
                <w:color w:val="000000"/>
                <w:sz w:val="22"/>
                <w:vertAlign w:val="superscript"/>
                <w:lang w:eastAsia="lt-LT"/>
              </w:rPr>
              <w:t>3</w:t>
            </w:r>
            <w:r w:rsidRPr="00BB64D7">
              <w:rPr>
                <w:i/>
                <w:color w:val="000000"/>
                <w:sz w:val="22"/>
                <w:lang w:eastAsia="lt-LT"/>
              </w:rPr>
              <w:t>)</w:t>
            </w:r>
          </w:p>
        </w:tc>
        <w:tc>
          <w:tcPr>
            <w:tcW w:w="1134" w:type="dxa"/>
            <w:tcBorders>
              <w:top w:val="nil"/>
              <w:left w:val="nil"/>
              <w:bottom w:val="single" w:sz="4" w:space="0" w:color="auto"/>
              <w:right w:val="single" w:sz="4" w:space="0" w:color="auto"/>
            </w:tcBorders>
            <w:shd w:val="clear" w:color="auto" w:fill="auto"/>
            <w:vAlign w:val="bottom"/>
            <w:hideMark/>
          </w:tcPr>
          <w:p w14:paraId="704C40E8" w14:textId="77777777" w:rsidR="00412482" w:rsidRPr="00BB64D7" w:rsidRDefault="00412482" w:rsidP="00B41BBF">
            <w:pPr>
              <w:ind w:firstLine="0"/>
              <w:rPr>
                <w:i/>
                <w:color w:val="000000"/>
                <w:sz w:val="22"/>
                <w:lang w:eastAsia="lt-LT"/>
              </w:rPr>
            </w:pPr>
            <w:r w:rsidRPr="00BB64D7">
              <w:rPr>
                <w:i/>
                <w:color w:val="000000"/>
                <w:sz w:val="22"/>
                <w:lang w:eastAsia="lt-LT"/>
              </w:rPr>
              <w:t>Antrinių žaliavų (5 m</w:t>
            </w:r>
            <w:r w:rsidRPr="00BB64D7">
              <w:rPr>
                <w:i/>
                <w:color w:val="000000"/>
                <w:sz w:val="22"/>
                <w:vertAlign w:val="superscript"/>
                <w:lang w:eastAsia="lt-LT"/>
              </w:rPr>
              <w:t>3</w:t>
            </w:r>
            <w:r w:rsidRPr="00BB64D7">
              <w:rPr>
                <w:i/>
                <w:color w:val="000000"/>
                <w:sz w:val="22"/>
                <w:lang w:eastAsia="lt-LT"/>
              </w:rPr>
              <w:t>)</w:t>
            </w:r>
          </w:p>
        </w:tc>
        <w:tc>
          <w:tcPr>
            <w:tcW w:w="1134" w:type="dxa"/>
            <w:tcBorders>
              <w:top w:val="nil"/>
              <w:left w:val="nil"/>
              <w:bottom w:val="single" w:sz="4" w:space="0" w:color="auto"/>
              <w:right w:val="single" w:sz="4" w:space="0" w:color="auto"/>
            </w:tcBorders>
            <w:shd w:val="clear" w:color="auto" w:fill="auto"/>
            <w:vAlign w:val="bottom"/>
            <w:hideMark/>
          </w:tcPr>
          <w:p w14:paraId="3863053C" w14:textId="77777777" w:rsidR="00412482" w:rsidRPr="00BB64D7" w:rsidRDefault="00412482" w:rsidP="00B41BBF">
            <w:pPr>
              <w:ind w:firstLine="0"/>
              <w:rPr>
                <w:i/>
                <w:color w:val="000000"/>
                <w:sz w:val="22"/>
                <w:lang w:eastAsia="lt-LT"/>
              </w:rPr>
            </w:pPr>
            <w:r w:rsidRPr="00BB64D7">
              <w:rPr>
                <w:i/>
                <w:color w:val="000000"/>
                <w:sz w:val="22"/>
                <w:lang w:eastAsia="lt-LT"/>
              </w:rPr>
              <w:t xml:space="preserve">Antrinių žaliavų </w:t>
            </w:r>
            <w:r w:rsidRPr="00BB64D7">
              <w:rPr>
                <w:i/>
                <w:sz w:val="22"/>
                <w:lang w:eastAsia="lt-LT"/>
              </w:rPr>
              <w:t>(3 m</w:t>
            </w:r>
            <w:r w:rsidRPr="00BB64D7">
              <w:rPr>
                <w:i/>
                <w:sz w:val="22"/>
                <w:vertAlign w:val="superscript"/>
                <w:lang w:eastAsia="lt-LT"/>
              </w:rPr>
              <w:t>3</w:t>
            </w:r>
            <w:r w:rsidRPr="00BB64D7">
              <w:rPr>
                <w:i/>
                <w:sz w:val="22"/>
                <w:lang w:eastAsia="lt-LT"/>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CC9980" w14:textId="77777777" w:rsidR="00412482" w:rsidRPr="00BB64D7" w:rsidRDefault="00412482" w:rsidP="00B41BBF">
            <w:pPr>
              <w:rPr>
                <w:i/>
                <w:color w:val="000000"/>
                <w:sz w:val="22"/>
                <w:lang w:eastAsia="lt-LT"/>
              </w:rPr>
            </w:pPr>
          </w:p>
        </w:tc>
      </w:tr>
      <w:tr w:rsidR="00412482" w:rsidRPr="00BB64D7" w14:paraId="1CEAF374" w14:textId="77777777" w:rsidTr="00B41BBF">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12BDF0" w14:textId="77777777" w:rsidR="00412482" w:rsidRPr="00BB64D7" w:rsidRDefault="00412482" w:rsidP="00B41BBF">
            <w:pPr>
              <w:jc w:val="center"/>
              <w:rPr>
                <w:i/>
                <w:color w:val="000000"/>
                <w:sz w:val="22"/>
                <w:lang w:eastAsia="lt-LT"/>
              </w:rPr>
            </w:pPr>
            <w:r w:rsidRPr="00BB64D7">
              <w:rPr>
                <w:i/>
                <w:color w:val="000000"/>
                <w:sz w:val="22"/>
                <w:lang w:eastAsia="lt-LT"/>
              </w:rPr>
              <w:lastRenderedPageBreak/>
              <w:t>48.6</w:t>
            </w:r>
          </w:p>
        </w:tc>
        <w:tc>
          <w:tcPr>
            <w:tcW w:w="1418" w:type="dxa"/>
            <w:tcBorders>
              <w:top w:val="nil"/>
              <w:left w:val="nil"/>
              <w:bottom w:val="single" w:sz="4" w:space="0" w:color="auto"/>
              <w:right w:val="single" w:sz="4" w:space="0" w:color="auto"/>
            </w:tcBorders>
            <w:shd w:val="clear" w:color="auto" w:fill="auto"/>
            <w:noWrap/>
            <w:vAlign w:val="center"/>
            <w:hideMark/>
          </w:tcPr>
          <w:p w14:paraId="330D95D3" w14:textId="77777777" w:rsidR="00412482" w:rsidRPr="00BB64D7" w:rsidRDefault="00412482" w:rsidP="00B41BBF">
            <w:pPr>
              <w:ind w:firstLine="0"/>
              <w:jc w:val="center"/>
              <w:rPr>
                <w:i/>
                <w:color w:val="000000"/>
                <w:sz w:val="22"/>
                <w:lang w:eastAsia="lt-LT"/>
              </w:rPr>
            </w:pPr>
            <w:r w:rsidRPr="00BB64D7">
              <w:rPr>
                <w:i/>
                <w:color w:val="000000"/>
                <w:sz w:val="22"/>
                <w:lang w:eastAsia="lt-LT"/>
              </w:rPr>
              <w:t>Debreceno g. 17</w:t>
            </w:r>
          </w:p>
        </w:tc>
        <w:tc>
          <w:tcPr>
            <w:tcW w:w="1134" w:type="dxa"/>
            <w:tcBorders>
              <w:top w:val="nil"/>
              <w:left w:val="nil"/>
              <w:bottom w:val="single" w:sz="4" w:space="0" w:color="auto"/>
              <w:right w:val="single" w:sz="4" w:space="0" w:color="auto"/>
            </w:tcBorders>
            <w:shd w:val="clear" w:color="auto" w:fill="auto"/>
            <w:noWrap/>
            <w:vAlign w:val="center"/>
            <w:hideMark/>
          </w:tcPr>
          <w:p w14:paraId="2B39A03D" w14:textId="77777777" w:rsidR="00412482" w:rsidRPr="00BB64D7" w:rsidRDefault="00412482" w:rsidP="00B41BBF">
            <w:pPr>
              <w:jc w:val="center"/>
              <w:rPr>
                <w:i/>
                <w:sz w:val="22"/>
              </w:rPr>
            </w:pPr>
            <w:r w:rsidRPr="00BB64D7">
              <w:rPr>
                <w:i/>
                <w:sz w:val="22"/>
                <w:lang w:eastAsia="lt-LT"/>
              </w:rPr>
              <w:t>0</w:t>
            </w:r>
          </w:p>
        </w:tc>
        <w:tc>
          <w:tcPr>
            <w:tcW w:w="1134" w:type="dxa"/>
            <w:tcBorders>
              <w:top w:val="nil"/>
              <w:left w:val="nil"/>
              <w:bottom w:val="single" w:sz="4" w:space="0" w:color="auto"/>
              <w:right w:val="single" w:sz="4" w:space="0" w:color="auto"/>
            </w:tcBorders>
            <w:shd w:val="clear" w:color="auto" w:fill="auto"/>
            <w:noWrap/>
            <w:vAlign w:val="center"/>
            <w:hideMark/>
          </w:tcPr>
          <w:p w14:paraId="5CC4FCCE" w14:textId="77777777" w:rsidR="00412482" w:rsidRPr="00BB64D7" w:rsidRDefault="00412482" w:rsidP="00B41BBF">
            <w:pPr>
              <w:jc w:val="center"/>
              <w:rPr>
                <w:i/>
                <w:sz w:val="22"/>
              </w:rPr>
            </w:pPr>
            <w:r w:rsidRPr="00BB64D7">
              <w:rPr>
                <w:i/>
                <w:sz w:val="22"/>
                <w:lang w:eastAsia="lt-LT"/>
              </w:rPr>
              <w:t>0</w:t>
            </w:r>
          </w:p>
        </w:tc>
        <w:tc>
          <w:tcPr>
            <w:tcW w:w="1417" w:type="dxa"/>
            <w:tcBorders>
              <w:top w:val="nil"/>
              <w:left w:val="nil"/>
              <w:bottom w:val="single" w:sz="4" w:space="0" w:color="auto"/>
              <w:right w:val="single" w:sz="4" w:space="0" w:color="auto"/>
            </w:tcBorders>
            <w:shd w:val="clear" w:color="auto" w:fill="auto"/>
            <w:noWrap/>
            <w:vAlign w:val="center"/>
            <w:hideMark/>
          </w:tcPr>
          <w:p w14:paraId="0C2350F7" w14:textId="77777777" w:rsidR="00412482" w:rsidRPr="00BB64D7" w:rsidRDefault="00412482" w:rsidP="00B41BBF">
            <w:pPr>
              <w:jc w:val="center"/>
              <w:rPr>
                <w:i/>
                <w:color w:val="000000"/>
                <w:sz w:val="22"/>
                <w:lang w:eastAsia="lt-LT"/>
              </w:rPr>
            </w:pPr>
            <w:r w:rsidRPr="00BB64D7">
              <w:rPr>
                <w:i/>
                <w:color w:val="000000"/>
                <w:sz w:val="22"/>
                <w:lang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14:paraId="41E5DD4F" w14:textId="77777777" w:rsidR="00412482" w:rsidRPr="00BB64D7" w:rsidRDefault="00412482" w:rsidP="00B41BBF">
            <w:pPr>
              <w:jc w:val="center"/>
              <w:rPr>
                <w:i/>
                <w:color w:val="000000"/>
                <w:sz w:val="22"/>
                <w:lang w:eastAsia="lt-LT"/>
              </w:rPr>
            </w:pPr>
            <w:r w:rsidRPr="00BB64D7">
              <w:rPr>
                <w:i/>
                <w:color w:val="000000"/>
                <w:sz w:val="22"/>
                <w:lang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14:paraId="2A6807C7" w14:textId="77777777" w:rsidR="00412482" w:rsidRPr="00BB64D7" w:rsidRDefault="00412482" w:rsidP="00B41BBF">
            <w:pPr>
              <w:jc w:val="center"/>
              <w:rPr>
                <w:i/>
                <w:color w:val="000000"/>
                <w:sz w:val="22"/>
                <w:lang w:eastAsia="lt-LT"/>
              </w:rPr>
            </w:pPr>
            <w:r w:rsidRPr="00BB64D7">
              <w:rPr>
                <w:i/>
                <w:color w:val="000000"/>
                <w:sz w:val="22"/>
                <w:lang w:eastAsia="lt-LT"/>
              </w:rPr>
              <w:t>1</w:t>
            </w:r>
          </w:p>
        </w:tc>
        <w:tc>
          <w:tcPr>
            <w:tcW w:w="1701" w:type="dxa"/>
            <w:tcBorders>
              <w:top w:val="nil"/>
              <w:left w:val="nil"/>
              <w:bottom w:val="single" w:sz="4" w:space="0" w:color="auto"/>
              <w:right w:val="single" w:sz="4" w:space="0" w:color="auto"/>
            </w:tcBorders>
            <w:shd w:val="clear" w:color="auto" w:fill="auto"/>
            <w:noWrap/>
            <w:vAlign w:val="center"/>
            <w:hideMark/>
          </w:tcPr>
          <w:p w14:paraId="73FF1C3B" w14:textId="77777777" w:rsidR="00412482" w:rsidRPr="00BB64D7" w:rsidRDefault="00412482" w:rsidP="00B41BBF">
            <w:pPr>
              <w:ind w:firstLine="0"/>
              <w:jc w:val="center"/>
              <w:rPr>
                <w:i/>
                <w:color w:val="000000"/>
                <w:sz w:val="22"/>
                <w:lang w:eastAsia="lt-LT"/>
              </w:rPr>
            </w:pPr>
            <w:r w:rsidRPr="00BB64D7">
              <w:rPr>
                <w:i/>
                <w:color w:val="000000"/>
                <w:sz w:val="22"/>
                <w:lang w:eastAsia="lt-LT"/>
              </w:rPr>
              <w:t>Debreceno g. 17, 19, 21, 23, 25, 27</w:t>
            </w:r>
          </w:p>
        </w:tc>
      </w:tr>
    </w:tbl>
    <w:p w14:paraId="66404657" w14:textId="1A096E41" w:rsidR="00412482" w:rsidRPr="00BB64D7" w:rsidRDefault="00412482" w:rsidP="00412482">
      <w:pPr>
        <w:pStyle w:val="Pagrindinistekstas"/>
        <w:ind w:firstLine="690"/>
        <w:rPr>
          <w:sz w:val="22"/>
          <w:szCs w:val="24"/>
        </w:rPr>
      </w:pPr>
      <w:r w:rsidRPr="00BB64D7">
        <w:rPr>
          <w:sz w:val="22"/>
          <w:szCs w:val="24"/>
        </w:rPr>
        <w:t xml:space="preserve">Eiliškumas užtikrinti tvarką ir švarią aplinką aplink pusiau požeminių konteinerių aikštelę, esančią prie Debreceno g. 17, </w:t>
      </w:r>
      <w:r w:rsidR="00EE33CA" w:rsidRPr="00BB64D7">
        <w:rPr>
          <w:sz w:val="22"/>
          <w:szCs w:val="24"/>
        </w:rPr>
        <w:t xml:space="preserve">būtų </w:t>
      </w:r>
      <w:r w:rsidRPr="00BB64D7">
        <w:rPr>
          <w:sz w:val="22"/>
          <w:szCs w:val="24"/>
        </w:rPr>
        <w:t>toks:</w:t>
      </w:r>
    </w:p>
    <w:p w14:paraId="04D49E8B" w14:textId="1BE8262A" w:rsidR="00412482" w:rsidRPr="00BB64D7" w:rsidRDefault="00EE33CA" w:rsidP="00412482">
      <w:pPr>
        <w:pStyle w:val="Pagrindinistekstas"/>
        <w:ind w:firstLine="690"/>
        <w:rPr>
          <w:sz w:val="22"/>
          <w:szCs w:val="24"/>
        </w:rPr>
      </w:pPr>
      <w:r w:rsidRPr="00BB64D7">
        <w:rPr>
          <w:sz w:val="22"/>
          <w:szCs w:val="24"/>
        </w:rPr>
        <w:t>Sausio mėnesį – Debreceno g. 17;</w:t>
      </w:r>
    </w:p>
    <w:p w14:paraId="340CCF5B" w14:textId="11291A55" w:rsidR="00EE33CA" w:rsidRPr="00BB64D7" w:rsidRDefault="00EE33CA" w:rsidP="00412482">
      <w:pPr>
        <w:pStyle w:val="Pagrindinistekstas"/>
        <w:ind w:firstLine="690"/>
        <w:rPr>
          <w:sz w:val="22"/>
          <w:szCs w:val="24"/>
        </w:rPr>
      </w:pPr>
      <w:r w:rsidRPr="00BB64D7">
        <w:rPr>
          <w:sz w:val="22"/>
          <w:szCs w:val="24"/>
        </w:rPr>
        <w:t>Vasario mėnesį – Debreceno g. 19;</w:t>
      </w:r>
    </w:p>
    <w:p w14:paraId="552591F6" w14:textId="55146A52" w:rsidR="00412482" w:rsidRPr="00BB64D7" w:rsidRDefault="00EE33CA" w:rsidP="00412482">
      <w:pPr>
        <w:pStyle w:val="Pagrindinistekstas"/>
        <w:ind w:firstLine="690"/>
        <w:rPr>
          <w:sz w:val="22"/>
          <w:szCs w:val="24"/>
        </w:rPr>
      </w:pPr>
      <w:r w:rsidRPr="00BB64D7">
        <w:rPr>
          <w:sz w:val="22"/>
          <w:szCs w:val="24"/>
        </w:rPr>
        <w:t>Kovo mėnesį – Debreceno g. 21;</w:t>
      </w:r>
    </w:p>
    <w:p w14:paraId="59CEAEFE" w14:textId="3335FD90" w:rsidR="00EE33CA" w:rsidRPr="00BB64D7" w:rsidRDefault="00EE33CA" w:rsidP="00412482">
      <w:pPr>
        <w:pStyle w:val="Pagrindinistekstas"/>
        <w:ind w:firstLine="690"/>
        <w:rPr>
          <w:sz w:val="22"/>
          <w:szCs w:val="24"/>
        </w:rPr>
      </w:pPr>
      <w:r w:rsidRPr="00BB64D7">
        <w:rPr>
          <w:sz w:val="22"/>
          <w:szCs w:val="24"/>
        </w:rPr>
        <w:t>Balandžio mėnesį – Debreceno g. 23;</w:t>
      </w:r>
    </w:p>
    <w:p w14:paraId="013787ED" w14:textId="1E7271C7" w:rsidR="00EE33CA" w:rsidRPr="00BB64D7" w:rsidRDefault="00EE33CA" w:rsidP="00412482">
      <w:pPr>
        <w:pStyle w:val="Pagrindinistekstas"/>
        <w:ind w:firstLine="690"/>
        <w:rPr>
          <w:sz w:val="22"/>
          <w:szCs w:val="24"/>
        </w:rPr>
      </w:pPr>
      <w:r w:rsidRPr="00BB64D7">
        <w:rPr>
          <w:sz w:val="22"/>
          <w:szCs w:val="24"/>
        </w:rPr>
        <w:t>Gegužės mėnesį – Debreceno g. 25;</w:t>
      </w:r>
    </w:p>
    <w:p w14:paraId="1133F4BC" w14:textId="56463D61" w:rsidR="00EE33CA" w:rsidRPr="00BB64D7" w:rsidRDefault="00EE33CA" w:rsidP="00412482">
      <w:pPr>
        <w:pStyle w:val="Pagrindinistekstas"/>
        <w:ind w:firstLine="690"/>
        <w:rPr>
          <w:sz w:val="22"/>
          <w:szCs w:val="24"/>
        </w:rPr>
      </w:pPr>
      <w:r w:rsidRPr="00BB64D7">
        <w:rPr>
          <w:sz w:val="22"/>
          <w:szCs w:val="24"/>
        </w:rPr>
        <w:t>Birželio mėnesį – Debreceno g. 27;</w:t>
      </w:r>
    </w:p>
    <w:p w14:paraId="24C2868F" w14:textId="40E03B3D" w:rsidR="00EE33CA" w:rsidRPr="00BB64D7" w:rsidRDefault="00EE33CA" w:rsidP="00412482">
      <w:pPr>
        <w:pStyle w:val="Pagrindinistekstas"/>
        <w:ind w:firstLine="690"/>
        <w:rPr>
          <w:sz w:val="22"/>
          <w:szCs w:val="24"/>
        </w:rPr>
      </w:pPr>
      <w:r w:rsidRPr="00BB64D7">
        <w:rPr>
          <w:sz w:val="22"/>
          <w:szCs w:val="24"/>
        </w:rPr>
        <w:t>Liepos mėnesį – Debreceno g. 17 ir atitinkamai toliau.</w:t>
      </w:r>
    </w:p>
    <w:p w14:paraId="54EEFA58" w14:textId="77777777" w:rsidR="00BB64D7" w:rsidRPr="00BB64D7" w:rsidRDefault="00BB64D7" w:rsidP="00412482">
      <w:pPr>
        <w:pStyle w:val="Pagrindinistekstas"/>
        <w:ind w:firstLine="690"/>
        <w:rPr>
          <w:sz w:val="22"/>
          <w:szCs w:val="24"/>
        </w:rPr>
      </w:pPr>
    </w:p>
    <w:p w14:paraId="47BE54A3" w14:textId="282956AD" w:rsidR="00EE33CA" w:rsidRPr="00644525" w:rsidRDefault="00EE33CA" w:rsidP="00412482">
      <w:pPr>
        <w:pStyle w:val="Pagrindinistekstas"/>
        <w:ind w:firstLine="690"/>
        <w:rPr>
          <w:sz w:val="22"/>
          <w:szCs w:val="24"/>
        </w:rPr>
      </w:pPr>
      <w:r w:rsidRPr="00644525">
        <w:rPr>
          <w:sz w:val="22"/>
          <w:szCs w:val="24"/>
        </w:rPr>
        <w:t>Kadangi Debreceno g. 17, 19, 21 ir 23 daugiabučius gyvenamuosius namus</w:t>
      </w:r>
      <w:r w:rsidR="00F80569" w:rsidRPr="00644525">
        <w:rPr>
          <w:sz w:val="22"/>
          <w:szCs w:val="24"/>
        </w:rPr>
        <w:t>, nagrinėjamu atveju,</w:t>
      </w:r>
      <w:r w:rsidRPr="00644525">
        <w:rPr>
          <w:sz w:val="22"/>
          <w:szCs w:val="24"/>
        </w:rPr>
        <w:t xml:space="preserve"> administruoja </w:t>
      </w:r>
      <w:r w:rsidR="00F80569" w:rsidRPr="00644525">
        <w:rPr>
          <w:sz w:val="22"/>
          <w:szCs w:val="24"/>
        </w:rPr>
        <w:t>bendrojo naudojimo objektų administratorius UAB „Klaipėdos bendrabutis“, tai šis subjektas tvarką ir švarią aplinką aplink pusiau požeminių konteinerių aikštelę, esančią prie Debreceno g. 17 privalės užtikrinti sausio, vasario, kovo, balandžio, liepos, rugpjūčio, rugsėjo, spalio, kitų metų sausio, vasario, kovo, balandžio mėnesiais ir t. t.</w:t>
      </w:r>
    </w:p>
    <w:p w14:paraId="43AFD199" w14:textId="5171F170" w:rsidR="00F80569" w:rsidRPr="00644525" w:rsidRDefault="00F80569" w:rsidP="00412482">
      <w:pPr>
        <w:pStyle w:val="Pagrindinistekstas"/>
        <w:ind w:firstLine="690"/>
        <w:rPr>
          <w:sz w:val="22"/>
          <w:szCs w:val="24"/>
        </w:rPr>
      </w:pPr>
      <w:r w:rsidRPr="00644525">
        <w:rPr>
          <w:sz w:val="22"/>
          <w:szCs w:val="24"/>
        </w:rPr>
        <w:t>Kadangi Debreceno g. 25 yra bendrabutis, kuris priklauso įmonei, tai šis subjektas (ši įmonė) tvarką ir švarią aplinką aplink pusiau požeminių konteinerių aikštelę, esančią prie Debreceno g. 17 privalės užtikrinti gegužės, lapkričio, kitų metų gegužės mėnesiais ir t. t.</w:t>
      </w:r>
    </w:p>
    <w:p w14:paraId="1B483094" w14:textId="2E494883" w:rsidR="00F80569" w:rsidRPr="00BB64D7" w:rsidRDefault="00F80569" w:rsidP="00412482">
      <w:pPr>
        <w:pStyle w:val="Pagrindinistekstas"/>
        <w:ind w:firstLine="690"/>
        <w:rPr>
          <w:sz w:val="22"/>
          <w:szCs w:val="24"/>
        </w:rPr>
      </w:pPr>
      <w:r w:rsidRPr="00644525">
        <w:rPr>
          <w:sz w:val="22"/>
          <w:szCs w:val="24"/>
        </w:rPr>
        <w:t xml:space="preserve">Kadangi Debreceno g. 27 yra </w:t>
      </w:r>
      <w:r w:rsidR="00E32460" w:rsidRPr="00644525">
        <w:rPr>
          <w:sz w:val="22"/>
          <w:szCs w:val="24"/>
        </w:rPr>
        <w:t>įsteigta daugiabučio namo savininkų bendrija</w:t>
      </w:r>
      <w:r w:rsidRPr="00644525">
        <w:rPr>
          <w:sz w:val="22"/>
          <w:szCs w:val="24"/>
        </w:rPr>
        <w:t>,</w:t>
      </w:r>
      <w:r w:rsidR="00E32460" w:rsidRPr="00644525">
        <w:rPr>
          <w:sz w:val="22"/>
          <w:szCs w:val="24"/>
        </w:rPr>
        <w:t xml:space="preserve"> </w:t>
      </w:r>
      <w:r w:rsidRPr="00644525">
        <w:rPr>
          <w:sz w:val="22"/>
          <w:szCs w:val="24"/>
        </w:rPr>
        <w:t xml:space="preserve">tai šis subjektas (ši </w:t>
      </w:r>
      <w:r w:rsidR="00E32460" w:rsidRPr="00644525">
        <w:rPr>
          <w:sz w:val="22"/>
          <w:szCs w:val="24"/>
        </w:rPr>
        <w:t>DNSB</w:t>
      </w:r>
      <w:r w:rsidRPr="00644525">
        <w:rPr>
          <w:sz w:val="22"/>
          <w:szCs w:val="24"/>
        </w:rPr>
        <w:t>) tvarką ir švarią aplinką aplink pusiau požeminių konteinerių aikštelę, esančią prie Debreceno g. 17 privalės užtikrinti birželio, gruodžio, kitų metų birželio mėnesiais ir t. t.</w:t>
      </w:r>
    </w:p>
    <w:p w14:paraId="1BA33FD3" w14:textId="77777777" w:rsidR="00F80569" w:rsidRPr="00EF20B5" w:rsidRDefault="00F80569" w:rsidP="00412482">
      <w:pPr>
        <w:pStyle w:val="Pagrindinistekstas"/>
        <w:ind w:firstLine="690"/>
        <w:rPr>
          <w:sz w:val="22"/>
          <w:szCs w:val="24"/>
        </w:rPr>
      </w:pPr>
    </w:p>
    <w:p w14:paraId="5CEF0E9D" w14:textId="70443027" w:rsidR="000D7546" w:rsidRPr="00EF20B5" w:rsidRDefault="006C66F0" w:rsidP="001874D9">
      <w:pPr>
        <w:pStyle w:val="Pagrindinistekstas"/>
        <w:numPr>
          <w:ilvl w:val="0"/>
          <w:numId w:val="5"/>
        </w:numPr>
        <w:tabs>
          <w:tab w:val="left" w:pos="993"/>
        </w:tabs>
        <w:ind w:left="0" w:firstLine="690"/>
        <w:rPr>
          <w:i w:val="0"/>
          <w:szCs w:val="24"/>
        </w:rPr>
      </w:pPr>
      <w:r w:rsidRPr="00EF20B5">
        <w:rPr>
          <w:i w:val="0"/>
          <w:szCs w:val="24"/>
        </w:rPr>
        <w:t xml:space="preserve">subjektams, tais atvejais, kai </w:t>
      </w:r>
      <w:r w:rsidRPr="00EF20B5">
        <w:rPr>
          <w:i w:val="0"/>
        </w:rPr>
        <w:t xml:space="preserve">konteinerių stovėjimo vietos ir aikštelės yra priskirtos dviem ar daugiau skirtingų subjektų, </w:t>
      </w:r>
      <w:r w:rsidR="002C483C" w:rsidRPr="00EF20B5">
        <w:rPr>
          <w:i w:val="0"/>
          <w:szCs w:val="24"/>
        </w:rPr>
        <w:t>nustatoma</w:t>
      </w:r>
      <w:r w:rsidRPr="00EF20B5">
        <w:rPr>
          <w:i w:val="0"/>
          <w:szCs w:val="24"/>
        </w:rPr>
        <w:t xml:space="preserve"> galimybė (šiuo metu galiojančios Taisyklės nustato ne galimybę, </w:t>
      </w:r>
      <w:r w:rsidR="00154B88" w:rsidRPr="00EF20B5">
        <w:rPr>
          <w:i w:val="0"/>
          <w:szCs w:val="24"/>
        </w:rPr>
        <w:t xml:space="preserve">o </w:t>
      </w:r>
      <w:r w:rsidRPr="00EF20B5">
        <w:rPr>
          <w:i w:val="0"/>
          <w:szCs w:val="24"/>
        </w:rPr>
        <w:t xml:space="preserve">tokią pareigą) </w:t>
      </w:r>
      <w:r w:rsidRPr="00EF20B5">
        <w:rPr>
          <w:i w:val="0"/>
        </w:rPr>
        <w:t xml:space="preserve">pasirašyti tarpusavio susitarimus dėl mišrių komunalinių atliekų ir antrinių žaliavų surinkimo konteinerių stovėjimo vietų ir aikštelių priežiūros. </w:t>
      </w:r>
      <w:r w:rsidR="00D856BC" w:rsidRPr="00EF20B5">
        <w:rPr>
          <w:i w:val="0"/>
        </w:rPr>
        <w:t xml:space="preserve">Jeigu subjektai nusprendžia tokia galimybe pasinaudoti, tuomet </w:t>
      </w:r>
      <w:r w:rsidR="00154B88" w:rsidRPr="00EF20B5">
        <w:rPr>
          <w:i w:val="0"/>
        </w:rPr>
        <w:t xml:space="preserve">visiems </w:t>
      </w:r>
      <w:r w:rsidR="00D856BC" w:rsidRPr="00EF20B5">
        <w:rPr>
          <w:i w:val="0"/>
        </w:rPr>
        <w:t>subjektams pasirašius tarpusavio susitarim</w:t>
      </w:r>
      <w:r w:rsidR="00154B88" w:rsidRPr="00EF20B5">
        <w:rPr>
          <w:i w:val="0"/>
        </w:rPr>
        <w:t>ą</w:t>
      </w:r>
      <w:r w:rsidR="00D856BC" w:rsidRPr="00EF20B5">
        <w:rPr>
          <w:i w:val="0"/>
        </w:rPr>
        <w:t xml:space="preserve"> dėl mišrių komunalinių atliekų ir antrinių žaliavų surinkimo konteinerių stovėjimo vietų ir aikštelių priežiūros ir juos per 2 darbo dienas pateikus Savivaldybės administracijai, tvarką ir švarią aplinką užtikrina susitarime nurodytas asmuo. </w:t>
      </w:r>
      <w:r w:rsidR="00740E1E" w:rsidRPr="00EF20B5">
        <w:rPr>
          <w:i w:val="0"/>
        </w:rPr>
        <w:t>Pavyzdžiui:</w:t>
      </w:r>
    </w:p>
    <w:p w14:paraId="7825A448" w14:textId="77777777" w:rsidR="00B436D1" w:rsidRPr="00BB64D7" w:rsidRDefault="00B436D1" w:rsidP="00B436D1">
      <w:pPr>
        <w:pStyle w:val="Pagrindinistekstas"/>
        <w:ind w:firstLine="690"/>
        <w:rPr>
          <w:sz w:val="22"/>
          <w:szCs w:val="24"/>
        </w:rPr>
      </w:pPr>
      <w:r w:rsidRPr="00BB64D7">
        <w:rPr>
          <w:sz w:val="22"/>
          <w:szCs w:val="24"/>
        </w:rPr>
        <w:t>Klaipėdos miesto savivaldybės mišrių komunalinių atliekų ir antrinių žaliavų surinkimo konteinerių stovėjimo vietų ir aikštelių išdėstymo schemos 48 dalies priedo Gedminų dvaro gyvenamojo rajono mišrių komunalinių atliekų ir antrinių žaliavų surinkimo konteinerių stovėjimo vietų ir aikštelių sąrašo ištrauka (Klaipėdos miesto savivaldybės administracijos direktoriaus 2019-12-02 įsakymas Nr. AD1-1464)</w:t>
      </w:r>
    </w:p>
    <w:p w14:paraId="571C5537" w14:textId="77777777" w:rsidR="00B436D1" w:rsidRPr="00BB64D7" w:rsidRDefault="00B436D1" w:rsidP="00B436D1">
      <w:pPr>
        <w:pStyle w:val="Pagrindinistekstas"/>
        <w:rPr>
          <w:sz w:val="22"/>
          <w:szCs w:val="24"/>
        </w:rPr>
      </w:pPr>
    </w:p>
    <w:tbl>
      <w:tblPr>
        <w:tblW w:w="9639" w:type="dxa"/>
        <w:tblInd w:w="-5" w:type="dxa"/>
        <w:tblLayout w:type="fixed"/>
        <w:tblLook w:val="04A0" w:firstRow="1" w:lastRow="0" w:firstColumn="1" w:lastColumn="0" w:noHBand="0" w:noVBand="1"/>
      </w:tblPr>
      <w:tblGrid>
        <w:gridCol w:w="567"/>
        <w:gridCol w:w="1418"/>
        <w:gridCol w:w="1134"/>
        <w:gridCol w:w="1134"/>
        <w:gridCol w:w="1417"/>
        <w:gridCol w:w="1134"/>
        <w:gridCol w:w="1134"/>
        <w:gridCol w:w="1701"/>
      </w:tblGrid>
      <w:tr w:rsidR="00B436D1" w:rsidRPr="00BB64D7" w14:paraId="3091AF4B" w14:textId="77777777" w:rsidTr="00B41BBF">
        <w:trPr>
          <w:trHeight w:val="51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4FE10F2" w14:textId="77777777" w:rsidR="00B436D1" w:rsidRPr="00BB64D7" w:rsidRDefault="00B436D1" w:rsidP="00B41BBF">
            <w:pPr>
              <w:jc w:val="center"/>
              <w:rPr>
                <w:i/>
                <w:color w:val="000000"/>
                <w:sz w:val="22"/>
                <w:lang w:eastAsia="lt-LT"/>
              </w:rPr>
            </w:pPr>
            <w:r w:rsidRPr="00BB64D7">
              <w:rPr>
                <w:i/>
                <w:color w:val="000000"/>
                <w:sz w:val="22"/>
                <w:lang w:eastAsia="lt-LT"/>
              </w:rPr>
              <w:t>EEil. Nr.</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1DCF851" w14:textId="77777777" w:rsidR="00B436D1" w:rsidRPr="00BB64D7" w:rsidRDefault="00B436D1" w:rsidP="00B41BBF">
            <w:pPr>
              <w:ind w:firstLine="0"/>
              <w:jc w:val="center"/>
              <w:rPr>
                <w:i/>
                <w:color w:val="000000"/>
                <w:sz w:val="22"/>
                <w:lang w:eastAsia="lt-LT"/>
              </w:rPr>
            </w:pPr>
            <w:r w:rsidRPr="00BB64D7">
              <w:rPr>
                <w:i/>
                <w:color w:val="000000"/>
                <w:sz w:val="22"/>
                <w:lang w:eastAsia="lt-LT"/>
              </w:rPr>
              <w:t>Konteinerių stovėjimo adresas (prie)</w:t>
            </w: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14:paraId="252F248D" w14:textId="77777777" w:rsidR="00B436D1" w:rsidRPr="00BB64D7" w:rsidRDefault="00B436D1" w:rsidP="00B41BBF">
            <w:pPr>
              <w:ind w:firstLine="0"/>
              <w:jc w:val="center"/>
              <w:rPr>
                <w:i/>
                <w:color w:val="000000"/>
                <w:sz w:val="22"/>
                <w:lang w:eastAsia="lt-LT"/>
              </w:rPr>
            </w:pPr>
            <w:r w:rsidRPr="00BB64D7">
              <w:rPr>
                <w:i/>
                <w:color w:val="000000"/>
                <w:sz w:val="22"/>
                <w:lang w:eastAsia="lt-LT"/>
              </w:rPr>
              <w:t>Antžeminių konteinerių kiekis (vnt.)</w:t>
            </w:r>
          </w:p>
        </w:tc>
        <w:tc>
          <w:tcPr>
            <w:tcW w:w="3685" w:type="dxa"/>
            <w:gridSpan w:val="3"/>
            <w:tcBorders>
              <w:top w:val="single" w:sz="4" w:space="0" w:color="auto"/>
              <w:left w:val="nil"/>
              <w:bottom w:val="single" w:sz="4" w:space="0" w:color="auto"/>
              <w:right w:val="single" w:sz="4" w:space="0" w:color="000000"/>
            </w:tcBorders>
            <w:shd w:val="clear" w:color="auto" w:fill="auto"/>
            <w:vAlign w:val="bottom"/>
            <w:hideMark/>
          </w:tcPr>
          <w:p w14:paraId="1C9A08FF" w14:textId="77777777" w:rsidR="00B436D1" w:rsidRPr="00BB64D7" w:rsidRDefault="00B436D1" w:rsidP="00B41BBF">
            <w:pPr>
              <w:ind w:firstLine="0"/>
              <w:jc w:val="center"/>
              <w:rPr>
                <w:i/>
                <w:color w:val="000000"/>
                <w:sz w:val="22"/>
                <w:lang w:eastAsia="lt-LT"/>
              </w:rPr>
            </w:pPr>
            <w:r w:rsidRPr="00BB64D7">
              <w:rPr>
                <w:i/>
                <w:color w:val="000000"/>
                <w:sz w:val="22"/>
                <w:lang w:eastAsia="lt-LT"/>
              </w:rPr>
              <w:t>Požeminių/pusiau požeminių konteinerių kiekis (vnt.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C57D4F5" w14:textId="77777777" w:rsidR="00B436D1" w:rsidRPr="00BB64D7" w:rsidRDefault="00B436D1" w:rsidP="00B41BBF">
            <w:pPr>
              <w:ind w:firstLine="0"/>
              <w:jc w:val="center"/>
              <w:rPr>
                <w:i/>
                <w:color w:val="000000"/>
                <w:sz w:val="22"/>
                <w:lang w:eastAsia="lt-LT"/>
              </w:rPr>
            </w:pPr>
            <w:r w:rsidRPr="00BB64D7">
              <w:rPr>
                <w:i/>
                <w:color w:val="000000"/>
                <w:sz w:val="22"/>
                <w:lang w:eastAsia="lt-LT"/>
              </w:rPr>
              <w:t>Konteinerių stovėjimo vieta ar aikštelė priskirta</w:t>
            </w:r>
          </w:p>
        </w:tc>
      </w:tr>
      <w:tr w:rsidR="00B436D1" w:rsidRPr="00BB64D7" w14:paraId="530949B4" w14:textId="77777777" w:rsidTr="00B41BBF">
        <w:trPr>
          <w:trHeight w:val="10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FEA67D" w14:textId="77777777" w:rsidR="00B436D1" w:rsidRPr="00BB64D7" w:rsidRDefault="00B436D1" w:rsidP="00B41BBF">
            <w:pPr>
              <w:rPr>
                <w:i/>
                <w:color w:val="000000"/>
                <w:sz w:val="22"/>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745E5DF" w14:textId="77777777" w:rsidR="00B436D1" w:rsidRPr="00BB64D7" w:rsidRDefault="00B436D1" w:rsidP="00B41BBF">
            <w:pPr>
              <w:rPr>
                <w:i/>
                <w:color w:val="000000"/>
                <w:sz w:val="22"/>
                <w:lang w:eastAsia="lt-LT"/>
              </w:rPr>
            </w:pPr>
          </w:p>
        </w:tc>
        <w:tc>
          <w:tcPr>
            <w:tcW w:w="1134" w:type="dxa"/>
            <w:tcBorders>
              <w:top w:val="nil"/>
              <w:left w:val="nil"/>
              <w:bottom w:val="single" w:sz="4" w:space="0" w:color="auto"/>
              <w:right w:val="single" w:sz="4" w:space="0" w:color="auto"/>
            </w:tcBorders>
            <w:shd w:val="clear" w:color="auto" w:fill="auto"/>
            <w:vAlign w:val="bottom"/>
            <w:hideMark/>
          </w:tcPr>
          <w:p w14:paraId="5F907B65" w14:textId="77777777" w:rsidR="00B436D1" w:rsidRPr="00BB64D7" w:rsidRDefault="00B436D1" w:rsidP="00B41BBF">
            <w:pPr>
              <w:ind w:firstLine="0"/>
              <w:jc w:val="center"/>
              <w:rPr>
                <w:i/>
                <w:color w:val="000000"/>
                <w:sz w:val="22"/>
                <w:lang w:eastAsia="lt-LT"/>
              </w:rPr>
            </w:pPr>
            <w:r w:rsidRPr="00BB64D7">
              <w:rPr>
                <w:i/>
                <w:color w:val="000000"/>
                <w:sz w:val="22"/>
                <w:lang w:eastAsia="lt-LT"/>
              </w:rPr>
              <w:t>Mišrių komuna-</w:t>
            </w:r>
          </w:p>
          <w:p w14:paraId="44DAB44C" w14:textId="77777777" w:rsidR="00B436D1" w:rsidRPr="00BB64D7" w:rsidRDefault="00B436D1" w:rsidP="00B41BBF">
            <w:pPr>
              <w:ind w:firstLine="0"/>
              <w:jc w:val="center"/>
              <w:rPr>
                <w:i/>
                <w:color w:val="000000"/>
                <w:sz w:val="22"/>
                <w:lang w:eastAsia="lt-LT"/>
              </w:rPr>
            </w:pPr>
            <w:r w:rsidRPr="00BB64D7">
              <w:rPr>
                <w:i/>
                <w:color w:val="000000"/>
                <w:sz w:val="22"/>
                <w:lang w:eastAsia="lt-LT"/>
              </w:rPr>
              <w:t>linių</w:t>
            </w:r>
          </w:p>
          <w:p w14:paraId="1543A2F3" w14:textId="77777777" w:rsidR="00B436D1" w:rsidRPr="00BB64D7" w:rsidRDefault="00B436D1" w:rsidP="00B41BBF">
            <w:pPr>
              <w:ind w:firstLine="0"/>
              <w:jc w:val="center"/>
              <w:rPr>
                <w:i/>
                <w:color w:val="000000"/>
                <w:sz w:val="22"/>
                <w:lang w:eastAsia="lt-LT"/>
              </w:rPr>
            </w:pPr>
            <w:r w:rsidRPr="00BB64D7">
              <w:rPr>
                <w:i/>
                <w:color w:val="000000"/>
                <w:sz w:val="22"/>
                <w:lang w:eastAsia="lt-LT"/>
              </w:rPr>
              <w:t>(1,1 m</w:t>
            </w:r>
            <w:r w:rsidRPr="00BB64D7">
              <w:rPr>
                <w:i/>
                <w:color w:val="000000"/>
                <w:sz w:val="22"/>
                <w:vertAlign w:val="superscript"/>
                <w:lang w:eastAsia="lt-LT"/>
              </w:rPr>
              <w:t>3</w:t>
            </w:r>
            <w:r w:rsidRPr="00BB64D7">
              <w:rPr>
                <w:i/>
                <w:color w:val="000000"/>
                <w:sz w:val="22"/>
                <w:lang w:eastAsia="lt-LT"/>
              </w:rPr>
              <w:t>)</w:t>
            </w:r>
          </w:p>
        </w:tc>
        <w:tc>
          <w:tcPr>
            <w:tcW w:w="1134" w:type="dxa"/>
            <w:tcBorders>
              <w:top w:val="nil"/>
              <w:left w:val="nil"/>
              <w:bottom w:val="single" w:sz="4" w:space="0" w:color="auto"/>
              <w:right w:val="single" w:sz="4" w:space="0" w:color="auto"/>
            </w:tcBorders>
            <w:shd w:val="clear" w:color="auto" w:fill="auto"/>
            <w:vAlign w:val="bottom"/>
            <w:hideMark/>
          </w:tcPr>
          <w:p w14:paraId="5ECF07DC" w14:textId="77777777" w:rsidR="00B436D1" w:rsidRPr="00BB64D7" w:rsidRDefault="00B436D1" w:rsidP="00B41BBF">
            <w:pPr>
              <w:ind w:firstLine="0"/>
              <w:rPr>
                <w:i/>
                <w:color w:val="000000"/>
                <w:sz w:val="22"/>
                <w:lang w:eastAsia="lt-LT"/>
              </w:rPr>
            </w:pPr>
            <w:r w:rsidRPr="00BB64D7">
              <w:rPr>
                <w:i/>
                <w:color w:val="000000"/>
                <w:sz w:val="22"/>
                <w:lang w:eastAsia="lt-LT"/>
              </w:rPr>
              <w:t>Antrinių žaliavų (2,4 m</w:t>
            </w:r>
            <w:r w:rsidRPr="00BB64D7">
              <w:rPr>
                <w:i/>
                <w:color w:val="000000"/>
                <w:sz w:val="22"/>
                <w:vertAlign w:val="superscript"/>
                <w:lang w:eastAsia="lt-LT"/>
              </w:rPr>
              <w:t>3</w:t>
            </w:r>
            <w:r w:rsidRPr="00BB64D7">
              <w:rPr>
                <w:i/>
                <w:color w:val="000000"/>
                <w:sz w:val="22"/>
                <w:lang w:eastAsia="lt-LT"/>
              </w:rPr>
              <w:t>)</w:t>
            </w:r>
          </w:p>
        </w:tc>
        <w:tc>
          <w:tcPr>
            <w:tcW w:w="1417" w:type="dxa"/>
            <w:tcBorders>
              <w:top w:val="nil"/>
              <w:left w:val="nil"/>
              <w:bottom w:val="single" w:sz="4" w:space="0" w:color="auto"/>
              <w:right w:val="single" w:sz="4" w:space="0" w:color="auto"/>
            </w:tcBorders>
            <w:shd w:val="clear" w:color="auto" w:fill="auto"/>
            <w:vAlign w:val="bottom"/>
            <w:hideMark/>
          </w:tcPr>
          <w:p w14:paraId="476D7CFB" w14:textId="77777777" w:rsidR="00B436D1" w:rsidRPr="00BB64D7" w:rsidRDefault="00B436D1" w:rsidP="00B41BBF">
            <w:pPr>
              <w:ind w:firstLine="0"/>
              <w:jc w:val="center"/>
              <w:rPr>
                <w:i/>
                <w:color w:val="000000"/>
                <w:sz w:val="22"/>
                <w:lang w:eastAsia="lt-LT"/>
              </w:rPr>
            </w:pPr>
            <w:r w:rsidRPr="00BB64D7">
              <w:rPr>
                <w:i/>
                <w:color w:val="000000"/>
                <w:sz w:val="22"/>
                <w:lang w:eastAsia="lt-LT"/>
              </w:rPr>
              <w:t>Mišrių komuna-</w:t>
            </w:r>
          </w:p>
          <w:p w14:paraId="4E607EE7" w14:textId="77777777" w:rsidR="00B436D1" w:rsidRPr="00BB64D7" w:rsidRDefault="00B436D1" w:rsidP="00B41BBF">
            <w:pPr>
              <w:ind w:firstLine="0"/>
              <w:jc w:val="center"/>
              <w:rPr>
                <w:i/>
                <w:color w:val="000000"/>
                <w:sz w:val="22"/>
                <w:lang w:eastAsia="lt-LT"/>
              </w:rPr>
            </w:pPr>
            <w:r w:rsidRPr="00BB64D7">
              <w:rPr>
                <w:i/>
                <w:color w:val="000000"/>
                <w:sz w:val="22"/>
                <w:lang w:eastAsia="lt-LT"/>
              </w:rPr>
              <w:t xml:space="preserve">linių </w:t>
            </w:r>
          </w:p>
          <w:p w14:paraId="66F135F6" w14:textId="77777777" w:rsidR="00B436D1" w:rsidRPr="00BB64D7" w:rsidRDefault="00B436D1" w:rsidP="00B41BBF">
            <w:pPr>
              <w:ind w:firstLine="0"/>
              <w:jc w:val="center"/>
              <w:rPr>
                <w:i/>
                <w:color w:val="000000"/>
                <w:sz w:val="22"/>
                <w:lang w:eastAsia="lt-LT"/>
              </w:rPr>
            </w:pPr>
            <w:r w:rsidRPr="00BB64D7">
              <w:rPr>
                <w:i/>
                <w:color w:val="000000"/>
                <w:sz w:val="22"/>
                <w:lang w:eastAsia="lt-LT"/>
              </w:rPr>
              <w:t>(5 m</w:t>
            </w:r>
            <w:r w:rsidRPr="00BB64D7">
              <w:rPr>
                <w:i/>
                <w:color w:val="000000"/>
                <w:sz w:val="22"/>
                <w:vertAlign w:val="superscript"/>
                <w:lang w:eastAsia="lt-LT"/>
              </w:rPr>
              <w:t>3</w:t>
            </w:r>
            <w:r w:rsidRPr="00BB64D7">
              <w:rPr>
                <w:i/>
                <w:color w:val="000000"/>
                <w:sz w:val="22"/>
                <w:lang w:eastAsia="lt-LT"/>
              </w:rPr>
              <w:t>)</w:t>
            </w:r>
          </w:p>
        </w:tc>
        <w:tc>
          <w:tcPr>
            <w:tcW w:w="1134" w:type="dxa"/>
            <w:tcBorders>
              <w:top w:val="nil"/>
              <w:left w:val="nil"/>
              <w:bottom w:val="single" w:sz="4" w:space="0" w:color="auto"/>
              <w:right w:val="single" w:sz="4" w:space="0" w:color="auto"/>
            </w:tcBorders>
            <w:shd w:val="clear" w:color="auto" w:fill="auto"/>
            <w:vAlign w:val="bottom"/>
            <w:hideMark/>
          </w:tcPr>
          <w:p w14:paraId="4EB01A99" w14:textId="77777777" w:rsidR="00B436D1" w:rsidRPr="00BB64D7" w:rsidRDefault="00B436D1" w:rsidP="00B41BBF">
            <w:pPr>
              <w:ind w:firstLine="0"/>
              <w:rPr>
                <w:i/>
                <w:color w:val="000000"/>
                <w:sz w:val="22"/>
                <w:lang w:eastAsia="lt-LT"/>
              </w:rPr>
            </w:pPr>
            <w:r w:rsidRPr="00BB64D7">
              <w:rPr>
                <w:i/>
                <w:color w:val="000000"/>
                <w:sz w:val="22"/>
                <w:lang w:eastAsia="lt-LT"/>
              </w:rPr>
              <w:t>Antrinių žaliavų (5 m</w:t>
            </w:r>
            <w:r w:rsidRPr="00BB64D7">
              <w:rPr>
                <w:i/>
                <w:color w:val="000000"/>
                <w:sz w:val="22"/>
                <w:vertAlign w:val="superscript"/>
                <w:lang w:eastAsia="lt-LT"/>
              </w:rPr>
              <w:t>3</w:t>
            </w:r>
            <w:r w:rsidRPr="00BB64D7">
              <w:rPr>
                <w:i/>
                <w:color w:val="000000"/>
                <w:sz w:val="22"/>
                <w:lang w:eastAsia="lt-LT"/>
              </w:rPr>
              <w:t>)</w:t>
            </w:r>
          </w:p>
        </w:tc>
        <w:tc>
          <w:tcPr>
            <w:tcW w:w="1134" w:type="dxa"/>
            <w:tcBorders>
              <w:top w:val="nil"/>
              <w:left w:val="nil"/>
              <w:bottom w:val="single" w:sz="4" w:space="0" w:color="auto"/>
              <w:right w:val="single" w:sz="4" w:space="0" w:color="auto"/>
            </w:tcBorders>
            <w:shd w:val="clear" w:color="auto" w:fill="auto"/>
            <w:vAlign w:val="bottom"/>
            <w:hideMark/>
          </w:tcPr>
          <w:p w14:paraId="54F93F90" w14:textId="77777777" w:rsidR="00B436D1" w:rsidRPr="00BB64D7" w:rsidRDefault="00B436D1" w:rsidP="00B41BBF">
            <w:pPr>
              <w:ind w:firstLine="0"/>
              <w:rPr>
                <w:i/>
                <w:color w:val="000000"/>
                <w:sz w:val="22"/>
                <w:lang w:eastAsia="lt-LT"/>
              </w:rPr>
            </w:pPr>
            <w:r w:rsidRPr="00BB64D7">
              <w:rPr>
                <w:i/>
                <w:color w:val="000000"/>
                <w:sz w:val="22"/>
                <w:lang w:eastAsia="lt-LT"/>
              </w:rPr>
              <w:t xml:space="preserve">Antrinių žaliavų </w:t>
            </w:r>
            <w:r w:rsidRPr="00BB64D7">
              <w:rPr>
                <w:i/>
                <w:sz w:val="22"/>
                <w:lang w:eastAsia="lt-LT"/>
              </w:rPr>
              <w:t>(3 m</w:t>
            </w:r>
            <w:r w:rsidRPr="00BB64D7">
              <w:rPr>
                <w:i/>
                <w:sz w:val="22"/>
                <w:vertAlign w:val="superscript"/>
                <w:lang w:eastAsia="lt-LT"/>
              </w:rPr>
              <w:t>3</w:t>
            </w:r>
            <w:r w:rsidRPr="00BB64D7">
              <w:rPr>
                <w:i/>
                <w:sz w:val="22"/>
                <w:lang w:eastAsia="lt-LT"/>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086B4C" w14:textId="77777777" w:rsidR="00B436D1" w:rsidRPr="00BB64D7" w:rsidRDefault="00B436D1" w:rsidP="00B41BBF">
            <w:pPr>
              <w:rPr>
                <w:i/>
                <w:color w:val="000000"/>
                <w:sz w:val="22"/>
                <w:lang w:eastAsia="lt-LT"/>
              </w:rPr>
            </w:pPr>
          </w:p>
        </w:tc>
      </w:tr>
      <w:tr w:rsidR="00B436D1" w:rsidRPr="00BB64D7" w14:paraId="7F99D5C5" w14:textId="77777777" w:rsidTr="00B41BBF">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5D6B6A" w14:textId="77777777" w:rsidR="00B436D1" w:rsidRPr="00BB64D7" w:rsidRDefault="00B436D1" w:rsidP="00B41BBF">
            <w:pPr>
              <w:jc w:val="center"/>
              <w:rPr>
                <w:i/>
                <w:color w:val="000000"/>
                <w:sz w:val="22"/>
                <w:lang w:eastAsia="lt-LT"/>
              </w:rPr>
            </w:pPr>
            <w:r w:rsidRPr="00BB64D7">
              <w:rPr>
                <w:i/>
                <w:color w:val="000000"/>
                <w:sz w:val="22"/>
                <w:lang w:eastAsia="lt-LT"/>
              </w:rPr>
              <w:t>48.6</w:t>
            </w:r>
          </w:p>
        </w:tc>
        <w:tc>
          <w:tcPr>
            <w:tcW w:w="1418" w:type="dxa"/>
            <w:tcBorders>
              <w:top w:val="nil"/>
              <w:left w:val="nil"/>
              <w:bottom w:val="single" w:sz="4" w:space="0" w:color="auto"/>
              <w:right w:val="single" w:sz="4" w:space="0" w:color="auto"/>
            </w:tcBorders>
            <w:shd w:val="clear" w:color="auto" w:fill="auto"/>
            <w:noWrap/>
            <w:vAlign w:val="center"/>
            <w:hideMark/>
          </w:tcPr>
          <w:p w14:paraId="68EE7FFF" w14:textId="77777777" w:rsidR="00B436D1" w:rsidRPr="00BB64D7" w:rsidRDefault="00B436D1" w:rsidP="00B41BBF">
            <w:pPr>
              <w:ind w:firstLine="0"/>
              <w:jc w:val="center"/>
              <w:rPr>
                <w:i/>
                <w:color w:val="000000"/>
                <w:sz w:val="22"/>
                <w:lang w:eastAsia="lt-LT"/>
              </w:rPr>
            </w:pPr>
            <w:r w:rsidRPr="00BB64D7">
              <w:rPr>
                <w:i/>
                <w:color w:val="000000"/>
                <w:sz w:val="22"/>
                <w:lang w:eastAsia="lt-LT"/>
              </w:rPr>
              <w:t>Debreceno g. 17</w:t>
            </w:r>
          </w:p>
        </w:tc>
        <w:tc>
          <w:tcPr>
            <w:tcW w:w="1134" w:type="dxa"/>
            <w:tcBorders>
              <w:top w:val="nil"/>
              <w:left w:val="nil"/>
              <w:bottom w:val="single" w:sz="4" w:space="0" w:color="auto"/>
              <w:right w:val="single" w:sz="4" w:space="0" w:color="auto"/>
            </w:tcBorders>
            <w:shd w:val="clear" w:color="auto" w:fill="auto"/>
            <w:noWrap/>
            <w:vAlign w:val="center"/>
            <w:hideMark/>
          </w:tcPr>
          <w:p w14:paraId="20B14636" w14:textId="77777777" w:rsidR="00B436D1" w:rsidRPr="00BB64D7" w:rsidRDefault="00B436D1" w:rsidP="00B41BBF">
            <w:pPr>
              <w:jc w:val="center"/>
              <w:rPr>
                <w:i/>
                <w:sz w:val="22"/>
              </w:rPr>
            </w:pPr>
            <w:r w:rsidRPr="00BB64D7">
              <w:rPr>
                <w:i/>
                <w:sz w:val="22"/>
                <w:lang w:eastAsia="lt-LT"/>
              </w:rPr>
              <w:t>0</w:t>
            </w:r>
          </w:p>
        </w:tc>
        <w:tc>
          <w:tcPr>
            <w:tcW w:w="1134" w:type="dxa"/>
            <w:tcBorders>
              <w:top w:val="nil"/>
              <w:left w:val="nil"/>
              <w:bottom w:val="single" w:sz="4" w:space="0" w:color="auto"/>
              <w:right w:val="single" w:sz="4" w:space="0" w:color="auto"/>
            </w:tcBorders>
            <w:shd w:val="clear" w:color="auto" w:fill="auto"/>
            <w:noWrap/>
            <w:vAlign w:val="center"/>
            <w:hideMark/>
          </w:tcPr>
          <w:p w14:paraId="4BDF40A9" w14:textId="77777777" w:rsidR="00B436D1" w:rsidRPr="00BB64D7" w:rsidRDefault="00B436D1" w:rsidP="00B41BBF">
            <w:pPr>
              <w:jc w:val="center"/>
              <w:rPr>
                <w:i/>
                <w:sz w:val="22"/>
              </w:rPr>
            </w:pPr>
            <w:r w:rsidRPr="00BB64D7">
              <w:rPr>
                <w:i/>
                <w:sz w:val="22"/>
                <w:lang w:eastAsia="lt-LT"/>
              </w:rPr>
              <w:t>0</w:t>
            </w:r>
          </w:p>
        </w:tc>
        <w:tc>
          <w:tcPr>
            <w:tcW w:w="1417" w:type="dxa"/>
            <w:tcBorders>
              <w:top w:val="nil"/>
              <w:left w:val="nil"/>
              <w:bottom w:val="single" w:sz="4" w:space="0" w:color="auto"/>
              <w:right w:val="single" w:sz="4" w:space="0" w:color="auto"/>
            </w:tcBorders>
            <w:shd w:val="clear" w:color="auto" w:fill="auto"/>
            <w:noWrap/>
            <w:vAlign w:val="center"/>
            <w:hideMark/>
          </w:tcPr>
          <w:p w14:paraId="4EC07254" w14:textId="77777777" w:rsidR="00B436D1" w:rsidRPr="00BB64D7" w:rsidRDefault="00B436D1" w:rsidP="00B41BBF">
            <w:pPr>
              <w:jc w:val="center"/>
              <w:rPr>
                <w:i/>
                <w:color w:val="000000"/>
                <w:sz w:val="22"/>
                <w:lang w:eastAsia="lt-LT"/>
              </w:rPr>
            </w:pPr>
            <w:r w:rsidRPr="00BB64D7">
              <w:rPr>
                <w:i/>
                <w:color w:val="000000"/>
                <w:sz w:val="22"/>
                <w:lang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14:paraId="47EEDFAD" w14:textId="77777777" w:rsidR="00B436D1" w:rsidRPr="00BB64D7" w:rsidRDefault="00B436D1" w:rsidP="00B41BBF">
            <w:pPr>
              <w:jc w:val="center"/>
              <w:rPr>
                <w:i/>
                <w:color w:val="000000"/>
                <w:sz w:val="22"/>
                <w:lang w:eastAsia="lt-LT"/>
              </w:rPr>
            </w:pPr>
            <w:r w:rsidRPr="00BB64D7">
              <w:rPr>
                <w:i/>
                <w:color w:val="000000"/>
                <w:sz w:val="22"/>
                <w:lang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14:paraId="3207BD8D" w14:textId="77777777" w:rsidR="00B436D1" w:rsidRPr="00BB64D7" w:rsidRDefault="00B436D1" w:rsidP="00B41BBF">
            <w:pPr>
              <w:jc w:val="center"/>
              <w:rPr>
                <w:i/>
                <w:color w:val="000000"/>
                <w:sz w:val="22"/>
                <w:lang w:eastAsia="lt-LT"/>
              </w:rPr>
            </w:pPr>
            <w:r w:rsidRPr="00BB64D7">
              <w:rPr>
                <w:i/>
                <w:color w:val="000000"/>
                <w:sz w:val="22"/>
                <w:lang w:eastAsia="lt-LT"/>
              </w:rPr>
              <w:t>1</w:t>
            </w:r>
          </w:p>
        </w:tc>
        <w:tc>
          <w:tcPr>
            <w:tcW w:w="1701" w:type="dxa"/>
            <w:tcBorders>
              <w:top w:val="nil"/>
              <w:left w:val="nil"/>
              <w:bottom w:val="single" w:sz="4" w:space="0" w:color="auto"/>
              <w:right w:val="single" w:sz="4" w:space="0" w:color="auto"/>
            </w:tcBorders>
            <w:shd w:val="clear" w:color="auto" w:fill="auto"/>
            <w:noWrap/>
            <w:vAlign w:val="center"/>
            <w:hideMark/>
          </w:tcPr>
          <w:p w14:paraId="6DFF8B8F" w14:textId="77777777" w:rsidR="00B436D1" w:rsidRPr="00BB64D7" w:rsidRDefault="00B436D1" w:rsidP="00B41BBF">
            <w:pPr>
              <w:ind w:firstLine="0"/>
              <w:jc w:val="center"/>
              <w:rPr>
                <w:i/>
                <w:color w:val="000000"/>
                <w:sz w:val="22"/>
                <w:lang w:eastAsia="lt-LT"/>
              </w:rPr>
            </w:pPr>
            <w:r w:rsidRPr="00BB64D7">
              <w:rPr>
                <w:i/>
                <w:color w:val="000000"/>
                <w:sz w:val="22"/>
                <w:lang w:eastAsia="lt-LT"/>
              </w:rPr>
              <w:t>Debreceno g. 17, 19, 21, 23, 25, 27</w:t>
            </w:r>
          </w:p>
        </w:tc>
      </w:tr>
    </w:tbl>
    <w:p w14:paraId="2865A55C" w14:textId="173270F9" w:rsidR="00740E1E" w:rsidRPr="00740E1E" w:rsidRDefault="00740E1E" w:rsidP="00740E1E">
      <w:pPr>
        <w:pStyle w:val="Pagrindinistekstas"/>
        <w:tabs>
          <w:tab w:val="left" w:pos="993"/>
        </w:tabs>
        <w:rPr>
          <w:i w:val="0"/>
        </w:rPr>
      </w:pPr>
    </w:p>
    <w:p w14:paraId="0524C073" w14:textId="217DC5C0" w:rsidR="00740E1E" w:rsidRPr="00644525" w:rsidRDefault="00B436D1" w:rsidP="00B436D1">
      <w:pPr>
        <w:pStyle w:val="Pagrindinistekstas"/>
        <w:ind w:firstLine="690"/>
        <w:rPr>
          <w:sz w:val="22"/>
          <w:szCs w:val="24"/>
        </w:rPr>
      </w:pPr>
      <w:r w:rsidRPr="00BB64D7">
        <w:rPr>
          <w:sz w:val="22"/>
          <w:szCs w:val="24"/>
        </w:rPr>
        <w:t xml:space="preserve">Debreceno g. 17, 19, 21 ir 23 daugiabučius gyvenamuosius namus, nagrinėjamu atveju, administruoja </w:t>
      </w:r>
      <w:r w:rsidRPr="00644525">
        <w:rPr>
          <w:sz w:val="22"/>
          <w:szCs w:val="24"/>
        </w:rPr>
        <w:t>bendrojo naudojimo objektų administratorius UAB „Klaipėdos bendrabutis“.</w:t>
      </w:r>
    </w:p>
    <w:p w14:paraId="71181C48" w14:textId="6C790606" w:rsidR="00B436D1" w:rsidRPr="00644525" w:rsidRDefault="00B436D1" w:rsidP="00B436D1">
      <w:pPr>
        <w:pStyle w:val="Pagrindinistekstas"/>
        <w:ind w:firstLine="690"/>
        <w:rPr>
          <w:sz w:val="22"/>
          <w:szCs w:val="24"/>
        </w:rPr>
      </w:pPr>
      <w:r w:rsidRPr="00644525">
        <w:rPr>
          <w:sz w:val="22"/>
          <w:szCs w:val="24"/>
        </w:rPr>
        <w:t>Debreceno g. 25 yra bendrabutis, kuris priklauso įmonei.</w:t>
      </w:r>
    </w:p>
    <w:p w14:paraId="79E8FF79" w14:textId="3DCDB0B5" w:rsidR="00B436D1" w:rsidRPr="00644525" w:rsidRDefault="00E32460" w:rsidP="00B436D1">
      <w:pPr>
        <w:pStyle w:val="Pagrindinistekstas"/>
        <w:ind w:firstLine="690"/>
        <w:rPr>
          <w:sz w:val="22"/>
          <w:szCs w:val="24"/>
        </w:rPr>
      </w:pPr>
      <w:r w:rsidRPr="00644525">
        <w:rPr>
          <w:sz w:val="22"/>
          <w:szCs w:val="24"/>
        </w:rPr>
        <w:t>Debreceno g. 27 yra įsteigta daugiabučio namo savininkų bendrija (DNSB)</w:t>
      </w:r>
      <w:r w:rsidR="00B436D1" w:rsidRPr="00644525">
        <w:rPr>
          <w:sz w:val="22"/>
          <w:szCs w:val="24"/>
        </w:rPr>
        <w:t>.</w:t>
      </w:r>
    </w:p>
    <w:p w14:paraId="7698EBD6" w14:textId="67F691DC" w:rsidR="00B436D1" w:rsidRDefault="00B436D1" w:rsidP="00B436D1">
      <w:pPr>
        <w:pStyle w:val="Pagrindinistekstas"/>
        <w:ind w:firstLine="690"/>
        <w:rPr>
          <w:sz w:val="22"/>
          <w:szCs w:val="24"/>
        </w:rPr>
      </w:pPr>
      <w:r w:rsidRPr="00644525">
        <w:rPr>
          <w:sz w:val="22"/>
          <w:szCs w:val="24"/>
        </w:rPr>
        <w:t>Visi trys subjektai (administratorius</w:t>
      </w:r>
      <w:r w:rsidR="00E32460" w:rsidRPr="00644525">
        <w:rPr>
          <w:sz w:val="22"/>
          <w:szCs w:val="24"/>
        </w:rPr>
        <w:t>, DNSB</w:t>
      </w:r>
      <w:r w:rsidRPr="00644525">
        <w:rPr>
          <w:sz w:val="22"/>
          <w:szCs w:val="24"/>
        </w:rPr>
        <w:t xml:space="preserve"> ir įmonės) susitaria, kad tvarką ir švarią aplinką aplink pusiau požeminių konteinerių aikštelę, esančią prie Debreceno g. 17, sausio mėnesį užtikrins </w:t>
      </w:r>
      <w:r w:rsidR="00E32460" w:rsidRPr="00644525">
        <w:rPr>
          <w:sz w:val="22"/>
          <w:szCs w:val="24"/>
        </w:rPr>
        <w:t>DNSB</w:t>
      </w:r>
      <w:r w:rsidRPr="00644525">
        <w:rPr>
          <w:sz w:val="22"/>
          <w:szCs w:val="24"/>
        </w:rPr>
        <w:t xml:space="preserve"> (Debreceno g. 27), vasario mėnesį – įmonė, kuriai priklauso bendrabutis (Debreceno</w:t>
      </w:r>
      <w:r w:rsidR="00BF1A74">
        <w:rPr>
          <w:sz w:val="22"/>
          <w:szCs w:val="24"/>
        </w:rPr>
        <w:t xml:space="preserve"> g. 25), kovo - birželio mėnesia</w:t>
      </w:r>
      <w:r w:rsidRPr="00644525">
        <w:rPr>
          <w:sz w:val="22"/>
          <w:szCs w:val="24"/>
        </w:rPr>
        <w:t>is – administratorius (Debreceno g. 17, 19, 21, 23),</w:t>
      </w:r>
      <w:r w:rsidR="0049366D" w:rsidRPr="00644525">
        <w:rPr>
          <w:sz w:val="22"/>
          <w:szCs w:val="24"/>
        </w:rPr>
        <w:t xml:space="preserve"> liepos mėnesį – užtikrins </w:t>
      </w:r>
      <w:r w:rsidR="00E32460" w:rsidRPr="00644525">
        <w:rPr>
          <w:sz w:val="22"/>
          <w:szCs w:val="24"/>
        </w:rPr>
        <w:t>DNSB</w:t>
      </w:r>
      <w:r w:rsidR="0049366D" w:rsidRPr="00644525">
        <w:rPr>
          <w:sz w:val="22"/>
          <w:szCs w:val="24"/>
        </w:rPr>
        <w:t xml:space="preserve"> (Debreceno g.</w:t>
      </w:r>
      <w:r w:rsidR="0049366D">
        <w:rPr>
          <w:sz w:val="22"/>
          <w:szCs w:val="24"/>
        </w:rPr>
        <w:t xml:space="preserve"> </w:t>
      </w:r>
      <w:r w:rsidR="0049366D">
        <w:rPr>
          <w:sz w:val="22"/>
          <w:szCs w:val="24"/>
        </w:rPr>
        <w:lastRenderedPageBreak/>
        <w:t xml:space="preserve">27), rugpjūčio mėnesį – įmonė, kuriai priklauso bendrabutis (Debreceno </w:t>
      </w:r>
      <w:r w:rsidR="00BF1A74">
        <w:rPr>
          <w:sz w:val="22"/>
          <w:szCs w:val="24"/>
        </w:rPr>
        <w:t>g. 25), rugsėjo-gruodžio mėnes</w:t>
      </w:r>
      <w:r w:rsidR="0049366D">
        <w:rPr>
          <w:sz w:val="22"/>
          <w:szCs w:val="24"/>
        </w:rPr>
        <w:t>iais – administratorius (Debreceno g. 17, 19, 21, 23) ir t. t.</w:t>
      </w:r>
    </w:p>
    <w:p w14:paraId="48C1C595" w14:textId="5999D982" w:rsidR="00043F0A" w:rsidRDefault="00043F0A" w:rsidP="00B436D1">
      <w:pPr>
        <w:pStyle w:val="Pagrindinistekstas"/>
        <w:ind w:firstLine="690"/>
        <w:rPr>
          <w:sz w:val="22"/>
          <w:szCs w:val="24"/>
        </w:rPr>
      </w:pPr>
      <w:r>
        <w:rPr>
          <w:sz w:val="22"/>
          <w:szCs w:val="24"/>
        </w:rPr>
        <w:t xml:space="preserve">Visų subjektų pasirašytas toks susitarimas per 2 darbo dienas nuo jo pasirašymo pateikiamas Savivaldybės administracijai ir tuomet </w:t>
      </w:r>
      <w:r w:rsidRPr="00BB64D7">
        <w:rPr>
          <w:sz w:val="22"/>
          <w:szCs w:val="24"/>
        </w:rPr>
        <w:t>tvarką ir švarią aplinką aplink pusiau požeminių konteinerių aikštelę, esančią prie Debreceno g. 17</w:t>
      </w:r>
      <w:r>
        <w:rPr>
          <w:sz w:val="22"/>
          <w:szCs w:val="24"/>
        </w:rPr>
        <w:t>, subjektai užtikrina susitarime numatytu eiliškumu.</w:t>
      </w:r>
    </w:p>
    <w:p w14:paraId="133FF904" w14:textId="486CE867" w:rsidR="00636753" w:rsidRPr="00EF20B5" w:rsidRDefault="00636753" w:rsidP="00314ABB">
      <w:pPr>
        <w:pStyle w:val="Pagrindinistekstas"/>
        <w:ind w:firstLine="690"/>
        <w:rPr>
          <w:i w:val="0"/>
          <w:szCs w:val="24"/>
        </w:rPr>
      </w:pPr>
    </w:p>
    <w:p w14:paraId="372B0544" w14:textId="67C50E05" w:rsidR="00635439" w:rsidRPr="00EF20B5" w:rsidRDefault="00A73BD5" w:rsidP="00A73BD5">
      <w:pPr>
        <w:pStyle w:val="Pagrindinistekstas"/>
        <w:ind w:firstLine="690"/>
        <w:rPr>
          <w:i w:val="0"/>
          <w:szCs w:val="24"/>
        </w:rPr>
      </w:pPr>
      <w:r w:rsidRPr="00EF20B5">
        <w:rPr>
          <w:i w:val="0"/>
          <w:szCs w:val="24"/>
        </w:rPr>
        <w:t xml:space="preserve">Priėmus šį sprendimą bus nustatyta tvarka kaip bus užtikrinama tvarka ir švara prie priskirtų kolektyvinių konteinerių, taip pat sudaroma galimybė priskirtiems subjektams susitarti dėl jiems priimtinesnės (patogesnės) tvarkos, </w:t>
      </w:r>
      <w:r w:rsidR="00635439" w:rsidRPr="00EF20B5">
        <w:rPr>
          <w:i w:val="0"/>
          <w:szCs w:val="24"/>
        </w:rPr>
        <w:t>kaip užtikrinti tvarką ir švarą prie priskirtų kolektyvinių konteinerių.</w:t>
      </w:r>
    </w:p>
    <w:p w14:paraId="4F40E07A" w14:textId="77777777" w:rsidR="00635439" w:rsidRDefault="00635439" w:rsidP="00314ABB">
      <w:pPr>
        <w:pStyle w:val="Pagrindinistekstas"/>
        <w:ind w:firstLine="690"/>
        <w:rPr>
          <w:b/>
          <w:i w:val="0"/>
          <w:szCs w:val="24"/>
        </w:rPr>
      </w:pPr>
    </w:p>
    <w:p w14:paraId="25DB02D3" w14:textId="77777777" w:rsidR="00CF19D0" w:rsidRPr="009747C4" w:rsidRDefault="00CF19D0" w:rsidP="00684BA2">
      <w:pPr>
        <w:jc w:val="both"/>
        <w:rPr>
          <w:b/>
        </w:rPr>
      </w:pPr>
      <w:r w:rsidRPr="009747C4">
        <w:rPr>
          <w:b/>
        </w:rPr>
        <w:t>3. Kokių rezultatų laukiama.</w:t>
      </w:r>
    </w:p>
    <w:p w14:paraId="25DB02D4" w14:textId="15F3BF80" w:rsidR="00CF19D0" w:rsidRPr="00635439" w:rsidRDefault="00CD0DB2" w:rsidP="00FD7615">
      <w:pPr>
        <w:pStyle w:val="Pagrindinistekstas"/>
        <w:ind w:firstLine="720"/>
        <w:rPr>
          <w:bCs/>
          <w:i w:val="0"/>
          <w:szCs w:val="24"/>
        </w:rPr>
      </w:pPr>
      <w:r w:rsidRPr="00A330F6">
        <w:rPr>
          <w:i w:val="0"/>
        </w:rPr>
        <w:t xml:space="preserve">Pakeitus Taisykles </w:t>
      </w:r>
      <w:r w:rsidR="005C3A49" w:rsidRPr="00A330F6">
        <w:rPr>
          <w:bCs/>
          <w:i w:val="0"/>
          <w:szCs w:val="24"/>
        </w:rPr>
        <w:t xml:space="preserve">bus </w:t>
      </w:r>
      <w:r w:rsidR="00635439" w:rsidRPr="00A330F6">
        <w:rPr>
          <w:i w:val="0"/>
          <w:szCs w:val="24"/>
        </w:rPr>
        <w:t>nustatyta aiški konteinerių stovėjimo vietos tvarkos ir švarios aplinkos palaikymo tvarka, pašalinti atsiradę trūkumai</w:t>
      </w:r>
      <w:r w:rsidR="00CF19D0" w:rsidRPr="00A330F6">
        <w:rPr>
          <w:bCs/>
          <w:i w:val="0"/>
          <w:szCs w:val="24"/>
        </w:rPr>
        <w:t>.</w:t>
      </w:r>
      <w:r w:rsidR="00CF19D0" w:rsidRPr="00635439">
        <w:rPr>
          <w:bCs/>
          <w:i w:val="0"/>
          <w:szCs w:val="24"/>
        </w:rPr>
        <w:t xml:space="preserve"> </w:t>
      </w:r>
    </w:p>
    <w:p w14:paraId="25DB02D5" w14:textId="77777777" w:rsidR="00CF19D0" w:rsidRDefault="00CF19D0" w:rsidP="00684BA2">
      <w:pPr>
        <w:jc w:val="both"/>
        <w:rPr>
          <w:b/>
        </w:rPr>
      </w:pPr>
      <w:r>
        <w:rPr>
          <w:b/>
        </w:rPr>
        <w:t>4. Sprendimo projekto rengimo metu gauti specialistų vertinimai.</w:t>
      </w:r>
    </w:p>
    <w:p w14:paraId="25DB02D6" w14:textId="204FBB5E" w:rsidR="00CF19D0" w:rsidRDefault="00A330F6" w:rsidP="00FA1BAB">
      <w:pPr>
        <w:jc w:val="both"/>
        <w:rPr>
          <w:bCs/>
          <w:szCs w:val="24"/>
        </w:rPr>
      </w:pPr>
      <w:r>
        <w:rPr>
          <w:bCs/>
          <w:szCs w:val="24"/>
        </w:rPr>
        <w:t>Negauta</w:t>
      </w:r>
      <w:r w:rsidR="00522D69" w:rsidRPr="000B0F43">
        <w:rPr>
          <w:bCs/>
          <w:szCs w:val="24"/>
        </w:rPr>
        <w:t>.</w:t>
      </w:r>
      <w:r w:rsidR="00CF19D0">
        <w:rPr>
          <w:bCs/>
          <w:szCs w:val="24"/>
        </w:rPr>
        <w:t xml:space="preserve"> </w:t>
      </w:r>
    </w:p>
    <w:p w14:paraId="25DB02E1" w14:textId="0CB04CC4" w:rsidR="000F7B5F" w:rsidRDefault="00CF19D0" w:rsidP="00214FE6">
      <w:pPr>
        <w:jc w:val="both"/>
        <w:rPr>
          <w:b/>
        </w:rPr>
      </w:pPr>
      <w:r>
        <w:rPr>
          <w:b/>
        </w:rPr>
        <w:t>5. Išlaidų sąmatos, skaičiavimai, reikalingi pagrindimai ir paaiškinimai.</w:t>
      </w:r>
    </w:p>
    <w:p w14:paraId="627DBB7D" w14:textId="0F9FB589" w:rsidR="00214FE6" w:rsidRPr="00214FE6" w:rsidRDefault="00214FE6" w:rsidP="00214FE6">
      <w:pPr>
        <w:jc w:val="both"/>
      </w:pPr>
      <w:r>
        <w:t>Nėra.</w:t>
      </w:r>
    </w:p>
    <w:p w14:paraId="25DB02E2" w14:textId="77777777" w:rsidR="00CF19D0" w:rsidRDefault="00CF19D0" w:rsidP="00684BA2">
      <w:pPr>
        <w:jc w:val="both"/>
        <w:rPr>
          <w:b/>
        </w:rPr>
      </w:pPr>
      <w:r>
        <w:rPr>
          <w:b/>
        </w:rPr>
        <w:t>6. Lėšų poreikis sprendimo įgyvendinimui.</w:t>
      </w:r>
    </w:p>
    <w:p w14:paraId="25DB02E3" w14:textId="77777777" w:rsidR="00CF19D0" w:rsidRPr="00CD08B1" w:rsidRDefault="00CF19D0" w:rsidP="005E4201">
      <w:pPr>
        <w:tabs>
          <w:tab w:val="num" w:pos="-78"/>
          <w:tab w:val="left" w:pos="1092"/>
        </w:tabs>
        <w:jc w:val="both"/>
        <w:rPr>
          <w:b/>
          <w:szCs w:val="24"/>
        </w:rPr>
      </w:pPr>
      <w:r w:rsidRPr="00CD08B1">
        <w:rPr>
          <w:szCs w:val="24"/>
        </w:rPr>
        <w:t>Papildomas lėšų poreikis sprendimo projektui įgyvendinti nereikalingas.</w:t>
      </w:r>
    </w:p>
    <w:p w14:paraId="25DB02E4" w14:textId="77777777" w:rsidR="00CF19D0" w:rsidRDefault="00CF19D0" w:rsidP="00684BA2">
      <w:pPr>
        <w:jc w:val="both"/>
        <w:rPr>
          <w:b/>
        </w:rPr>
      </w:pPr>
      <w:r>
        <w:rPr>
          <w:b/>
        </w:rPr>
        <w:t>7. Galimos teigiamos ir neigiamos sprendimo priėmimo pasekmės.</w:t>
      </w:r>
    </w:p>
    <w:p w14:paraId="25DB02E5" w14:textId="7809B414" w:rsidR="00CF19D0" w:rsidRPr="00CD0DB2" w:rsidRDefault="00CD0DB2" w:rsidP="00CD0DB2">
      <w:pPr>
        <w:jc w:val="both"/>
        <w:rPr>
          <w:bCs/>
          <w:szCs w:val="24"/>
        </w:rPr>
      </w:pPr>
      <w:r>
        <w:rPr>
          <w:bCs/>
          <w:szCs w:val="24"/>
        </w:rPr>
        <w:t>Teigiamos pasekmės: efektyviau u</w:t>
      </w:r>
      <w:r w:rsidRPr="00CD0DB2">
        <w:rPr>
          <w:bCs/>
          <w:szCs w:val="24"/>
        </w:rPr>
        <w:t xml:space="preserve">žtikrinama </w:t>
      </w:r>
      <w:r>
        <w:rPr>
          <w:bCs/>
          <w:szCs w:val="24"/>
        </w:rPr>
        <w:t xml:space="preserve">konteinerių aikštelių </w:t>
      </w:r>
      <w:r w:rsidRPr="00CD0DB2">
        <w:rPr>
          <w:bCs/>
          <w:szCs w:val="24"/>
        </w:rPr>
        <w:t>aplinkos tvarkymo kontrolė. Pagerinta aplinkos kokybė.</w:t>
      </w:r>
    </w:p>
    <w:p w14:paraId="25DB02E6" w14:textId="77777777" w:rsidR="00CF19D0" w:rsidRPr="00F1212B" w:rsidRDefault="00CF19D0" w:rsidP="00FA1BAB">
      <w:pPr>
        <w:jc w:val="both"/>
        <w:rPr>
          <w:szCs w:val="24"/>
        </w:rPr>
      </w:pPr>
      <w:r w:rsidRPr="009A05B0">
        <w:rPr>
          <w:szCs w:val="24"/>
        </w:rPr>
        <w:t>Neigiam</w:t>
      </w:r>
      <w:r w:rsidR="00954B1B" w:rsidRPr="009A05B0">
        <w:rPr>
          <w:szCs w:val="24"/>
        </w:rPr>
        <w:t>ų</w:t>
      </w:r>
      <w:r w:rsidRPr="009A05B0">
        <w:rPr>
          <w:szCs w:val="24"/>
        </w:rPr>
        <w:t xml:space="preserve"> pasekm</w:t>
      </w:r>
      <w:r w:rsidR="00522D69" w:rsidRPr="009A05B0">
        <w:rPr>
          <w:szCs w:val="24"/>
        </w:rPr>
        <w:t>ių nenumatoma.</w:t>
      </w:r>
      <w:r w:rsidR="00522D69">
        <w:rPr>
          <w:szCs w:val="24"/>
        </w:rPr>
        <w:t xml:space="preserve"> </w:t>
      </w:r>
    </w:p>
    <w:p w14:paraId="25DB02E7" w14:textId="77777777" w:rsidR="00CF19D0" w:rsidRDefault="00CF19D0" w:rsidP="00684BA2">
      <w:pPr>
        <w:jc w:val="both"/>
      </w:pPr>
    </w:p>
    <w:p w14:paraId="25DB02E8" w14:textId="77777777" w:rsidR="00CF19D0" w:rsidRDefault="00CF19D0" w:rsidP="00684BA2">
      <w:pPr>
        <w:jc w:val="both"/>
      </w:pPr>
    </w:p>
    <w:p w14:paraId="25DB02E9" w14:textId="78D43A96" w:rsidR="00CF19D0" w:rsidRDefault="00FD74E2" w:rsidP="00522D69">
      <w:pPr>
        <w:tabs>
          <w:tab w:val="left" w:pos="8222"/>
        </w:tabs>
        <w:ind w:firstLine="0"/>
        <w:jc w:val="both"/>
      </w:pPr>
      <w:r>
        <w:t xml:space="preserve">Aplinkos kokybės skyriaus </w:t>
      </w:r>
      <w:r w:rsidR="00CF19D0">
        <w:t>vedėja</w:t>
      </w:r>
      <w:r w:rsidR="00522D69">
        <w:t xml:space="preserve">                 </w:t>
      </w:r>
      <w:r>
        <w:t xml:space="preserve">         </w:t>
      </w:r>
      <w:r w:rsidR="00522D69">
        <w:t xml:space="preserve">                                                      </w:t>
      </w:r>
      <w:r>
        <w:t>Rasa Jievaitienė</w:t>
      </w:r>
    </w:p>
    <w:p w14:paraId="25DB02EA" w14:textId="77777777" w:rsidR="00CF19D0" w:rsidRPr="00684BA2" w:rsidRDefault="00CF19D0" w:rsidP="00684BA2">
      <w:pPr>
        <w:rPr>
          <w:szCs w:val="24"/>
        </w:rPr>
      </w:pPr>
    </w:p>
    <w:sectPr w:rsidR="00CF19D0" w:rsidRPr="00684BA2" w:rsidSect="00C13A4E">
      <w:headerReference w:type="even" r:id="rId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2AC16" w14:textId="77777777" w:rsidR="00C23475" w:rsidRDefault="00C23475">
      <w:r>
        <w:separator/>
      </w:r>
    </w:p>
  </w:endnote>
  <w:endnote w:type="continuationSeparator" w:id="0">
    <w:p w14:paraId="26049630" w14:textId="77777777" w:rsidR="00C23475" w:rsidRDefault="00C2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C2632" w14:textId="77777777" w:rsidR="00C23475" w:rsidRDefault="00C23475">
      <w:r>
        <w:separator/>
      </w:r>
    </w:p>
  </w:footnote>
  <w:footnote w:type="continuationSeparator" w:id="0">
    <w:p w14:paraId="02F05D4A" w14:textId="77777777" w:rsidR="00C23475" w:rsidRDefault="00C23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B02EF" w14:textId="77777777" w:rsidR="00CF19D0" w:rsidRDefault="00CF19D0" w:rsidP="009B17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DB02F0" w14:textId="77777777" w:rsidR="00CF19D0" w:rsidRDefault="00CF19D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B02F1" w14:textId="33006DA5" w:rsidR="00CF19D0" w:rsidRDefault="00CF19D0" w:rsidP="009B17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113E">
      <w:rPr>
        <w:rStyle w:val="Puslapionumeris"/>
        <w:noProof/>
      </w:rPr>
      <w:t>3</w:t>
    </w:r>
    <w:r>
      <w:rPr>
        <w:rStyle w:val="Puslapionumeris"/>
      </w:rPr>
      <w:fldChar w:fldCharType="end"/>
    </w:r>
  </w:p>
  <w:p w14:paraId="25DB02F2" w14:textId="77777777" w:rsidR="00CF19D0" w:rsidRDefault="00CF19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13F4C"/>
    <w:multiLevelType w:val="hybridMultilevel"/>
    <w:tmpl w:val="B7864678"/>
    <w:lvl w:ilvl="0" w:tplc="4AC016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tentative="1">
      <w:start w:val="1"/>
      <w:numFmt w:val="bullet"/>
      <w:lvlText w:val="o"/>
      <w:lvlJc w:val="left"/>
      <w:pPr>
        <w:ind w:left="1770" w:hanging="360"/>
      </w:pPr>
      <w:rPr>
        <w:rFonts w:ascii="Courier New" w:hAnsi="Courier New" w:cs="Courier New" w:hint="default"/>
      </w:rPr>
    </w:lvl>
    <w:lvl w:ilvl="2" w:tplc="04270005" w:tentative="1">
      <w:start w:val="1"/>
      <w:numFmt w:val="bullet"/>
      <w:lvlText w:val=""/>
      <w:lvlJc w:val="left"/>
      <w:pPr>
        <w:ind w:left="2490" w:hanging="360"/>
      </w:pPr>
      <w:rPr>
        <w:rFonts w:ascii="Wingdings" w:hAnsi="Wingdings" w:hint="default"/>
      </w:rPr>
    </w:lvl>
    <w:lvl w:ilvl="3" w:tplc="04270001" w:tentative="1">
      <w:start w:val="1"/>
      <w:numFmt w:val="bullet"/>
      <w:lvlText w:val=""/>
      <w:lvlJc w:val="left"/>
      <w:pPr>
        <w:ind w:left="3210" w:hanging="360"/>
      </w:pPr>
      <w:rPr>
        <w:rFonts w:ascii="Symbol" w:hAnsi="Symbol" w:hint="default"/>
      </w:rPr>
    </w:lvl>
    <w:lvl w:ilvl="4" w:tplc="04270003" w:tentative="1">
      <w:start w:val="1"/>
      <w:numFmt w:val="bullet"/>
      <w:lvlText w:val="o"/>
      <w:lvlJc w:val="left"/>
      <w:pPr>
        <w:ind w:left="3930" w:hanging="360"/>
      </w:pPr>
      <w:rPr>
        <w:rFonts w:ascii="Courier New" w:hAnsi="Courier New" w:cs="Courier New" w:hint="default"/>
      </w:rPr>
    </w:lvl>
    <w:lvl w:ilvl="5" w:tplc="04270005" w:tentative="1">
      <w:start w:val="1"/>
      <w:numFmt w:val="bullet"/>
      <w:lvlText w:val=""/>
      <w:lvlJc w:val="left"/>
      <w:pPr>
        <w:ind w:left="4650" w:hanging="360"/>
      </w:pPr>
      <w:rPr>
        <w:rFonts w:ascii="Wingdings" w:hAnsi="Wingdings" w:hint="default"/>
      </w:rPr>
    </w:lvl>
    <w:lvl w:ilvl="6" w:tplc="04270001" w:tentative="1">
      <w:start w:val="1"/>
      <w:numFmt w:val="bullet"/>
      <w:lvlText w:val=""/>
      <w:lvlJc w:val="left"/>
      <w:pPr>
        <w:ind w:left="5370" w:hanging="360"/>
      </w:pPr>
      <w:rPr>
        <w:rFonts w:ascii="Symbol" w:hAnsi="Symbol" w:hint="default"/>
      </w:rPr>
    </w:lvl>
    <w:lvl w:ilvl="7" w:tplc="04270003" w:tentative="1">
      <w:start w:val="1"/>
      <w:numFmt w:val="bullet"/>
      <w:lvlText w:val="o"/>
      <w:lvlJc w:val="left"/>
      <w:pPr>
        <w:ind w:left="6090" w:hanging="360"/>
      </w:pPr>
      <w:rPr>
        <w:rFonts w:ascii="Courier New" w:hAnsi="Courier New" w:cs="Courier New" w:hint="default"/>
      </w:rPr>
    </w:lvl>
    <w:lvl w:ilvl="8" w:tplc="04270005" w:tentative="1">
      <w:start w:val="1"/>
      <w:numFmt w:val="bullet"/>
      <w:lvlText w:val=""/>
      <w:lvlJc w:val="left"/>
      <w:pPr>
        <w:ind w:left="6810" w:hanging="360"/>
      </w:pPr>
      <w:rPr>
        <w:rFonts w:ascii="Wingdings" w:hAnsi="Wingdings" w:hint="default"/>
      </w:rPr>
    </w:lvl>
  </w:abstractNum>
  <w:abstractNum w:abstractNumId="2" w15:restartNumberingAfterBreak="0">
    <w:nsid w:val="5DF00A3B"/>
    <w:multiLevelType w:val="hybridMultilevel"/>
    <w:tmpl w:val="401CCB6A"/>
    <w:lvl w:ilvl="0" w:tplc="FAA40C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F9122A9"/>
    <w:multiLevelType w:val="multilevel"/>
    <w:tmpl w:val="0C06A8C4"/>
    <w:lvl w:ilvl="0">
      <w:start w:val="1"/>
      <w:numFmt w:val="decimal"/>
      <w:lvlText w:val="%1."/>
      <w:lvlJc w:val="left"/>
      <w:pPr>
        <w:ind w:left="1080" w:hanging="360"/>
      </w:pPr>
      <w:rPr>
        <w:rFonts w:cs="Times New Roman" w:hint="default"/>
        <w:b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F5"/>
    <w:rsid w:val="0000165B"/>
    <w:rsid w:val="00012C45"/>
    <w:rsid w:val="00015453"/>
    <w:rsid w:val="000218FA"/>
    <w:rsid w:val="000274A8"/>
    <w:rsid w:val="0003298E"/>
    <w:rsid w:val="00033CDF"/>
    <w:rsid w:val="000342E8"/>
    <w:rsid w:val="00043F0A"/>
    <w:rsid w:val="0005123B"/>
    <w:rsid w:val="00052CC5"/>
    <w:rsid w:val="000907B7"/>
    <w:rsid w:val="000A76CB"/>
    <w:rsid w:val="000B0F43"/>
    <w:rsid w:val="000C1685"/>
    <w:rsid w:val="000C2486"/>
    <w:rsid w:val="000C3FE8"/>
    <w:rsid w:val="000C4C48"/>
    <w:rsid w:val="000C6149"/>
    <w:rsid w:val="000D7546"/>
    <w:rsid w:val="000E036C"/>
    <w:rsid w:val="000E06DC"/>
    <w:rsid w:val="000E2D02"/>
    <w:rsid w:val="000F22CE"/>
    <w:rsid w:val="000F7B5F"/>
    <w:rsid w:val="00100072"/>
    <w:rsid w:val="00102344"/>
    <w:rsid w:val="00110DCA"/>
    <w:rsid w:val="00113849"/>
    <w:rsid w:val="00124016"/>
    <w:rsid w:val="001242A7"/>
    <w:rsid w:val="00131790"/>
    <w:rsid w:val="00134987"/>
    <w:rsid w:val="0013690C"/>
    <w:rsid w:val="00141544"/>
    <w:rsid w:val="00143352"/>
    <w:rsid w:val="00146907"/>
    <w:rsid w:val="001469FE"/>
    <w:rsid w:val="001535F9"/>
    <w:rsid w:val="00154B88"/>
    <w:rsid w:val="001604AE"/>
    <w:rsid w:val="0016587D"/>
    <w:rsid w:val="00185DD3"/>
    <w:rsid w:val="00197961"/>
    <w:rsid w:val="001A083B"/>
    <w:rsid w:val="001A22A1"/>
    <w:rsid w:val="001B1250"/>
    <w:rsid w:val="001B363B"/>
    <w:rsid w:val="001B42D4"/>
    <w:rsid w:val="001B63D9"/>
    <w:rsid w:val="001C3C87"/>
    <w:rsid w:val="001C6B3C"/>
    <w:rsid w:val="001D181A"/>
    <w:rsid w:val="001D5688"/>
    <w:rsid w:val="001D5AA2"/>
    <w:rsid w:val="001E54CE"/>
    <w:rsid w:val="00214FE6"/>
    <w:rsid w:val="002177B7"/>
    <w:rsid w:val="002272F2"/>
    <w:rsid w:val="00227A30"/>
    <w:rsid w:val="002354F1"/>
    <w:rsid w:val="00235B09"/>
    <w:rsid w:val="00253F3B"/>
    <w:rsid w:val="002554A4"/>
    <w:rsid w:val="00256B24"/>
    <w:rsid w:val="0025710E"/>
    <w:rsid w:val="002701D7"/>
    <w:rsid w:val="002714ED"/>
    <w:rsid w:val="00276A26"/>
    <w:rsid w:val="00281438"/>
    <w:rsid w:val="00286627"/>
    <w:rsid w:val="002906A0"/>
    <w:rsid w:val="002A174C"/>
    <w:rsid w:val="002A5350"/>
    <w:rsid w:val="002A72F2"/>
    <w:rsid w:val="002A7495"/>
    <w:rsid w:val="002B0DEE"/>
    <w:rsid w:val="002B12FA"/>
    <w:rsid w:val="002B2313"/>
    <w:rsid w:val="002B7818"/>
    <w:rsid w:val="002C483C"/>
    <w:rsid w:val="002C5D15"/>
    <w:rsid w:val="002D4420"/>
    <w:rsid w:val="002E0173"/>
    <w:rsid w:val="002E3052"/>
    <w:rsid w:val="002E58A7"/>
    <w:rsid w:val="002F5BEA"/>
    <w:rsid w:val="002F5CDA"/>
    <w:rsid w:val="00311B2C"/>
    <w:rsid w:val="00313690"/>
    <w:rsid w:val="00314ABB"/>
    <w:rsid w:val="0033313C"/>
    <w:rsid w:val="003440E9"/>
    <w:rsid w:val="00344649"/>
    <w:rsid w:val="00354663"/>
    <w:rsid w:val="00354A67"/>
    <w:rsid w:val="00354DCD"/>
    <w:rsid w:val="00365E57"/>
    <w:rsid w:val="00370935"/>
    <w:rsid w:val="00374E04"/>
    <w:rsid w:val="00380703"/>
    <w:rsid w:val="00387345"/>
    <w:rsid w:val="00395574"/>
    <w:rsid w:val="003A0B55"/>
    <w:rsid w:val="003A202B"/>
    <w:rsid w:val="003A613F"/>
    <w:rsid w:val="003C0DD5"/>
    <w:rsid w:val="003C4EF8"/>
    <w:rsid w:val="003D65E3"/>
    <w:rsid w:val="003E66A2"/>
    <w:rsid w:val="003F683B"/>
    <w:rsid w:val="004006AA"/>
    <w:rsid w:val="004006AF"/>
    <w:rsid w:val="00410EA6"/>
    <w:rsid w:val="00412482"/>
    <w:rsid w:val="004206B5"/>
    <w:rsid w:val="00426CE1"/>
    <w:rsid w:val="00465200"/>
    <w:rsid w:val="004755F1"/>
    <w:rsid w:val="004764B2"/>
    <w:rsid w:val="0048426C"/>
    <w:rsid w:val="0049366D"/>
    <w:rsid w:val="00493FCE"/>
    <w:rsid w:val="004A0B10"/>
    <w:rsid w:val="004A46B9"/>
    <w:rsid w:val="004A7524"/>
    <w:rsid w:val="004B7BFD"/>
    <w:rsid w:val="004C4C02"/>
    <w:rsid w:val="004F5FFC"/>
    <w:rsid w:val="00501F26"/>
    <w:rsid w:val="00507270"/>
    <w:rsid w:val="00522D69"/>
    <w:rsid w:val="00531124"/>
    <w:rsid w:val="00536995"/>
    <w:rsid w:val="00540C6C"/>
    <w:rsid w:val="00543BDE"/>
    <w:rsid w:val="00546067"/>
    <w:rsid w:val="00550C7C"/>
    <w:rsid w:val="00552331"/>
    <w:rsid w:val="005821F8"/>
    <w:rsid w:val="00595B99"/>
    <w:rsid w:val="005A4973"/>
    <w:rsid w:val="005A54A3"/>
    <w:rsid w:val="005C3A49"/>
    <w:rsid w:val="005C7B40"/>
    <w:rsid w:val="005D0F7D"/>
    <w:rsid w:val="005D64FC"/>
    <w:rsid w:val="005E3F8A"/>
    <w:rsid w:val="005E4201"/>
    <w:rsid w:val="005E5134"/>
    <w:rsid w:val="005E66B8"/>
    <w:rsid w:val="006268DD"/>
    <w:rsid w:val="006349D8"/>
    <w:rsid w:val="00635439"/>
    <w:rsid w:val="00636753"/>
    <w:rsid w:val="00641B3C"/>
    <w:rsid w:val="0064385E"/>
    <w:rsid w:val="00644525"/>
    <w:rsid w:val="006457F5"/>
    <w:rsid w:val="006470D4"/>
    <w:rsid w:val="00651777"/>
    <w:rsid w:val="0065754A"/>
    <w:rsid w:val="00664066"/>
    <w:rsid w:val="0066522A"/>
    <w:rsid w:val="00671179"/>
    <w:rsid w:val="00671BE0"/>
    <w:rsid w:val="0067367D"/>
    <w:rsid w:val="00680BDD"/>
    <w:rsid w:val="006818AE"/>
    <w:rsid w:val="00684BA2"/>
    <w:rsid w:val="0068529E"/>
    <w:rsid w:val="0069773F"/>
    <w:rsid w:val="006A2434"/>
    <w:rsid w:val="006B0C27"/>
    <w:rsid w:val="006B19F7"/>
    <w:rsid w:val="006B538A"/>
    <w:rsid w:val="006C66F0"/>
    <w:rsid w:val="006F09AB"/>
    <w:rsid w:val="006F2354"/>
    <w:rsid w:val="00701E63"/>
    <w:rsid w:val="00705411"/>
    <w:rsid w:val="00707F3A"/>
    <w:rsid w:val="0071033E"/>
    <w:rsid w:val="00737266"/>
    <w:rsid w:val="00740E1E"/>
    <w:rsid w:val="0074109B"/>
    <w:rsid w:val="00743A5D"/>
    <w:rsid w:val="00745F06"/>
    <w:rsid w:val="007524DA"/>
    <w:rsid w:val="00752C03"/>
    <w:rsid w:val="00764F37"/>
    <w:rsid w:val="00772C2D"/>
    <w:rsid w:val="00773350"/>
    <w:rsid w:val="007747C0"/>
    <w:rsid w:val="00786E20"/>
    <w:rsid w:val="00791DB6"/>
    <w:rsid w:val="00796D23"/>
    <w:rsid w:val="007A0036"/>
    <w:rsid w:val="007A0478"/>
    <w:rsid w:val="007A1A39"/>
    <w:rsid w:val="007B586E"/>
    <w:rsid w:val="007D23AF"/>
    <w:rsid w:val="007D3A32"/>
    <w:rsid w:val="007F7B3C"/>
    <w:rsid w:val="00800491"/>
    <w:rsid w:val="008174C8"/>
    <w:rsid w:val="00836D2C"/>
    <w:rsid w:val="00846092"/>
    <w:rsid w:val="00861DBF"/>
    <w:rsid w:val="00865A66"/>
    <w:rsid w:val="0087035E"/>
    <w:rsid w:val="00876B14"/>
    <w:rsid w:val="00881AF8"/>
    <w:rsid w:val="008821D2"/>
    <w:rsid w:val="00885217"/>
    <w:rsid w:val="008A7464"/>
    <w:rsid w:val="008C70DA"/>
    <w:rsid w:val="008E13C5"/>
    <w:rsid w:val="008F15AD"/>
    <w:rsid w:val="00904140"/>
    <w:rsid w:val="0093113E"/>
    <w:rsid w:val="0093506A"/>
    <w:rsid w:val="00936863"/>
    <w:rsid w:val="00946611"/>
    <w:rsid w:val="009540DF"/>
    <w:rsid w:val="0095475D"/>
    <w:rsid w:val="00954B1B"/>
    <w:rsid w:val="00963496"/>
    <w:rsid w:val="00965BFC"/>
    <w:rsid w:val="009747C4"/>
    <w:rsid w:val="0097601E"/>
    <w:rsid w:val="00982E17"/>
    <w:rsid w:val="009835E9"/>
    <w:rsid w:val="00985290"/>
    <w:rsid w:val="0098628C"/>
    <w:rsid w:val="009A05B0"/>
    <w:rsid w:val="009A2E83"/>
    <w:rsid w:val="009B004C"/>
    <w:rsid w:val="009B17DC"/>
    <w:rsid w:val="009B5092"/>
    <w:rsid w:val="009B5A15"/>
    <w:rsid w:val="009C0271"/>
    <w:rsid w:val="009D1720"/>
    <w:rsid w:val="009D5705"/>
    <w:rsid w:val="009F0EDD"/>
    <w:rsid w:val="00A022F1"/>
    <w:rsid w:val="00A100CE"/>
    <w:rsid w:val="00A20B82"/>
    <w:rsid w:val="00A330F6"/>
    <w:rsid w:val="00A40E87"/>
    <w:rsid w:val="00A42035"/>
    <w:rsid w:val="00A45157"/>
    <w:rsid w:val="00A52E78"/>
    <w:rsid w:val="00A56709"/>
    <w:rsid w:val="00A612CA"/>
    <w:rsid w:val="00A61361"/>
    <w:rsid w:val="00A73BD5"/>
    <w:rsid w:val="00A80D83"/>
    <w:rsid w:val="00A85557"/>
    <w:rsid w:val="00A91FA3"/>
    <w:rsid w:val="00A922A6"/>
    <w:rsid w:val="00AA2A3A"/>
    <w:rsid w:val="00AA7274"/>
    <w:rsid w:val="00AB6B3D"/>
    <w:rsid w:val="00AC44DF"/>
    <w:rsid w:val="00AC4A2A"/>
    <w:rsid w:val="00AD309A"/>
    <w:rsid w:val="00AD4FA4"/>
    <w:rsid w:val="00AD7044"/>
    <w:rsid w:val="00AE3CC5"/>
    <w:rsid w:val="00AE3F4F"/>
    <w:rsid w:val="00AF0953"/>
    <w:rsid w:val="00AF79D3"/>
    <w:rsid w:val="00B0037C"/>
    <w:rsid w:val="00B12F82"/>
    <w:rsid w:val="00B16F1B"/>
    <w:rsid w:val="00B17BAB"/>
    <w:rsid w:val="00B3097F"/>
    <w:rsid w:val="00B31544"/>
    <w:rsid w:val="00B3397A"/>
    <w:rsid w:val="00B344AE"/>
    <w:rsid w:val="00B41896"/>
    <w:rsid w:val="00B436D1"/>
    <w:rsid w:val="00B46CD0"/>
    <w:rsid w:val="00B60CBD"/>
    <w:rsid w:val="00B735C1"/>
    <w:rsid w:val="00B743D2"/>
    <w:rsid w:val="00B80187"/>
    <w:rsid w:val="00B930D1"/>
    <w:rsid w:val="00B97554"/>
    <w:rsid w:val="00BA10BF"/>
    <w:rsid w:val="00BB619F"/>
    <w:rsid w:val="00BB64D7"/>
    <w:rsid w:val="00BB7834"/>
    <w:rsid w:val="00BC10CF"/>
    <w:rsid w:val="00BC1B71"/>
    <w:rsid w:val="00BC2570"/>
    <w:rsid w:val="00BD29DF"/>
    <w:rsid w:val="00BE357C"/>
    <w:rsid w:val="00BE5277"/>
    <w:rsid w:val="00BF1A74"/>
    <w:rsid w:val="00C032BF"/>
    <w:rsid w:val="00C04399"/>
    <w:rsid w:val="00C066B1"/>
    <w:rsid w:val="00C1354E"/>
    <w:rsid w:val="00C13A4E"/>
    <w:rsid w:val="00C17061"/>
    <w:rsid w:val="00C23475"/>
    <w:rsid w:val="00C37468"/>
    <w:rsid w:val="00C43F23"/>
    <w:rsid w:val="00C47106"/>
    <w:rsid w:val="00C56EA4"/>
    <w:rsid w:val="00C57F9D"/>
    <w:rsid w:val="00C60DE9"/>
    <w:rsid w:val="00C91E5B"/>
    <w:rsid w:val="00C96115"/>
    <w:rsid w:val="00C97402"/>
    <w:rsid w:val="00C97D30"/>
    <w:rsid w:val="00CB16E5"/>
    <w:rsid w:val="00CC0D8A"/>
    <w:rsid w:val="00CC2948"/>
    <w:rsid w:val="00CC3DEA"/>
    <w:rsid w:val="00CC5D39"/>
    <w:rsid w:val="00CD08B1"/>
    <w:rsid w:val="00CD0DB2"/>
    <w:rsid w:val="00CD1CDD"/>
    <w:rsid w:val="00CE2000"/>
    <w:rsid w:val="00CE3001"/>
    <w:rsid w:val="00CE6651"/>
    <w:rsid w:val="00CF19D0"/>
    <w:rsid w:val="00CF2743"/>
    <w:rsid w:val="00CF2BE6"/>
    <w:rsid w:val="00D02CC9"/>
    <w:rsid w:val="00D112EA"/>
    <w:rsid w:val="00D15477"/>
    <w:rsid w:val="00D24E44"/>
    <w:rsid w:val="00D314F7"/>
    <w:rsid w:val="00D32DF4"/>
    <w:rsid w:val="00D36599"/>
    <w:rsid w:val="00D36D59"/>
    <w:rsid w:val="00D37A05"/>
    <w:rsid w:val="00D43F68"/>
    <w:rsid w:val="00D60D9E"/>
    <w:rsid w:val="00D70B02"/>
    <w:rsid w:val="00D7110D"/>
    <w:rsid w:val="00D759D1"/>
    <w:rsid w:val="00D856BC"/>
    <w:rsid w:val="00D97BAD"/>
    <w:rsid w:val="00DB3DC2"/>
    <w:rsid w:val="00DB72AC"/>
    <w:rsid w:val="00DE6E92"/>
    <w:rsid w:val="00DF7E51"/>
    <w:rsid w:val="00E112AB"/>
    <w:rsid w:val="00E1391D"/>
    <w:rsid w:val="00E14E54"/>
    <w:rsid w:val="00E17715"/>
    <w:rsid w:val="00E259C7"/>
    <w:rsid w:val="00E32460"/>
    <w:rsid w:val="00E37E80"/>
    <w:rsid w:val="00E4499C"/>
    <w:rsid w:val="00E64C73"/>
    <w:rsid w:val="00E65459"/>
    <w:rsid w:val="00E66EC9"/>
    <w:rsid w:val="00E7075D"/>
    <w:rsid w:val="00E71234"/>
    <w:rsid w:val="00E71707"/>
    <w:rsid w:val="00E7476A"/>
    <w:rsid w:val="00E8620B"/>
    <w:rsid w:val="00E91405"/>
    <w:rsid w:val="00EA0351"/>
    <w:rsid w:val="00EA0E7C"/>
    <w:rsid w:val="00EA749B"/>
    <w:rsid w:val="00EC1187"/>
    <w:rsid w:val="00EC6471"/>
    <w:rsid w:val="00ED792E"/>
    <w:rsid w:val="00EE0ADD"/>
    <w:rsid w:val="00EE33CA"/>
    <w:rsid w:val="00EE3FC7"/>
    <w:rsid w:val="00EE4BAF"/>
    <w:rsid w:val="00EE56BD"/>
    <w:rsid w:val="00EF1C36"/>
    <w:rsid w:val="00EF2040"/>
    <w:rsid w:val="00EF20B5"/>
    <w:rsid w:val="00EF7171"/>
    <w:rsid w:val="00F020E7"/>
    <w:rsid w:val="00F11B25"/>
    <w:rsid w:val="00F1212B"/>
    <w:rsid w:val="00F13A30"/>
    <w:rsid w:val="00F1557B"/>
    <w:rsid w:val="00F222B9"/>
    <w:rsid w:val="00F22820"/>
    <w:rsid w:val="00F249EF"/>
    <w:rsid w:val="00F255E8"/>
    <w:rsid w:val="00F33612"/>
    <w:rsid w:val="00F41B7F"/>
    <w:rsid w:val="00F4301B"/>
    <w:rsid w:val="00F478F2"/>
    <w:rsid w:val="00F57078"/>
    <w:rsid w:val="00F80569"/>
    <w:rsid w:val="00F92CE7"/>
    <w:rsid w:val="00FA1BAB"/>
    <w:rsid w:val="00FA4507"/>
    <w:rsid w:val="00FD3C18"/>
    <w:rsid w:val="00FD74E2"/>
    <w:rsid w:val="00FD7615"/>
    <w:rsid w:val="00FE05D6"/>
    <w:rsid w:val="00FE2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B02C9"/>
  <w15:docId w15:val="{D51F69AE-FB32-49E6-AED1-DF96B4EE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36D1"/>
    <w:pPr>
      <w:ind w:firstLine="720"/>
    </w:pPr>
    <w:rPr>
      <w:sz w:val="24"/>
      <w:lang w:eastAsia="en-US"/>
    </w:rPr>
  </w:style>
  <w:style w:type="paragraph" w:styleId="Antrat1">
    <w:name w:val="heading 1"/>
    <w:basedOn w:val="prastasis"/>
    <w:next w:val="prastasis"/>
    <w:link w:val="Antrat1Diagrama"/>
    <w:uiPriority w:val="99"/>
    <w:qFormat/>
    <w:locked/>
    <w:rsid w:val="00684BA2"/>
    <w:pPr>
      <w:keepNext/>
      <w:ind w:firstLine="0"/>
      <w:jc w:val="both"/>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A0B10"/>
    <w:rPr>
      <w:rFonts w:ascii="Cambria" w:hAnsi="Cambria" w:cs="Times New Roman"/>
      <w:b/>
      <w:bCs/>
      <w:kern w:val="32"/>
      <w:sz w:val="32"/>
      <w:szCs w:val="32"/>
      <w:lang w:val="lt-LT"/>
    </w:rPr>
  </w:style>
  <w:style w:type="paragraph" w:styleId="Sraopastraipa">
    <w:name w:val="List Paragraph"/>
    <w:basedOn w:val="prastasis"/>
    <w:uiPriority w:val="99"/>
    <w:qFormat/>
    <w:rsid w:val="006457F5"/>
    <w:pPr>
      <w:ind w:left="720"/>
      <w:contextualSpacing/>
    </w:pPr>
  </w:style>
  <w:style w:type="paragraph" w:styleId="Debesliotekstas">
    <w:name w:val="Balloon Text"/>
    <w:basedOn w:val="prastasis"/>
    <w:link w:val="DebesliotekstasDiagrama"/>
    <w:uiPriority w:val="99"/>
    <w:semiHidden/>
    <w:rsid w:val="00354D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54DCD"/>
    <w:rPr>
      <w:rFonts w:ascii="Tahoma" w:hAnsi="Tahoma" w:cs="Tahoma"/>
      <w:sz w:val="16"/>
      <w:szCs w:val="16"/>
    </w:rPr>
  </w:style>
  <w:style w:type="paragraph" w:styleId="Pagrindinistekstas">
    <w:name w:val="Body Text"/>
    <w:basedOn w:val="prastasis"/>
    <w:link w:val="PagrindinistekstasDiagrama"/>
    <w:uiPriority w:val="99"/>
    <w:rsid w:val="00CC0D8A"/>
    <w:pPr>
      <w:overflowPunct w:val="0"/>
      <w:autoSpaceDE w:val="0"/>
      <w:autoSpaceDN w:val="0"/>
      <w:adjustRightInd w:val="0"/>
      <w:ind w:firstLine="0"/>
      <w:jc w:val="both"/>
      <w:textAlignment w:val="baseline"/>
    </w:pPr>
    <w:rPr>
      <w:i/>
      <w:iCs/>
      <w:szCs w:val="20"/>
    </w:rPr>
  </w:style>
  <w:style w:type="character" w:customStyle="1" w:styleId="PagrindinistekstasDiagrama">
    <w:name w:val="Pagrindinis tekstas Diagrama"/>
    <w:basedOn w:val="Numatytasispastraiposriftas"/>
    <w:link w:val="Pagrindinistekstas"/>
    <w:uiPriority w:val="99"/>
    <w:locked/>
    <w:rsid w:val="002F5CDA"/>
    <w:rPr>
      <w:rFonts w:cs="Times New Roman"/>
      <w:sz w:val="24"/>
      <w:lang w:val="lt-LT"/>
    </w:rPr>
  </w:style>
  <w:style w:type="paragraph" w:styleId="Pagrindinistekstas2">
    <w:name w:val="Body Text 2"/>
    <w:basedOn w:val="prastasis"/>
    <w:link w:val="Pagrindinistekstas2Diagrama"/>
    <w:uiPriority w:val="99"/>
    <w:rsid w:val="00CC0D8A"/>
    <w:pPr>
      <w:overflowPunct w:val="0"/>
      <w:autoSpaceDE w:val="0"/>
      <w:autoSpaceDN w:val="0"/>
      <w:adjustRightInd w:val="0"/>
      <w:ind w:firstLine="0"/>
      <w:jc w:val="both"/>
      <w:textAlignment w:val="baseline"/>
    </w:pPr>
    <w:rPr>
      <w:szCs w:val="20"/>
    </w:rPr>
  </w:style>
  <w:style w:type="character" w:customStyle="1" w:styleId="Pagrindinistekstas2Diagrama">
    <w:name w:val="Pagrindinis tekstas 2 Diagrama"/>
    <w:basedOn w:val="Numatytasispastraiposriftas"/>
    <w:link w:val="Pagrindinistekstas2"/>
    <w:uiPriority w:val="99"/>
    <w:semiHidden/>
    <w:locked/>
    <w:rsid w:val="002F5CDA"/>
    <w:rPr>
      <w:rFonts w:cs="Times New Roman"/>
      <w:sz w:val="24"/>
      <w:lang w:val="lt-LT"/>
    </w:rPr>
  </w:style>
  <w:style w:type="character" w:customStyle="1" w:styleId="datametai">
    <w:name w:val="datametai"/>
    <w:basedOn w:val="Numatytasispastraiposriftas"/>
    <w:uiPriority w:val="99"/>
    <w:rsid w:val="00CC5D39"/>
    <w:rPr>
      <w:rFonts w:cs="Times New Roman"/>
    </w:rPr>
  </w:style>
  <w:style w:type="character" w:customStyle="1" w:styleId="datamnuo">
    <w:name w:val="datamnuo"/>
    <w:basedOn w:val="Numatytasispastraiposriftas"/>
    <w:uiPriority w:val="99"/>
    <w:rsid w:val="00CC5D39"/>
    <w:rPr>
      <w:rFonts w:cs="Times New Roman"/>
    </w:rPr>
  </w:style>
  <w:style w:type="character" w:customStyle="1" w:styleId="datadiena">
    <w:name w:val="datadiena"/>
    <w:basedOn w:val="Numatytasispastraiposriftas"/>
    <w:uiPriority w:val="99"/>
    <w:rsid w:val="00CC5D39"/>
    <w:rPr>
      <w:rFonts w:cs="Times New Roman"/>
    </w:rPr>
  </w:style>
  <w:style w:type="paragraph" w:customStyle="1" w:styleId="statymopavad">
    <w:name w:val="statymopavad"/>
    <w:basedOn w:val="prastasis"/>
    <w:uiPriority w:val="99"/>
    <w:rsid w:val="00CC5D39"/>
    <w:pPr>
      <w:spacing w:before="100" w:beforeAutospacing="1" w:after="100" w:afterAutospacing="1"/>
      <w:ind w:firstLine="0"/>
    </w:pPr>
    <w:rPr>
      <w:szCs w:val="24"/>
      <w:lang w:eastAsia="lt-LT"/>
    </w:rPr>
  </w:style>
  <w:style w:type="paragraph" w:styleId="Antrats">
    <w:name w:val="header"/>
    <w:basedOn w:val="prastasis"/>
    <w:link w:val="AntratsDiagrama"/>
    <w:uiPriority w:val="99"/>
    <w:rsid w:val="00EC6471"/>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71707"/>
    <w:rPr>
      <w:rFonts w:cs="Times New Roman"/>
      <w:sz w:val="24"/>
      <w:lang w:eastAsia="en-US"/>
    </w:rPr>
  </w:style>
  <w:style w:type="character" w:styleId="Puslapionumeris">
    <w:name w:val="page number"/>
    <w:basedOn w:val="Numatytasispastraiposriftas"/>
    <w:uiPriority w:val="99"/>
    <w:rsid w:val="00EC6471"/>
    <w:rPr>
      <w:rFonts w:cs="Times New Roman"/>
    </w:rPr>
  </w:style>
  <w:style w:type="character" w:styleId="Hipersaitas">
    <w:name w:val="Hyperlink"/>
    <w:basedOn w:val="Numatytasispastraiposriftas"/>
    <w:uiPriority w:val="99"/>
    <w:semiHidden/>
    <w:unhideWhenUsed/>
    <w:rsid w:val="00540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404715">
      <w:marLeft w:val="0"/>
      <w:marRight w:val="0"/>
      <w:marTop w:val="0"/>
      <w:marBottom w:val="0"/>
      <w:divBdr>
        <w:top w:val="none" w:sz="0" w:space="0" w:color="auto"/>
        <w:left w:val="none" w:sz="0" w:space="0" w:color="auto"/>
        <w:bottom w:val="none" w:sz="0" w:space="0" w:color="auto"/>
        <w:right w:val="none" w:sz="0" w:space="0" w:color="auto"/>
      </w:divBdr>
    </w:div>
    <w:div w:id="774404716">
      <w:marLeft w:val="0"/>
      <w:marRight w:val="0"/>
      <w:marTop w:val="0"/>
      <w:marBottom w:val="0"/>
      <w:divBdr>
        <w:top w:val="none" w:sz="0" w:space="0" w:color="auto"/>
        <w:left w:val="none" w:sz="0" w:space="0" w:color="auto"/>
        <w:bottom w:val="none" w:sz="0" w:space="0" w:color="auto"/>
        <w:right w:val="none" w:sz="0" w:space="0" w:color="auto"/>
      </w:divBdr>
    </w:div>
    <w:div w:id="774404717">
      <w:marLeft w:val="0"/>
      <w:marRight w:val="0"/>
      <w:marTop w:val="0"/>
      <w:marBottom w:val="0"/>
      <w:divBdr>
        <w:top w:val="none" w:sz="0" w:space="0" w:color="auto"/>
        <w:left w:val="none" w:sz="0" w:space="0" w:color="auto"/>
        <w:bottom w:val="none" w:sz="0" w:space="0" w:color="auto"/>
        <w:right w:val="none" w:sz="0" w:space="0" w:color="auto"/>
      </w:divBdr>
    </w:div>
    <w:div w:id="774404720">
      <w:marLeft w:val="225"/>
      <w:marRight w:val="225"/>
      <w:marTop w:val="0"/>
      <w:marBottom w:val="0"/>
      <w:divBdr>
        <w:top w:val="none" w:sz="0" w:space="0" w:color="auto"/>
        <w:left w:val="none" w:sz="0" w:space="0" w:color="auto"/>
        <w:bottom w:val="none" w:sz="0" w:space="0" w:color="auto"/>
        <w:right w:val="none" w:sz="0" w:space="0" w:color="auto"/>
      </w:divBdr>
      <w:divsChild>
        <w:div w:id="774404718">
          <w:marLeft w:val="0"/>
          <w:marRight w:val="0"/>
          <w:marTop w:val="0"/>
          <w:marBottom w:val="0"/>
          <w:divBdr>
            <w:top w:val="none" w:sz="0" w:space="0" w:color="auto"/>
            <w:left w:val="none" w:sz="0" w:space="0" w:color="auto"/>
            <w:bottom w:val="none" w:sz="0" w:space="0" w:color="auto"/>
            <w:right w:val="none" w:sz="0" w:space="0" w:color="auto"/>
          </w:divBdr>
        </w:div>
      </w:divsChild>
    </w:div>
    <w:div w:id="774404721">
      <w:marLeft w:val="225"/>
      <w:marRight w:val="225"/>
      <w:marTop w:val="0"/>
      <w:marBottom w:val="0"/>
      <w:divBdr>
        <w:top w:val="none" w:sz="0" w:space="0" w:color="auto"/>
        <w:left w:val="none" w:sz="0" w:space="0" w:color="auto"/>
        <w:bottom w:val="none" w:sz="0" w:space="0" w:color="auto"/>
        <w:right w:val="none" w:sz="0" w:space="0" w:color="auto"/>
      </w:divBdr>
      <w:divsChild>
        <w:div w:id="774404719">
          <w:marLeft w:val="0"/>
          <w:marRight w:val="0"/>
          <w:marTop w:val="0"/>
          <w:marBottom w:val="0"/>
          <w:divBdr>
            <w:top w:val="none" w:sz="0" w:space="0" w:color="auto"/>
            <w:left w:val="none" w:sz="0" w:space="0" w:color="auto"/>
            <w:bottom w:val="none" w:sz="0" w:space="0" w:color="auto"/>
            <w:right w:val="none" w:sz="0" w:space="0" w:color="auto"/>
          </w:divBdr>
        </w:div>
      </w:divsChild>
    </w:div>
    <w:div w:id="774404722">
      <w:marLeft w:val="0"/>
      <w:marRight w:val="0"/>
      <w:marTop w:val="0"/>
      <w:marBottom w:val="0"/>
      <w:divBdr>
        <w:top w:val="none" w:sz="0" w:space="0" w:color="auto"/>
        <w:left w:val="none" w:sz="0" w:space="0" w:color="auto"/>
        <w:bottom w:val="none" w:sz="0" w:space="0" w:color="auto"/>
        <w:right w:val="none" w:sz="0" w:space="0" w:color="auto"/>
      </w:divBdr>
      <w:divsChild>
        <w:div w:id="774404725">
          <w:marLeft w:val="0"/>
          <w:marRight w:val="0"/>
          <w:marTop w:val="0"/>
          <w:marBottom w:val="0"/>
          <w:divBdr>
            <w:top w:val="none" w:sz="0" w:space="0" w:color="auto"/>
            <w:left w:val="none" w:sz="0" w:space="0" w:color="auto"/>
            <w:bottom w:val="none" w:sz="0" w:space="0" w:color="auto"/>
            <w:right w:val="none" w:sz="0" w:space="0" w:color="auto"/>
          </w:divBdr>
        </w:div>
      </w:divsChild>
    </w:div>
    <w:div w:id="774404724">
      <w:marLeft w:val="0"/>
      <w:marRight w:val="0"/>
      <w:marTop w:val="0"/>
      <w:marBottom w:val="0"/>
      <w:divBdr>
        <w:top w:val="none" w:sz="0" w:space="0" w:color="auto"/>
        <w:left w:val="none" w:sz="0" w:space="0" w:color="auto"/>
        <w:bottom w:val="none" w:sz="0" w:space="0" w:color="auto"/>
        <w:right w:val="none" w:sz="0" w:space="0" w:color="auto"/>
      </w:divBdr>
      <w:divsChild>
        <w:div w:id="77440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D8729-7A0E-4F30-91DB-39FC9296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8131</Characters>
  <Application>Microsoft Office Word</Application>
  <DocSecurity>4</DocSecurity>
  <Lines>67</Lines>
  <Paragraphs>18</Paragraphs>
  <ScaleCrop>false</ScaleCrop>
  <HeadingPairs>
    <vt:vector size="2" baseType="variant">
      <vt:variant>
        <vt:lpstr>Pavadinimas</vt:lpstr>
      </vt:variant>
      <vt:variant>
        <vt:i4>1</vt:i4>
      </vt:variant>
    </vt:vector>
  </HeadingPairs>
  <TitlesOfParts>
    <vt:vector size="1" baseType="lpstr">
      <vt:lpstr>PATVIRTINTA</vt:lpstr>
    </vt:vector>
  </TitlesOfParts>
  <Company>Hewlett-Packard Company</Company>
  <LinksUpToDate>false</LinksUpToDate>
  <CharactersWithSpaces>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Marius Pankevicius</dc:creator>
  <cp:lastModifiedBy>Virginija Palaimiene</cp:lastModifiedBy>
  <cp:revision>2</cp:revision>
  <cp:lastPrinted>2016-03-18T11:56:00Z</cp:lastPrinted>
  <dcterms:created xsi:type="dcterms:W3CDTF">2020-02-12T07:17:00Z</dcterms:created>
  <dcterms:modified xsi:type="dcterms:W3CDTF">2020-02-12T07:17:00Z</dcterms:modified>
</cp:coreProperties>
</file>