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r>
              <w:t>P</w:t>
            </w:r>
            <w:r w:rsidR="0019615E">
              <w:t>RITARTA</w:t>
            </w:r>
          </w:p>
        </w:tc>
      </w:tr>
      <w:bookmarkEnd w:id="0"/>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kovo 20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T1-80</w:t>
            </w:r>
            <w:bookmarkEnd w:id="2"/>
          </w:p>
        </w:tc>
      </w:tr>
    </w:tbl>
    <w:p w:rsidR="00832CC9" w:rsidRPr="00F72A1E" w:rsidRDefault="00832CC9" w:rsidP="0006079E">
      <w:pPr>
        <w:jc w:val="center"/>
      </w:pPr>
    </w:p>
    <w:p w:rsidR="00832CC9" w:rsidRPr="00F72A1E" w:rsidRDefault="00832CC9" w:rsidP="0006079E">
      <w:pPr>
        <w:jc w:val="center"/>
      </w:pPr>
    </w:p>
    <w:p w:rsidR="0006079E" w:rsidRDefault="00F468A5" w:rsidP="0006079E">
      <w:pPr>
        <w:jc w:val="center"/>
        <w:rPr>
          <w:b/>
        </w:rPr>
      </w:pPr>
      <w:r>
        <w:rPr>
          <w:b/>
        </w:rPr>
        <w:t>BĮ KLAIPĖDOS MIESTO SOCIALINĖS PARAMOS CENTRO 2019 METŲ VEIKLOS ATASKAITA</w:t>
      </w:r>
    </w:p>
    <w:p w:rsidR="00832CC9" w:rsidRPr="00F72A1E" w:rsidRDefault="00832CC9" w:rsidP="0006079E">
      <w:pPr>
        <w:jc w:val="center"/>
      </w:pPr>
    </w:p>
    <w:p w:rsidR="00F468A5" w:rsidRDefault="00F468A5" w:rsidP="00F468A5">
      <w:pPr>
        <w:ind w:left="-142" w:right="-1"/>
        <w:jc w:val="both"/>
      </w:pPr>
      <w:r>
        <w:rPr>
          <w:b/>
        </w:rPr>
        <w:t xml:space="preserve">1. Įstaigos pristatymas. 1.1. Juridinis statusas, pavadinimas, filialai arba skyriai  adresas tel. el. paštas. </w:t>
      </w:r>
      <w:r>
        <w:t xml:space="preserve">Biudžetinė įstaiga </w:t>
      </w:r>
      <w:r>
        <w:rPr>
          <w:b/>
        </w:rPr>
        <w:t xml:space="preserve">Klaipėdos miesto socialinės paramos centras </w:t>
      </w:r>
      <w:r>
        <w:t xml:space="preserve">(toliau – Centras), Taikos pr. 76, Klaipėda, tel. Nr. 311185, el. paštas – </w:t>
      </w:r>
      <w:hyperlink r:id="rId6" w:history="1">
        <w:r>
          <w:rPr>
            <w:rStyle w:val="Hipersaitas"/>
          </w:rPr>
          <w:t>info@klaipedaspc.lt</w:t>
        </w:r>
      </w:hyperlink>
      <w:r>
        <w:t xml:space="preserve"> </w:t>
      </w:r>
      <w:r>
        <w:rPr>
          <w:b/>
        </w:rPr>
        <w:t xml:space="preserve">1.2. Įstaigos vadovas </w:t>
      </w:r>
      <w:r>
        <w:t xml:space="preserve">– direktorė </w:t>
      </w:r>
      <w:r>
        <w:rPr>
          <w:i/>
          <w:iCs/>
        </w:rPr>
        <w:t>Diana  Stankaitienė.</w:t>
      </w:r>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0"/>
        <w:gridCol w:w="1146"/>
        <w:gridCol w:w="1972"/>
        <w:gridCol w:w="1136"/>
        <w:gridCol w:w="97"/>
        <w:gridCol w:w="968"/>
        <w:gridCol w:w="1056"/>
        <w:gridCol w:w="1503"/>
      </w:tblGrid>
      <w:tr w:rsidR="00F468A5" w:rsidTr="00F468A5">
        <w:tc>
          <w:tcPr>
            <w:tcW w:w="5000" w:type="pct"/>
            <w:gridSpan w:val="8"/>
            <w:tcBorders>
              <w:top w:val="single" w:sz="4" w:space="0" w:color="auto"/>
              <w:left w:val="single" w:sz="4" w:space="0" w:color="auto"/>
              <w:bottom w:val="single" w:sz="4" w:space="0" w:color="auto"/>
              <w:right w:val="single" w:sz="4" w:space="0" w:color="auto"/>
            </w:tcBorders>
            <w:hideMark/>
          </w:tcPr>
          <w:p w:rsidR="00F468A5" w:rsidRDefault="00F468A5">
            <w:pPr>
              <w:tabs>
                <w:tab w:val="left" w:pos="3840"/>
              </w:tabs>
              <w:rPr>
                <w:b/>
              </w:rPr>
            </w:pPr>
            <w:r>
              <w:rPr>
                <w:b/>
              </w:rPr>
              <w:t xml:space="preserve">1.3. Darbuotojų skaičius </w:t>
            </w:r>
          </w:p>
        </w:tc>
      </w:tr>
      <w:tr w:rsidR="00F468A5" w:rsidTr="00F468A5">
        <w:tc>
          <w:tcPr>
            <w:tcW w:w="814" w:type="pct"/>
            <w:tcBorders>
              <w:top w:val="single" w:sz="4" w:space="0" w:color="auto"/>
              <w:left w:val="single" w:sz="4" w:space="0" w:color="auto"/>
              <w:bottom w:val="single" w:sz="4" w:space="0" w:color="auto"/>
              <w:right w:val="single" w:sz="4" w:space="0" w:color="auto"/>
            </w:tcBorders>
            <w:hideMark/>
          </w:tcPr>
          <w:p w:rsidR="00F468A5" w:rsidRDefault="00F468A5">
            <w:pPr>
              <w:jc w:val="both"/>
            </w:pPr>
            <w:r>
              <w:t>Administracijos darbuotojai (pareigybės) – (toliau – pareig.)</w:t>
            </w:r>
          </w:p>
        </w:tc>
        <w:tc>
          <w:tcPr>
            <w:tcW w:w="1673" w:type="pct"/>
            <w:gridSpan w:val="2"/>
            <w:tcBorders>
              <w:top w:val="nil"/>
              <w:left w:val="single" w:sz="4" w:space="0" w:color="auto"/>
              <w:bottom w:val="single" w:sz="4" w:space="0" w:color="auto"/>
              <w:right w:val="single" w:sz="4" w:space="0" w:color="auto"/>
            </w:tcBorders>
            <w:hideMark/>
          </w:tcPr>
          <w:p w:rsidR="00F468A5" w:rsidRDefault="00F468A5">
            <w:pPr>
              <w:jc w:val="center"/>
            </w:pPr>
            <w:r>
              <w:t>Specialistai</w:t>
            </w:r>
          </w:p>
          <w:p w:rsidR="00F468A5" w:rsidRDefault="00F468A5">
            <w:pPr>
              <w:jc w:val="center"/>
            </w:pPr>
            <w:r>
              <w:t xml:space="preserve">(pareig.) </w:t>
            </w:r>
            <w:r>
              <w:softHyphen/>
            </w:r>
          </w:p>
        </w:tc>
        <w:tc>
          <w:tcPr>
            <w:tcW w:w="602" w:type="pct"/>
            <w:gridSpan w:val="2"/>
            <w:tcBorders>
              <w:top w:val="nil"/>
              <w:left w:val="single" w:sz="4" w:space="0" w:color="auto"/>
              <w:bottom w:val="single" w:sz="4" w:space="0" w:color="auto"/>
              <w:right w:val="single" w:sz="4" w:space="0" w:color="auto"/>
            </w:tcBorders>
            <w:hideMark/>
          </w:tcPr>
          <w:p w:rsidR="00F468A5" w:rsidRDefault="00F468A5">
            <w:pPr>
              <w:jc w:val="center"/>
            </w:pPr>
            <w:r>
              <w:t>Ūkinis techninis personalas (pareig.)</w:t>
            </w:r>
          </w:p>
        </w:tc>
        <w:tc>
          <w:tcPr>
            <w:tcW w:w="1911" w:type="pct"/>
            <w:gridSpan w:val="3"/>
            <w:tcBorders>
              <w:top w:val="nil"/>
              <w:left w:val="single" w:sz="4" w:space="0" w:color="auto"/>
              <w:bottom w:val="single" w:sz="4" w:space="0" w:color="auto"/>
              <w:right w:val="single" w:sz="4" w:space="0" w:color="auto"/>
            </w:tcBorders>
            <w:hideMark/>
          </w:tcPr>
          <w:p w:rsidR="00F468A5" w:rsidRDefault="00F468A5">
            <w:pPr>
              <w:jc w:val="both"/>
            </w:pPr>
            <w:r>
              <w:t xml:space="preserve">Pastabos: nurodykite ar atitinka esamas darbuotojų skaičius miesto tarybos ar vyriausybės patvirtintiems normatyvų reikalavimams. </w:t>
            </w:r>
          </w:p>
        </w:tc>
      </w:tr>
      <w:tr w:rsidR="00F468A5" w:rsidTr="00F468A5">
        <w:tc>
          <w:tcPr>
            <w:tcW w:w="814" w:type="pct"/>
            <w:tcBorders>
              <w:top w:val="single" w:sz="4" w:space="0" w:color="auto"/>
              <w:left w:val="single" w:sz="4" w:space="0" w:color="auto"/>
              <w:bottom w:val="single" w:sz="4" w:space="0" w:color="auto"/>
              <w:right w:val="single" w:sz="4" w:space="0" w:color="auto"/>
            </w:tcBorders>
            <w:hideMark/>
          </w:tcPr>
          <w:p w:rsidR="00F468A5" w:rsidRDefault="00F468A5">
            <w:pPr>
              <w:jc w:val="both"/>
            </w:pPr>
            <w:r>
              <w:t>3 pareig., iš jų 2 socialinių paslaugų srities pareig</w:t>
            </w:r>
            <w:r>
              <w:rPr>
                <w:rStyle w:val="Puslapioinaosnuoroda"/>
              </w:rPr>
              <w:footnoteReference w:id="1"/>
            </w:r>
            <w:r>
              <w:t xml:space="preserve">. </w:t>
            </w:r>
          </w:p>
        </w:tc>
        <w:tc>
          <w:tcPr>
            <w:tcW w:w="1673" w:type="pct"/>
            <w:gridSpan w:val="2"/>
            <w:tcBorders>
              <w:top w:val="single" w:sz="4" w:space="0" w:color="auto"/>
              <w:left w:val="single" w:sz="4" w:space="0" w:color="auto"/>
              <w:bottom w:val="single" w:sz="4" w:space="0" w:color="auto"/>
              <w:right w:val="single" w:sz="4" w:space="0" w:color="auto"/>
            </w:tcBorders>
            <w:hideMark/>
          </w:tcPr>
          <w:p w:rsidR="00F468A5" w:rsidRDefault="00F468A5">
            <w:pPr>
              <w:pStyle w:val="Siaiptekstas"/>
              <w:rPr>
                <w:sz w:val="24"/>
              </w:rPr>
            </w:pPr>
            <w:r>
              <w:rPr>
                <w:color w:val="auto"/>
                <w:sz w:val="24"/>
              </w:rPr>
              <w:t>Iš 128,25,</w:t>
            </w:r>
            <w:r>
              <w:rPr>
                <w:sz w:val="24"/>
              </w:rPr>
              <w:t xml:space="preserve"> pareig.</w:t>
            </w:r>
            <w:r>
              <w:rPr>
                <w:rStyle w:val="Puslapioinaosnuoroda"/>
                <w:sz w:val="24"/>
              </w:rPr>
              <w:footnoteReference w:id="2"/>
            </w:r>
            <w:r>
              <w:rPr>
                <w:color w:val="auto"/>
                <w:sz w:val="24"/>
              </w:rPr>
              <w:t>:  102 pareig.</w:t>
            </w:r>
            <w:r>
              <w:rPr>
                <w:sz w:val="24"/>
              </w:rPr>
              <w:t xml:space="preserve"> –</w:t>
            </w:r>
            <w:r>
              <w:rPr>
                <w:color w:val="auto"/>
                <w:sz w:val="24"/>
              </w:rPr>
              <w:t xml:space="preserve"> </w:t>
            </w:r>
            <w:r>
              <w:rPr>
                <w:sz w:val="24"/>
              </w:rPr>
              <w:t>socialinių paslaugų srities darbuotojų pareig.), 17,25  – sveikatos priež. specialistų pareig., 3,5 – bendrosios veiklos darbuotojų pareig., 3,0 – vairuotojų pareig.</w:t>
            </w:r>
          </w:p>
        </w:tc>
        <w:tc>
          <w:tcPr>
            <w:tcW w:w="602" w:type="pct"/>
            <w:gridSpan w:val="2"/>
            <w:tcBorders>
              <w:top w:val="single" w:sz="4" w:space="0" w:color="auto"/>
              <w:left w:val="single" w:sz="4" w:space="0" w:color="auto"/>
              <w:bottom w:val="single" w:sz="4" w:space="0" w:color="auto"/>
              <w:right w:val="single" w:sz="4" w:space="0" w:color="auto"/>
            </w:tcBorders>
            <w:hideMark/>
          </w:tcPr>
          <w:p w:rsidR="00F468A5" w:rsidRDefault="00F468A5">
            <w:pPr>
              <w:jc w:val="center"/>
            </w:pPr>
            <w:r>
              <w:t>0</w:t>
            </w:r>
          </w:p>
        </w:tc>
        <w:tc>
          <w:tcPr>
            <w:tcW w:w="1911" w:type="pct"/>
            <w:gridSpan w:val="3"/>
            <w:tcBorders>
              <w:top w:val="single" w:sz="4" w:space="0" w:color="auto"/>
              <w:left w:val="single" w:sz="4" w:space="0" w:color="auto"/>
              <w:bottom w:val="single" w:sz="4" w:space="0" w:color="auto"/>
              <w:right w:val="single" w:sz="4" w:space="0" w:color="auto"/>
            </w:tcBorders>
            <w:hideMark/>
          </w:tcPr>
          <w:p w:rsidR="00F468A5" w:rsidRDefault="00F468A5">
            <w:pPr>
              <w:pStyle w:val="Pagrindinistekstas"/>
              <w:rPr>
                <w:color w:val="000000"/>
                <w:szCs w:val="24"/>
              </w:rPr>
            </w:pPr>
            <w:r>
              <w:rPr>
                <w:szCs w:val="24"/>
              </w:rPr>
              <w:t>Neatitinka</w:t>
            </w:r>
            <w:r>
              <w:rPr>
                <w:rStyle w:val="Puslapioinaosnuoroda"/>
                <w:szCs w:val="24"/>
              </w:rPr>
              <w:footnoteReference w:id="3"/>
            </w:r>
            <w:r>
              <w:rPr>
                <w:szCs w:val="24"/>
              </w:rPr>
              <w:t xml:space="preserve">. Centre 2019-12-31 buvo 126,25 pareig., juose dirbo 138 darb. ir </w:t>
            </w:r>
            <w:r>
              <w:rPr>
                <w:color w:val="000000"/>
                <w:szCs w:val="24"/>
              </w:rPr>
              <w:t>2 pareig. buvo neužimtos. 2019 m. savanorišką veiklą vykdė 77</w:t>
            </w:r>
            <w:r>
              <w:rPr>
                <w:szCs w:val="24"/>
              </w:rPr>
              <w:t xml:space="preserve"> savanoriai; praktiką atliko 36 praktikantai; darbuotojai sirgo 3356 d. d. arba vid. 1 darbuotojas nedirbo 2,22 d. d./mėn.</w:t>
            </w:r>
          </w:p>
        </w:tc>
      </w:tr>
      <w:tr w:rsidR="00F468A5" w:rsidTr="00F468A5">
        <w:tc>
          <w:tcPr>
            <w:tcW w:w="5000" w:type="pct"/>
            <w:gridSpan w:val="8"/>
            <w:tcBorders>
              <w:top w:val="single" w:sz="4" w:space="0" w:color="auto"/>
              <w:left w:val="single" w:sz="4" w:space="0" w:color="auto"/>
              <w:bottom w:val="single" w:sz="4" w:space="0" w:color="auto"/>
              <w:right w:val="single" w:sz="4" w:space="0" w:color="auto"/>
            </w:tcBorders>
            <w:hideMark/>
          </w:tcPr>
          <w:p w:rsidR="00F468A5" w:rsidRDefault="00F468A5">
            <w:pPr>
              <w:rPr>
                <w:b/>
              </w:rPr>
            </w:pPr>
            <w:r>
              <w:rPr>
                <w:b/>
              </w:rPr>
              <w:t>1.4. Naudojamos patalpos</w:t>
            </w:r>
          </w:p>
        </w:tc>
      </w:tr>
      <w:tr w:rsidR="00F468A5" w:rsidTr="00F468A5">
        <w:tc>
          <w:tcPr>
            <w:tcW w:w="814" w:type="pct"/>
            <w:tcBorders>
              <w:top w:val="single" w:sz="4" w:space="0" w:color="auto"/>
              <w:left w:val="single" w:sz="4" w:space="0" w:color="auto"/>
              <w:bottom w:val="single" w:sz="4" w:space="0" w:color="auto"/>
              <w:right w:val="single" w:sz="4" w:space="0" w:color="auto"/>
            </w:tcBorders>
            <w:hideMark/>
          </w:tcPr>
          <w:p w:rsidR="00F468A5" w:rsidRDefault="00F468A5">
            <w:pPr>
              <w:rPr>
                <w:b/>
              </w:rPr>
            </w:pPr>
            <w:r>
              <w:rPr>
                <w:b/>
              </w:rPr>
              <w:t>Pastatai (nurodyti adresus)</w:t>
            </w:r>
          </w:p>
        </w:tc>
        <w:tc>
          <w:tcPr>
            <w:tcW w:w="622" w:type="pct"/>
            <w:tcBorders>
              <w:top w:val="single" w:sz="4" w:space="0" w:color="auto"/>
              <w:left w:val="single" w:sz="4" w:space="0" w:color="auto"/>
              <w:bottom w:val="single" w:sz="4" w:space="0" w:color="auto"/>
              <w:right w:val="single" w:sz="4" w:space="0" w:color="auto"/>
            </w:tcBorders>
            <w:hideMark/>
          </w:tcPr>
          <w:p w:rsidR="00F468A5" w:rsidRDefault="00F468A5">
            <w:pPr>
              <w:jc w:val="center"/>
              <w:rPr>
                <w:b/>
              </w:rPr>
            </w:pPr>
            <w:r>
              <w:rPr>
                <w:b/>
              </w:rPr>
              <w:t>Plotas, kv. m.</w:t>
            </w:r>
          </w:p>
        </w:tc>
        <w:tc>
          <w:tcPr>
            <w:tcW w:w="3564" w:type="pct"/>
            <w:gridSpan w:val="6"/>
            <w:tcBorders>
              <w:top w:val="single" w:sz="4" w:space="0" w:color="auto"/>
              <w:left w:val="single" w:sz="4" w:space="0" w:color="auto"/>
              <w:bottom w:val="single" w:sz="4" w:space="0" w:color="auto"/>
              <w:right w:val="single" w:sz="4" w:space="0" w:color="auto"/>
            </w:tcBorders>
            <w:hideMark/>
          </w:tcPr>
          <w:p w:rsidR="00F468A5" w:rsidRDefault="00F468A5">
            <w:pPr>
              <w:jc w:val="center"/>
              <w:rPr>
                <w:b/>
              </w:rPr>
            </w:pPr>
            <w:r>
              <w:rPr>
                <w:b/>
              </w:rPr>
              <w:t>Pastabos</w:t>
            </w:r>
          </w:p>
        </w:tc>
      </w:tr>
      <w:tr w:rsidR="00F468A5" w:rsidTr="00F468A5">
        <w:trPr>
          <w:trHeight w:val="741"/>
        </w:trPr>
        <w:tc>
          <w:tcPr>
            <w:tcW w:w="814" w:type="pct"/>
            <w:tcBorders>
              <w:top w:val="single" w:sz="4" w:space="0" w:color="auto"/>
              <w:left w:val="single" w:sz="4" w:space="0" w:color="auto"/>
              <w:bottom w:val="single" w:sz="4" w:space="0" w:color="auto"/>
              <w:right w:val="single" w:sz="4" w:space="0" w:color="auto"/>
            </w:tcBorders>
            <w:hideMark/>
          </w:tcPr>
          <w:p w:rsidR="00F468A5" w:rsidRDefault="00F468A5">
            <w:pPr>
              <w:jc w:val="both"/>
            </w:pPr>
            <w:r>
              <w:t xml:space="preserve">Centro buveinė, Taikos pr. 76, </w:t>
            </w:r>
          </w:p>
        </w:tc>
        <w:tc>
          <w:tcPr>
            <w:tcW w:w="622" w:type="pct"/>
            <w:tcBorders>
              <w:top w:val="single" w:sz="4" w:space="0" w:color="auto"/>
              <w:left w:val="single" w:sz="4" w:space="0" w:color="auto"/>
              <w:bottom w:val="single" w:sz="4" w:space="0" w:color="auto"/>
              <w:right w:val="single" w:sz="4" w:space="0" w:color="auto"/>
            </w:tcBorders>
            <w:hideMark/>
          </w:tcPr>
          <w:p w:rsidR="00F468A5" w:rsidRDefault="00F468A5">
            <w:pPr>
              <w:jc w:val="center"/>
            </w:pPr>
            <w:r>
              <w:rPr>
                <w:b/>
              </w:rPr>
              <w:t>395,73</w:t>
            </w:r>
          </w:p>
        </w:tc>
        <w:tc>
          <w:tcPr>
            <w:tcW w:w="3564" w:type="pct"/>
            <w:gridSpan w:val="6"/>
            <w:tcBorders>
              <w:top w:val="single" w:sz="4" w:space="0" w:color="auto"/>
              <w:left w:val="single" w:sz="4" w:space="0" w:color="auto"/>
              <w:bottom w:val="single" w:sz="4" w:space="0" w:color="auto"/>
              <w:right w:val="single" w:sz="4" w:space="0" w:color="auto"/>
            </w:tcBorders>
            <w:hideMark/>
          </w:tcPr>
          <w:p w:rsidR="00F468A5" w:rsidRDefault="00F468A5">
            <w:pPr>
              <w:jc w:val="both"/>
            </w:pPr>
            <w:r>
              <w:t>Patalpos yra valdomos patikėjimo teise (Klaipėdos  miesto savivaldybės tarybos 2005-07-28 sprendimas Nr.T2 – 282,  2006-06-29 sprendimas Nr.T2-214 ir 2008-07-31 sprendimas Nr. T2-288).</w:t>
            </w:r>
          </w:p>
        </w:tc>
      </w:tr>
      <w:tr w:rsidR="00F468A5" w:rsidTr="00F468A5">
        <w:trPr>
          <w:trHeight w:val="312"/>
        </w:trPr>
        <w:tc>
          <w:tcPr>
            <w:tcW w:w="814" w:type="pct"/>
            <w:tcBorders>
              <w:top w:val="single" w:sz="4" w:space="0" w:color="auto"/>
              <w:left w:val="single" w:sz="4" w:space="0" w:color="auto"/>
              <w:bottom w:val="single" w:sz="4" w:space="0" w:color="auto"/>
              <w:right w:val="single" w:sz="4" w:space="0" w:color="auto"/>
            </w:tcBorders>
            <w:hideMark/>
          </w:tcPr>
          <w:p w:rsidR="00F468A5" w:rsidRDefault="00F468A5">
            <w:pPr>
              <w:jc w:val="both"/>
            </w:pPr>
            <w:r>
              <w:t>Patalpos, Taikos pr. 107-61</w:t>
            </w:r>
          </w:p>
        </w:tc>
        <w:tc>
          <w:tcPr>
            <w:tcW w:w="622" w:type="pct"/>
            <w:tcBorders>
              <w:top w:val="single" w:sz="4" w:space="0" w:color="auto"/>
              <w:left w:val="single" w:sz="4" w:space="0" w:color="auto"/>
              <w:bottom w:val="single" w:sz="4" w:space="0" w:color="auto"/>
              <w:right w:val="single" w:sz="4" w:space="0" w:color="auto"/>
            </w:tcBorders>
            <w:hideMark/>
          </w:tcPr>
          <w:p w:rsidR="00F468A5" w:rsidRDefault="00F468A5">
            <w:pPr>
              <w:jc w:val="center"/>
              <w:rPr>
                <w:b/>
              </w:rPr>
            </w:pPr>
            <w:r>
              <w:rPr>
                <w:b/>
              </w:rPr>
              <w:t xml:space="preserve">22,5 </w:t>
            </w:r>
          </w:p>
        </w:tc>
        <w:tc>
          <w:tcPr>
            <w:tcW w:w="3564" w:type="pct"/>
            <w:gridSpan w:val="6"/>
            <w:tcBorders>
              <w:top w:val="single" w:sz="4" w:space="0" w:color="auto"/>
              <w:left w:val="single" w:sz="4" w:space="0" w:color="auto"/>
              <w:bottom w:val="single" w:sz="4" w:space="0" w:color="auto"/>
              <w:right w:val="single" w:sz="4" w:space="0" w:color="auto"/>
            </w:tcBorders>
            <w:hideMark/>
          </w:tcPr>
          <w:p w:rsidR="00F468A5" w:rsidRDefault="00F468A5">
            <w:pPr>
              <w:jc w:val="both"/>
            </w:pPr>
            <w:r>
              <w:t>Patalpos yra valdomos patikėjimo teise (Klaipėdos  miesto savivaldybės tarybos 2016-10-27 sprendimas Nr.T2 – 261) Patalpos suremontuotos ir 2018 m. bus įrengtos 3 kompiuterizuotos darbo vietos.</w:t>
            </w:r>
          </w:p>
        </w:tc>
      </w:tr>
      <w:tr w:rsidR="00F468A5" w:rsidTr="00F468A5">
        <w:trPr>
          <w:trHeight w:val="540"/>
        </w:trPr>
        <w:tc>
          <w:tcPr>
            <w:tcW w:w="814" w:type="pct"/>
            <w:tcBorders>
              <w:top w:val="single" w:sz="4" w:space="0" w:color="auto"/>
              <w:left w:val="single" w:sz="4" w:space="0" w:color="auto"/>
              <w:bottom w:val="single" w:sz="4" w:space="0" w:color="auto"/>
              <w:right w:val="single" w:sz="4" w:space="0" w:color="auto"/>
            </w:tcBorders>
            <w:hideMark/>
          </w:tcPr>
          <w:p w:rsidR="00F468A5" w:rsidRDefault="00F468A5">
            <w:pPr>
              <w:jc w:val="both"/>
            </w:pPr>
            <w:r>
              <w:t xml:space="preserve">Patalpos, Minijos g. 169, </w:t>
            </w:r>
          </w:p>
        </w:tc>
        <w:tc>
          <w:tcPr>
            <w:tcW w:w="622" w:type="pct"/>
            <w:tcBorders>
              <w:top w:val="single" w:sz="4" w:space="0" w:color="auto"/>
              <w:left w:val="single" w:sz="4" w:space="0" w:color="auto"/>
              <w:bottom w:val="single" w:sz="4" w:space="0" w:color="auto"/>
              <w:right w:val="single" w:sz="4" w:space="0" w:color="auto"/>
            </w:tcBorders>
          </w:tcPr>
          <w:p w:rsidR="00F468A5" w:rsidRDefault="00F468A5">
            <w:pPr>
              <w:jc w:val="center"/>
              <w:rPr>
                <w:b/>
              </w:rPr>
            </w:pPr>
            <w:r>
              <w:rPr>
                <w:b/>
              </w:rPr>
              <w:t xml:space="preserve">190,00 </w:t>
            </w:r>
          </w:p>
          <w:p w:rsidR="00F468A5" w:rsidRDefault="00F468A5">
            <w:pPr>
              <w:jc w:val="center"/>
            </w:pPr>
          </w:p>
        </w:tc>
        <w:tc>
          <w:tcPr>
            <w:tcW w:w="3564" w:type="pct"/>
            <w:gridSpan w:val="6"/>
            <w:tcBorders>
              <w:top w:val="single" w:sz="4" w:space="0" w:color="auto"/>
              <w:left w:val="single" w:sz="4" w:space="0" w:color="auto"/>
              <w:bottom w:val="single" w:sz="4" w:space="0" w:color="auto"/>
              <w:right w:val="single" w:sz="4" w:space="0" w:color="auto"/>
            </w:tcBorders>
            <w:hideMark/>
          </w:tcPr>
          <w:p w:rsidR="00F468A5" w:rsidRDefault="00F468A5">
            <w:pPr>
              <w:jc w:val="both"/>
            </w:pPr>
            <w:r>
              <w:t xml:space="preserve">Patalpos pagal 3 metų sutartį nuomojamos 4 automobiliams, automobilių padangoms ir techninėms pagalbos priemonėms saugoti. </w:t>
            </w:r>
          </w:p>
        </w:tc>
      </w:tr>
      <w:tr w:rsidR="00F468A5" w:rsidTr="00F468A5">
        <w:tc>
          <w:tcPr>
            <w:tcW w:w="5000" w:type="pct"/>
            <w:gridSpan w:val="8"/>
            <w:tcBorders>
              <w:top w:val="single" w:sz="4" w:space="0" w:color="auto"/>
              <w:left w:val="single" w:sz="4" w:space="0" w:color="auto"/>
              <w:bottom w:val="single" w:sz="4" w:space="0" w:color="auto"/>
              <w:right w:val="single" w:sz="4" w:space="0" w:color="auto"/>
            </w:tcBorders>
            <w:hideMark/>
          </w:tcPr>
          <w:p w:rsidR="00F468A5" w:rsidRDefault="00F468A5">
            <w:pPr>
              <w:tabs>
                <w:tab w:val="left" w:pos="3795"/>
              </w:tabs>
              <w:rPr>
                <w:b/>
              </w:rPr>
            </w:pPr>
            <w:r>
              <w:rPr>
                <w:b/>
              </w:rPr>
              <w:t>1.5. Biudžetas (EUR)</w:t>
            </w:r>
          </w:p>
        </w:tc>
      </w:tr>
      <w:tr w:rsidR="00F468A5" w:rsidTr="00F468A5">
        <w:trPr>
          <w:trHeight w:val="322"/>
        </w:trPr>
        <w:tc>
          <w:tcPr>
            <w:tcW w:w="2487" w:type="pct"/>
            <w:gridSpan w:val="3"/>
            <w:tcBorders>
              <w:top w:val="single" w:sz="4" w:space="0" w:color="auto"/>
              <w:left w:val="single" w:sz="4" w:space="0" w:color="auto"/>
              <w:bottom w:val="single" w:sz="4" w:space="0" w:color="auto"/>
              <w:right w:val="single" w:sz="4" w:space="0" w:color="auto"/>
            </w:tcBorders>
            <w:hideMark/>
          </w:tcPr>
          <w:p w:rsidR="00F468A5" w:rsidRDefault="00F468A5">
            <w:pPr>
              <w:jc w:val="center"/>
              <w:rPr>
                <w:b/>
              </w:rPr>
            </w:pPr>
            <w:r>
              <w:rPr>
                <w:b/>
              </w:rPr>
              <w:t>Skirtos lėšos</w:t>
            </w:r>
          </w:p>
        </w:tc>
        <w:tc>
          <w:tcPr>
            <w:tcW w:w="556" w:type="pct"/>
            <w:tcBorders>
              <w:top w:val="single" w:sz="4" w:space="0" w:color="auto"/>
              <w:left w:val="single" w:sz="4" w:space="0" w:color="auto"/>
              <w:bottom w:val="single" w:sz="4" w:space="0" w:color="auto"/>
              <w:right w:val="single" w:sz="4" w:space="0" w:color="auto"/>
            </w:tcBorders>
            <w:hideMark/>
          </w:tcPr>
          <w:p w:rsidR="00F468A5" w:rsidRDefault="00F468A5">
            <w:pPr>
              <w:jc w:val="center"/>
            </w:pPr>
            <w:r>
              <w:t>2019 m.</w:t>
            </w:r>
          </w:p>
        </w:tc>
        <w:tc>
          <w:tcPr>
            <w:tcW w:w="556" w:type="pct"/>
            <w:gridSpan w:val="2"/>
            <w:tcBorders>
              <w:top w:val="single" w:sz="4" w:space="0" w:color="auto"/>
              <w:left w:val="single" w:sz="4" w:space="0" w:color="auto"/>
              <w:bottom w:val="single" w:sz="4" w:space="0" w:color="auto"/>
              <w:right w:val="single" w:sz="4" w:space="0" w:color="auto"/>
            </w:tcBorders>
            <w:hideMark/>
          </w:tcPr>
          <w:p w:rsidR="00F468A5" w:rsidRDefault="00F468A5">
            <w:pPr>
              <w:jc w:val="center"/>
            </w:pPr>
            <w:r>
              <w:t>2018 m.</w:t>
            </w:r>
          </w:p>
        </w:tc>
        <w:tc>
          <w:tcPr>
            <w:tcW w:w="556" w:type="pct"/>
            <w:tcBorders>
              <w:top w:val="single" w:sz="4" w:space="0" w:color="auto"/>
              <w:left w:val="single" w:sz="4" w:space="0" w:color="auto"/>
              <w:bottom w:val="single" w:sz="4" w:space="0" w:color="auto"/>
              <w:right w:val="single" w:sz="4" w:space="0" w:color="auto"/>
            </w:tcBorders>
            <w:hideMark/>
          </w:tcPr>
          <w:p w:rsidR="00F468A5" w:rsidRDefault="00F468A5">
            <w:pPr>
              <w:jc w:val="center"/>
            </w:pPr>
            <w:r>
              <w:t>2017 m</w:t>
            </w:r>
          </w:p>
        </w:tc>
        <w:tc>
          <w:tcPr>
            <w:tcW w:w="845" w:type="pct"/>
            <w:tcBorders>
              <w:top w:val="single" w:sz="4" w:space="0" w:color="auto"/>
              <w:left w:val="single" w:sz="4" w:space="0" w:color="auto"/>
              <w:bottom w:val="single" w:sz="4" w:space="0" w:color="auto"/>
              <w:right w:val="single" w:sz="4" w:space="0" w:color="auto"/>
            </w:tcBorders>
            <w:hideMark/>
          </w:tcPr>
          <w:p w:rsidR="00F468A5" w:rsidRDefault="00F468A5">
            <w:pPr>
              <w:jc w:val="center"/>
              <w:rPr>
                <w:bCs/>
                <w:color w:val="000000"/>
              </w:rPr>
            </w:pPr>
            <w:r>
              <w:rPr>
                <w:bCs/>
                <w:color w:val="000000"/>
              </w:rPr>
              <w:t>Pokytis 2018-2019 m., proc.</w:t>
            </w:r>
          </w:p>
        </w:tc>
      </w:tr>
      <w:tr w:rsidR="00F468A5" w:rsidTr="00F468A5">
        <w:tc>
          <w:tcPr>
            <w:tcW w:w="2487" w:type="pct"/>
            <w:gridSpan w:val="3"/>
            <w:tcBorders>
              <w:top w:val="single" w:sz="4" w:space="0" w:color="auto"/>
              <w:left w:val="single" w:sz="4" w:space="0" w:color="auto"/>
              <w:bottom w:val="single" w:sz="4" w:space="0" w:color="auto"/>
              <w:right w:val="single" w:sz="4" w:space="0" w:color="auto"/>
            </w:tcBorders>
            <w:hideMark/>
          </w:tcPr>
          <w:p w:rsidR="00F468A5" w:rsidRDefault="00F468A5">
            <w:r>
              <w:t>Valstybės (VB)</w:t>
            </w:r>
          </w:p>
        </w:tc>
        <w:tc>
          <w:tcPr>
            <w:tcW w:w="556" w:type="pct"/>
            <w:tcBorders>
              <w:top w:val="single" w:sz="4" w:space="0" w:color="auto"/>
              <w:left w:val="single" w:sz="4" w:space="0" w:color="auto"/>
              <w:bottom w:val="single" w:sz="4" w:space="0" w:color="auto"/>
              <w:right w:val="single" w:sz="4" w:space="0" w:color="auto"/>
            </w:tcBorders>
            <w:hideMark/>
          </w:tcPr>
          <w:p w:rsidR="00F468A5" w:rsidRDefault="00F468A5">
            <w:pPr>
              <w:jc w:val="center"/>
            </w:pPr>
            <w:r>
              <w:t>430000</w:t>
            </w:r>
          </w:p>
        </w:tc>
        <w:tc>
          <w:tcPr>
            <w:tcW w:w="556" w:type="pct"/>
            <w:gridSpan w:val="2"/>
            <w:tcBorders>
              <w:top w:val="single" w:sz="4" w:space="0" w:color="auto"/>
              <w:left w:val="single" w:sz="4" w:space="0" w:color="auto"/>
              <w:bottom w:val="single" w:sz="4" w:space="0" w:color="auto"/>
              <w:right w:val="single" w:sz="4" w:space="0" w:color="auto"/>
            </w:tcBorders>
            <w:hideMark/>
          </w:tcPr>
          <w:p w:rsidR="00F468A5" w:rsidRDefault="00F468A5">
            <w:pPr>
              <w:jc w:val="center"/>
            </w:pPr>
            <w:r>
              <w:t>37660</w:t>
            </w:r>
          </w:p>
        </w:tc>
        <w:tc>
          <w:tcPr>
            <w:tcW w:w="556" w:type="pct"/>
            <w:tcBorders>
              <w:top w:val="single" w:sz="4" w:space="0" w:color="auto"/>
              <w:left w:val="single" w:sz="4" w:space="0" w:color="auto"/>
              <w:bottom w:val="single" w:sz="4" w:space="0" w:color="auto"/>
              <w:right w:val="single" w:sz="4" w:space="0" w:color="auto"/>
            </w:tcBorders>
            <w:hideMark/>
          </w:tcPr>
          <w:p w:rsidR="00F468A5" w:rsidRDefault="00F468A5">
            <w:pPr>
              <w:jc w:val="center"/>
            </w:pPr>
            <w:r>
              <w:t>308400</w:t>
            </w:r>
          </w:p>
        </w:tc>
        <w:tc>
          <w:tcPr>
            <w:tcW w:w="845" w:type="pct"/>
            <w:tcBorders>
              <w:top w:val="single" w:sz="4" w:space="0" w:color="auto"/>
              <w:left w:val="single" w:sz="4" w:space="0" w:color="auto"/>
              <w:bottom w:val="single" w:sz="4" w:space="0" w:color="auto"/>
              <w:right w:val="single" w:sz="4" w:space="0" w:color="auto"/>
            </w:tcBorders>
            <w:vAlign w:val="center"/>
            <w:hideMark/>
          </w:tcPr>
          <w:p w:rsidR="00F468A5" w:rsidRDefault="00F468A5">
            <w:pPr>
              <w:jc w:val="center"/>
              <w:rPr>
                <w:color w:val="000000"/>
              </w:rPr>
            </w:pPr>
            <w:r>
              <w:rPr>
                <w:bCs/>
                <w:lang w:eastAsia="zh-CN"/>
              </w:rPr>
              <w:t>+14,18</w:t>
            </w:r>
          </w:p>
        </w:tc>
      </w:tr>
      <w:tr w:rsidR="00F468A5" w:rsidTr="00F468A5">
        <w:trPr>
          <w:trHeight w:val="263"/>
        </w:trPr>
        <w:tc>
          <w:tcPr>
            <w:tcW w:w="2487" w:type="pct"/>
            <w:gridSpan w:val="3"/>
            <w:tcBorders>
              <w:top w:val="single" w:sz="4" w:space="0" w:color="auto"/>
              <w:left w:val="single" w:sz="4" w:space="0" w:color="auto"/>
              <w:bottom w:val="single" w:sz="4" w:space="0" w:color="auto"/>
              <w:right w:val="single" w:sz="4" w:space="0" w:color="auto"/>
            </w:tcBorders>
            <w:hideMark/>
          </w:tcPr>
          <w:p w:rsidR="00F468A5" w:rsidRDefault="00F468A5">
            <w:r>
              <w:t>Savivaldybės  (SB)</w:t>
            </w:r>
          </w:p>
        </w:tc>
        <w:tc>
          <w:tcPr>
            <w:tcW w:w="556" w:type="pct"/>
            <w:tcBorders>
              <w:top w:val="single" w:sz="4" w:space="0" w:color="auto"/>
              <w:left w:val="single" w:sz="4" w:space="0" w:color="auto"/>
              <w:bottom w:val="single" w:sz="4" w:space="0" w:color="auto"/>
              <w:right w:val="single" w:sz="4" w:space="0" w:color="auto"/>
            </w:tcBorders>
            <w:hideMark/>
          </w:tcPr>
          <w:p w:rsidR="00F468A5" w:rsidRDefault="00F468A5">
            <w:pPr>
              <w:jc w:val="center"/>
              <w:rPr>
                <w:bCs/>
              </w:rPr>
            </w:pPr>
            <w:r>
              <w:rPr>
                <w:bCs/>
              </w:rPr>
              <w:t>902300</w:t>
            </w:r>
          </w:p>
        </w:tc>
        <w:tc>
          <w:tcPr>
            <w:tcW w:w="556" w:type="pct"/>
            <w:gridSpan w:val="2"/>
            <w:tcBorders>
              <w:top w:val="single" w:sz="4" w:space="0" w:color="auto"/>
              <w:left w:val="single" w:sz="4" w:space="0" w:color="auto"/>
              <w:bottom w:val="single" w:sz="4" w:space="0" w:color="auto"/>
              <w:right w:val="single" w:sz="4" w:space="0" w:color="auto"/>
            </w:tcBorders>
            <w:hideMark/>
          </w:tcPr>
          <w:p w:rsidR="00F468A5" w:rsidRDefault="00F468A5">
            <w:pPr>
              <w:jc w:val="center"/>
              <w:rPr>
                <w:bCs/>
              </w:rPr>
            </w:pPr>
            <w:r>
              <w:rPr>
                <w:bCs/>
              </w:rPr>
              <w:t>809800</w:t>
            </w:r>
          </w:p>
        </w:tc>
        <w:tc>
          <w:tcPr>
            <w:tcW w:w="556" w:type="pct"/>
            <w:tcBorders>
              <w:top w:val="single" w:sz="4" w:space="0" w:color="auto"/>
              <w:left w:val="single" w:sz="4" w:space="0" w:color="auto"/>
              <w:bottom w:val="single" w:sz="4" w:space="0" w:color="auto"/>
              <w:right w:val="single" w:sz="4" w:space="0" w:color="auto"/>
            </w:tcBorders>
            <w:hideMark/>
          </w:tcPr>
          <w:p w:rsidR="00F468A5" w:rsidRDefault="00F468A5">
            <w:pPr>
              <w:jc w:val="center"/>
              <w:rPr>
                <w:bCs/>
              </w:rPr>
            </w:pPr>
            <w:r>
              <w:rPr>
                <w:bCs/>
              </w:rPr>
              <w:t>656400</w:t>
            </w:r>
          </w:p>
        </w:tc>
        <w:tc>
          <w:tcPr>
            <w:tcW w:w="845" w:type="pct"/>
            <w:tcBorders>
              <w:top w:val="single" w:sz="4" w:space="0" w:color="auto"/>
              <w:left w:val="single" w:sz="4" w:space="0" w:color="auto"/>
              <w:bottom w:val="single" w:sz="4" w:space="0" w:color="auto"/>
              <w:right w:val="single" w:sz="4" w:space="0" w:color="auto"/>
            </w:tcBorders>
            <w:vAlign w:val="center"/>
            <w:hideMark/>
          </w:tcPr>
          <w:p w:rsidR="00F468A5" w:rsidRDefault="00F468A5">
            <w:pPr>
              <w:jc w:val="center"/>
              <w:rPr>
                <w:color w:val="000000"/>
              </w:rPr>
            </w:pPr>
            <w:r>
              <w:rPr>
                <w:bCs/>
                <w:lang w:eastAsia="zh-CN"/>
              </w:rPr>
              <w:t>+11,42</w:t>
            </w:r>
          </w:p>
        </w:tc>
      </w:tr>
      <w:tr w:rsidR="00F468A5" w:rsidTr="00F468A5">
        <w:tc>
          <w:tcPr>
            <w:tcW w:w="2487" w:type="pct"/>
            <w:gridSpan w:val="3"/>
            <w:tcBorders>
              <w:top w:val="single" w:sz="4" w:space="0" w:color="auto"/>
              <w:left w:val="single" w:sz="4" w:space="0" w:color="auto"/>
              <w:bottom w:val="single" w:sz="4" w:space="0" w:color="auto"/>
              <w:right w:val="single" w:sz="4" w:space="0" w:color="auto"/>
            </w:tcBorders>
            <w:hideMark/>
          </w:tcPr>
          <w:p w:rsidR="00F468A5" w:rsidRDefault="00F468A5">
            <w:r>
              <w:t>Pajamos, gautos už mokamas paslaugas</w:t>
            </w:r>
          </w:p>
        </w:tc>
        <w:tc>
          <w:tcPr>
            <w:tcW w:w="556" w:type="pct"/>
            <w:tcBorders>
              <w:top w:val="single" w:sz="4" w:space="0" w:color="auto"/>
              <w:left w:val="single" w:sz="4" w:space="0" w:color="auto"/>
              <w:bottom w:val="single" w:sz="4" w:space="0" w:color="auto"/>
              <w:right w:val="single" w:sz="4" w:space="0" w:color="auto"/>
            </w:tcBorders>
            <w:hideMark/>
          </w:tcPr>
          <w:p w:rsidR="00F468A5" w:rsidRDefault="00F468A5">
            <w:pPr>
              <w:jc w:val="center"/>
            </w:pPr>
            <w:r>
              <w:t>119700</w:t>
            </w:r>
          </w:p>
        </w:tc>
        <w:tc>
          <w:tcPr>
            <w:tcW w:w="556" w:type="pct"/>
            <w:gridSpan w:val="2"/>
            <w:tcBorders>
              <w:top w:val="single" w:sz="4" w:space="0" w:color="auto"/>
              <w:left w:val="single" w:sz="4" w:space="0" w:color="auto"/>
              <w:bottom w:val="single" w:sz="4" w:space="0" w:color="auto"/>
              <w:right w:val="single" w:sz="4" w:space="0" w:color="auto"/>
            </w:tcBorders>
            <w:hideMark/>
          </w:tcPr>
          <w:p w:rsidR="00F468A5" w:rsidRDefault="00F468A5">
            <w:pPr>
              <w:jc w:val="center"/>
            </w:pPr>
            <w:r>
              <w:t>96700</w:t>
            </w:r>
          </w:p>
        </w:tc>
        <w:tc>
          <w:tcPr>
            <w:tcW w:w="556" w:type="pct"/>
            <w:tcBorders>
              <w:top w:val="single" w:sz="4" w:space="0" w:color="auto"/>
              <w:left w:val="single" w:sz="4" w:space="0" w:color="auto"/>
              <w:bottom w:val="single" w:sz="4" w:space="0" w:color="auto"/>
              <w:right w:val="single" w:sz="4" w:space="0" w:color="auto"/>
            </w:tcBorders>
            <w:hideMark/>
          </w:tcPr>
          <w:p w:rsidR="00F468A5" w:rsidRDefault="00F468A5">
            <w:pPr>
              <w:jc w:val="center"/>
              <w:rPr>
                <w:lang w:eastAsia="zh-CN"/>
              </w:rPr>
            </w:pPr>
            <w:r>
              <w:t>86300</w:t>
            </w:r>
          </w:p>
        </w:tc>
        <w:tc>
          <w:tcPr>
            <w:tcW w:w="845" w:type="pct"/>
            <w:tcBorders>
              <w:top w:val="single" w:sz="4" w:space="0" w:color="auto"/>
              <w:left w:val="single" w:sz="4" w:space="0" w:color="auto"/>
              <w:bottom w:val="single" w:sz="4" w:space="0" w:color="auto"/>
              <w:right w:val="single" w:sz="4" w:space="0" w:color="auto"/>
            </w:tcBorders>
            <w:vAlign w:val="center"/>
            <w:hideMark/>
          </w:tcPr>
          <w:p w:rsidR="00F468A5" w:rsidRDefault="00F468A5">
            <w:pPr>
              <w:jc w:val="center"/>
              <w:rPr>
                <w:color w:val="000000"/>
                <w:lang w:eastAsia="lt-LT"/>
              </w:rPr>
            </w:pPr>
            <w:r>
              <w:rPr>
                <w:bCs/>
                <w:lang w:eastAsia="zh-CN"/>
              </w:rPr>
              <w:t>+23,78</w:t>
            </w:r>
          </w:p>
        </w:tc>
      </w:tr>
      <w:tr w:rsidR="00F468A5" w:rsidTr="00F468A5">
        <w:trPr>
          <w:trHeight w:val="144"/>
        </w:trPr>
        <w:tc>
          <w:tcPr>
            <w:tcW w:w="2487" w:type="pct"/>
            <w:gridSpan w:val="3"/>
            <w:tcBorders>
              <w:top w:val="single" w:sz="4" w:space="0" w:color="auto"/>
              <w:left w:val="single" w:sz="4" w:space="0" w:color="auto"/>
              <w:bottom w:val="single" w:sz="4" w:space="0" w:color="auto"/>
              <w:right w:val="single" w:sz="4" w:space="0" w:color="auto"/>
            </w:tcBorders>
            <w:vAlign w:val="center"/>
            <w:hideMark/>
          </w:tcPr>
          <w:p w:rsidR="00F468A5" w:rsidRDefault="00F468A5">
            <w:pPr>
              <w:pStyle w:val="Pagrindinistekstas"/>
              <w:rPr>
                <w:szCs w:val="24"/>
              </w:rPr>
            </w:pPr>
            <w:r>
              <w:rPr>
                <w:szCs w:val="24"/>
              </w:rPr>
              <w:lastRenderedPageBreak/>
              <w:t>Darbo birža (subsidijuojami darbai ir kiti)</w:t>
            </w:r>
          </w:p>
        </w:tc>
        <w:tc>
          <w:tcPr>
            <w:tcW w:w="556" w:type="pct"/>
            <w:tcBorders>
              <w:top w:val="single" w:sz="4" w:space="0" w:color="auto"/>
              <w:left w:val="single" w:sz="4" w:space="0" w:color="auto"/>
              <w:bottom w:val="single" w:sz="4" w:space="0" w:color="auto"/>
              <w:right w:val="single" w:sz="4" w:space="0" w:color="auto"/>
            </w:tcBorders>
            <w:vAlign w:val="center"/>
            <w:hideMark/>
          </w:tcPr>
          <w:p w:rsidR="00F468A5" w:rsidRDefault="00F468A5">
            <w:pPr>
              <w:pStyle w:val="Pagrindinistekstas"/>
              <w:jc w:val="center"/>
              <w:rPr>
                <w:szCs w:val="24"/>
              </w:rPr>
            </w:pPr>
            <w:r>
              <w:rPr>
                <w:szCs w:val="24"/>
              </w:rPr>
              <w:t>2702</w:t>
            </w:r>
          </w:p>
        </w:tc>
        <w:tc>
          <w:tcPr>
            <w:tcW w:w="556" w:type="pct"/>
            <w:gridSpan w:val="2"/>
            <w:tcBorders>
              <w:top w:val="single" w:sz="4" w:space="0" w:color="auto"/>
              <w:left w:val="single" w:sz="4" w:space="0" w:color="auto"/>
              <w:bottom w:val="single" w:sz="4" w:space="0" w:color="auto"/>
              <w:right w:val="single" w:sz="4" w:space="0" w:color="auto"/>
            </w:tcBorders>
            <w:vAlign w:val="center"/>
            <w:hideMark/>
          </w:tcPr>
          <w:p w:rsidR="00F468A5" w:rsidRDefault="00F468A5">
            <w:pPr>
              <w:pStyle w:val="Pagrindinistekstas"/>
              <w:jc w:val="center"/>
              <w:rPr>
                <w:szCs w:val="24"/>
              </w:rPr>
            </w:pPr>
            <w:r>
              <w:rPr>
                <w:szCs w:val="24"/>
              </w:rPr>
              <w:t>5899</w:t>
            </w:r>
          </w:p>
        </w:tc>
        <w:tc>
          <w:tcPr>
            <w:tcW w:w="556" w:type="pct"/>
            <w:tcBorders>
              <w:top w:val="single" w:sz="4" w:space="0" w:color="auto"/>
              <w:left w:val="single" w:sz="4" w:space="0" w:color="auto"/>
              <w:bottom w:val="single" w:sz="4" w:space="0" w:color="auto"/>
              <w:right w:val="single" w:sz="4" w:space="0" w:color="auto"/>
            </w:tcBorders>
            <w:vAlign w:val="center"/>
            <w:hideMark/>
          </w:tcPr>
          <w:p w:rsidR="00F468A5" w:rsidRDefault="00F468A5">
            <w:pPr>
              <w:pStyle w:val="Pagrindinistekstas"/>
              <w:jc w:val="center"/>
              <w:rPr>
                <w:szCs w:val="24"/>
              </w:rPr>
            </w:pPr>
            <w:r>
              <w:rPr>
                <w:szCs w:val="24"/>
              </w:rPr>
              <w:t>2198</w:t>
            </w:r>
          </w:p>
        </w:tc>
        <w:tc>
          <w:tcPr>
            <w:tcW w:w="845" w:type="pct"/>
            <w:tcBorders>
              <w:top w:val="single" w:sz="4" w:space="0" w:color="auto"/>
              <w:left w:val="single" w:sz="4" w:space="0" w:color="auto"/>
              <w:bottom w:val="single" w:sz="4" w:space="0" w:color="auto"/>
              <w:right w:val="single" w:sz="4" w:space="0" w:color="auto"/>
            </w:tcBorders>
            <w:vAlign w:val="center"/>
            <w:hideMark/>
          </w:tcPr>
          <w:p w:rsidR="00F468A5" w:rsidRDefault="00F468A5">
            <w:pPr>
              <w:pStyle w:val="Pagrindinistekstas"/>
              <w:jc w:val="center"/>
              <w:rPr>
                <w:szCs w:val="24"/>
              </w:rPr>
            </w:pPr>
            <w:r>
              <w:rPr>
                <w:szCs w:val="24"/>
              </w:rPr>
              <w:t>-54.20</w:t>
            </w:r>
          </w:p>
        </w:tc>
      </w:tr>
      <w:tr w:rsidR="00F468A5" w:rsidTr="00F468A5">
        <w:trPr>
          <w:trHeight w:val="288"/>
        </w:trPr>
        <w:tc>
          <w:tcPr>
            <w:tcW w:w="2487" w:type="pct"/>
            <w:gridSpan w:val="3"/>
            <w:tcBorders>
              <w:top w:val="single" w:sz="4" w:space="0" w:color="auto"/>
              <w:left w:val="single" w:sz="4" w:space="0" w:color="auto"/>
              <w:bottom w:val="single" w:sz="4" w:space="0" w:color="auto"/>
              <w:right w:val="single" w:sz="4" w:space="0" w:color="auto"/>
            </w:tcBorders>
            <w:hideMark/>
          </w:tcPr>
          <w:p w:rsidR="00F468A5" w:rsidRDefault="00F468A5">
            <w:r>
              <w:t>Kitos lėšos (parama, fondai), t. t. ir ES parama</w:t>
            </w:r>
          </w:p>
        </w:tc>
        <w:tc>
          <w:tcPr>
            <w:tcW w:w="556" w:type="pct"/>
            <w:tcBorders>
              <w:top w:val="single" w:sz="4" w:space="0" w:color="auto"/>
              <w:left w:val="single" w:sz="4" w:space="0" w:color="auto"/>
              <w:bottom w:val="single" w:sz="4" w:space="0" w:color="auto"/>
              <w:right w:val="single" w:sz="4" w:space="0" w:color="auto"/>
            </w:tcBorders>
            <w:hideMark/>
          </w:tcPr>
          <w:p w:rsidR="00F468A5" w:rsidRDefault="00F468A5">
            <w:pPr>
              <w:pStyle w:val="Pagrindinistekstas"/>
              <w:jc w:val="center"/>
              <w:rPr>
                <w:szCs w:val="24"/>
              </w:rPr>
            </w:pPr>
            <w:r>
              <w:rPr>
                <w:szCs w:val="24"/>
              </w:rPr>
              <w:t>173334</w:t>
            </w:r>
          </w:p>
        </w:tc>
        <w:tc>
          <w:tcPr>
            <w:tcW w:w="556" w:type="pct"/>
            <w:gridSpan w:val="2"/>
            <w:tcBorders>
              <w:top w:val="single" w:sz="4" w:space="0" w:color="auto"/>
              <w:left w:val="single" w:sz="4" w:space="0" w:color="auto"/>
              <w:bottom w:val="single" w:sz="4" w:space="0" w:color="auto"/>
              <w:right w:val="single" w:sz="4" w:space="0" w:color="auto"/>
            </w:tcBorders>
            <w:hideMark/>
          </w:tcPr>
          <w:p w:rsidR="00F468A5" w:rsidRDefault="00F468A5">
            <w:pPr>
              <w:pStyle w:val="Pagrindinistekstas"/>
              <w:jc w:val="center"/>
              <w:rPr>
                <w:szCs w:val="24"/>
              </w:rPr>
            </w:pPr>
            <w:r>
              <w:rPr>
                <w:szCs w:val="24"/>
              </w:rPr>
              <w:t>90933</w:t>
            </w:r>
          </w:p>
        </w:tc>
        <w:tc>
          <w:tcPr>
            <w:tcW w:w="556" w:type="pct"/>
            <w:tcBorders>
              <w:top w:val="single" w:sz="4" w:space="0" w:color="auto"/>
              <w:left w:val="single" w:sz="4" w:space="0" w:color="auto"/>
              <w:bottom w:val="single" w:sz="4" w:space="0" w:color="auto"/>
              <w:right w:val="single" w:sz="4" w:space="0" w:color="auto"/>
            </w:tcBorders>
            <w:hideMark/>
          </w:tcPr>
          <w:p w:rsidR="00F468A5" w:rsidRDefault="00F468A5">
            <w:pPr>
              <w:pStyle w:val="Pagrindinistekstas"/>
              <w:jc w:val="center"/>
              <w:rPr>
                <w:szCs w:val="24"/>
              </w:rPr>
            </w:pPr>
            <w:r>
              <w:rPr>
                <w:szCs w:val="24"/>
              </w:rPr>
              <w:t>102630</w:t>
            </w:r>
          </w:p>
        </w:tc>
        <w:tc>
          <w:tcPr>
            <w:tcW w:w="845" w:type="pct"/>
            <w:tcBorders>
              <w:top w:val="single" w:sz="4" w:space="0" w:color="auto"/>
              <w:left w:val="single" w:sz="4" w:space="0" w:color="auto"/>
              <w:bottom w:val="single" w:sz="4" w:space="0" w:color="auto"/>
              <w:right w:val="single" w:sz="4" w:space="0" w:color="auto"/>
            </w:tcBorders>
            <w:hideMark/>
          </w:tcPr>
          <w:p w:rsidR="00F468A5" w:rsidRDefault="00F468A5">
            <w:pPr>
              <w:pStyle w:val="Pagrindinistekstas"/>
              <w:jc w:val="center"/>
              <w:rPr>
                <w:szCs w:val="24"/>
              </w:rPr>
            </w:pPr>
            <w:r>
              <w:rPr>
                <w:szCs w:val="24"/>
              </w:rPr>
              <w:t>+90,64</w:t>
            </w:r>
          </w:p>
        </w:tc>
      </w:tr>
      <w:tr w:rsidR="00F468A5" w:rsidTr="00F468A5">
        <w:trPr>
          <w:trHeight w:val="70"/>
        </w:trPr>
        <w:tc>
          <w:tcPr>
            <w:tcW w:w="2487" w:type="pct"/>
            <w:gridSpan w:val="3"/>
            <w:tcBorders>
              <w:top w:val="single" w:sz="4" w:space="0" w:color="auto"/>
              <w:left w:val="single" w:sz="4" w:space="0" w:color="auto"/>
              <w:bottom w:val="single" w:sz="4" w:space="0" w:color="auto"/>
              <w:right w:val="single" w:sz="4" w:space="0" w:color="auto"/>
            </w:tcBorders>
            <w:hideMark/>
          </w:tcPr>
          <w:p w:rsidR="00F468A5" w:rsidRDefault="00F468A5">
            <w:pPr>
              <w:rPr>
                <w:b/>
              </w:rPr>
            </w:pPr>
            <w:r>
              <w:rPr>
                <w:b/>
              </w:rPr>
              <w:t>VISO</w:t>
            </w:r>
          </w:p>
        </w:tc>
        <w:tc>
          <w:tcPr>
            <w:tcW w:w="556" w:type="pct"/>
            <w:tcBorders>
              <w:top w:val="single" w:sz="4" w:space="0" w:color="auto"/>
              <w:left w:val="single" w:sz="4" w:space="0" w:color="auto"/>
              <w:bottom w:val="single" w:sz="4" w:space="0" w:color="auto"/>
              <w:right w:val="single" w:sz="4" w:space="0" w:color="auto"/>
            </w:tcBorders>
            <w:vAlign w:val="center"/>
            <w:hideMark/>
          </w:tcPr>
          <w:p w:rsidR="00F468A5" w:rsidRDefault="00F468A5">
            <w:pPr>
              <w:pStyle w:val="Pagrindinistekstas"/>
              <w:jc w:val="center"/>
              <w:rPr>
                <w:b/>
                <w:szCs w:val="24"/>
              </w:rPr>
            </w:pPr>
            <w:r>
              <w:rPr>
                <w:b/>
                <w:szCs w:val="24"/>
              </w:rPr>
              <w:t>1628036</w:t>
            </w:r>
          </w:p>
        </w:tc>
        <w:tc>
          <w:tcPr>
            <w:tcW w:w="556" w:type="pct"/>
            <w:gridSpan w:val="2"/>
            <w:tcBorders>
              <w:top w:val="single" w:sz="4" w:space="0" w:color="auto"/>
              <w:left w:val="single" w:sz="4" w:space="0" w:color="auto"/>
              <w:bottom w:val="single" w:sz="4" w:space="0" w:color="auto"/>
              <w:right w:val="single" w:sz="4" w:space="0" w:color="auto"/>
            </w:tcBorders>
            <w:vAlign w:val="center"/>
            <w:hideMark/>
          </w:tcPr>
          <w:p w:rsidR="00F468A5" w:rsidRDefault="00F468A5">
            <w:pPr>
              <w:pStyle w:val="Pagrindinistekstas"/>
              <w:jc w:val="center"/>
              <w:rPr>
                <w:b/>
                <w:szCs w:val="24"/>
              </w:rPr>
            </w:pPr>
            <w:r>
              <w:rPr>
                <w:b/>
                <w:szCs w:val="24"/>
              </w:rPr>
              <w:t>1379932</w:t>
            </w:r>
          </w:p>
        </w:tc>
        <w:tc>
          <w:tcPr>
            <w:tcW w:w="556" w:type="pct"/>
            <w:tcBorders>
              <w:top w:val="single" w:sz="4" w:space="0" w:color="auto"/>
              <w:left w:val="single" w:sz="4" w:space="0" w:color="auto"/>
              <w:bottom w:val="single" w:sz="4" w:space="0" w:color="auto"/>
              <w:right w:val="single" w:sz="4" w:space="0" w:color="auto"/>
            </w:tcBorders>
            <w:vAlign w:val="center"/>
            <w:hideMark/>
          </w:tcPr>
          <w:p w:rsidR="00F468A5" w:rsidRDefault="00F468A5">
            <w:pPr>
              <w:pStyle w:val="Pagrindinistekstas"/>
              <w:jc w:val="center"/>
              <w:rPr>
                <w:b/>
                <w:szCs w:val="24"/>
              </w:rPr>
            </w:pPr>
            <w:r>
              <w:rPr>
                <w:b/>
                <w:bCs/>
                <w:szCs w:val="24"/>
              </w:rPr>
              <w:t>1155929</w:t>
            </w:r>
          </w:p>
        </w:tc>
        <w:tc>
          <w:tcPr>
            <w:tcW w:w="845" w:type="pct"/>
            <w:tcBorders>
              <w:top w:val="single" w:sz="4" w:space="0" w:color="auto"/>
              <w:left w:val="single" w:sz="4" w:space="0" w:color="auto"/>
              <w:bottom w:val="single" w:sz="4" w:space="0" w:color="auto"/>
              <w:right w:val="single" w:sz="4" w:space="0" w:color="auto"/>
            </w:tcBorders>
            <w:vAlign w:val="center"/>
            <w:hideMark/>
          </w:tcPr>
          <w:p w:rsidR="00F468A5" w:rsidRDefault="00F468A5">
            <w:pPr>
              <w:pStyle w:val="Pagrindinistekstas"/>
              <w:jc w:val="center"/>
              <w:rPr>
                <w:b/>
                <w:szCs w:val="24"/>
              </w:rPr>
            </w:pPr>
            <w:r>
              <w:rPr>
                <w:b/>
                <w:bCs/>
                <w:szCs w:val="24"/>
              </w:rPr>
              <w:t>+17,98</w:t>
            </w:r>
          </w:p>
        </w:tc>
      </w:tr>
    </w:tbl>
    <w:p w:rsidR="00F468A5" w:rsidRDefault="00F468A5" w:rsidP="00F468A5">
      <w:pPr>
        <w:jc w:val="both"/>
      </w:pPr>
      <w:r>
        <w:rPr>
          <w:b/>
        </w:rPr>
        <w:t xml:space="preserve">2. Įstaigos veiklos rezultatai. 2.1. Įstaigos Misija, tikslai, uždaviniai. </w:t>
      </w:r>
      <w:r>
        <w:t>KSPC</w:t>
      </w:r>
      <w:r>
        <w:rPr>
          <w:b/>
        </w:rPr>
        <w:t xml:space="preserve"> </w:t>
      </w:r>
      <w:r>
        <w:rPr>
          <w:color w:val="000000"/>
        </w:rPr>
        <w:t xml:space="preserve">misija – </w:t>
      </w:r>
      <w:r>
        <w:t>teikti klaipėdiečiams socialines paslaugas, siekiant juos integruoti į bendruomenę ir padedant išvengti socialinės atskirties ir skurdo.</w:t>
      </w:r>
      <w:r>
        <w:rPr>
          <w:color w:val="000000"/>
        </w:rPr>
        <w:t xml:space="preserve"> </w:t>
      </w:r>
      <w:r>
        <w:rPr>
          <w:b/>
        </w:rPr>
        <w:t>Tikslas</w:t>
      </w:r>
      <w:r>
        <w:rPr>
          <w:b/>
          <w:bCs/>
        </w:rPr>
        <w:t xml:space="preserve"> - </w:t>
      </w:r>
      <w:r>
        <w:t xml:space="preserve">didinti visų Klaipėdos miesto bendruomenės narių galimybę gyventi orumo nežeminančiomis sąlygomis ir teikti socialines paslaugas įvairių socialinės rizikos grupių asmenims/šeimoms, neįgaliesiems bei senyvo amžiaus asmenims. Įgyvendindamas šį tikslą KSPC vykdo uždavinius, susijusius su socialinių paslaugų, kurios aprašomos šios ataskaitos 2.3 dalyje,  organizavimu ir teikimu. </w:t>
      </w:r>
      <w:r>
        <w:rPr>
          <w:b/>
        </w:rPr>
        <w:t xml:space="preserve">2.2. 2019 metų strateginio veiklos plano tikslai, uždaviniai, vykdytos programos, priemonės ir jų įgyvendinimo rezultatai. </w:t>
      </w:r>
      <w:r>
        <w:t xml:space="preserve"> Vykdėme Socialinės atskirties mažinimo programą (12) ir 3 ES finansuojamus projektus: „</w:t>
      </w:r>
      <w:r>
        <w:rPr>
          <w:i/>
          <w:iCs/>
        </w:rPr>
        <w:t xml:space="preserve">Integrali pagalba į namus Klaipėdos mieste“; „Matyk kitą kelią“, „Atrask save Lietuvoje“ </w:t>
      </w:r>
      <w:r>
        <w:t xml:space="preserve">ir nacionalinę perkeltų asmenų integracijos programą. Projekte </w:t>
      </w:r>
      <w:r>
        <w:rPr>
          <w:i/>
          <w:iCs/>
        </w:rPr>
        <w:t>„Per savanorystę į geresnę gyvenimo kokybę“</w:t>
      </w:r>
      <w:r>
        <w:t xml:space="preserve"> esame asocijuoti partneriai, atsakingi už savanoriškos veiklos organizavimą. </w:t>
      </w:r>
      <w:r>
        <w:rPr>
          <w:b/>
        </w:rPr>
        <w:t xml:space="preserve">2.3. Suteiktų paslaugų rūšys, kiekybiniai ir kokybiniai teikiamų paslaugų pokyčiai: </w:t>
      </w:r>
      <w:r>
        <w:t xml:space="preserve">Socialinių paslaugų gavėjų skaičius 2016 – 2018 metais pateiktas 1 pav. Socialinių paslaugų gavėjų skaičius 2017 – 2019 metais pateiktas 1 pav. Kaip matyti iš 1 pav. pateiktų duomenų, matome, kad bendras (sąrašinis) socialinių paslaugų gavėjų skaičius padidėjo 141 asm. arba beveik 7 proc., iš jų: bendrųjų socialinių paslaugų gavėjų skaičius padidėjo 131 klientu arba daugiau nei 8 proc.; pagalbos namuose paslaugų gavėjų skaičius padidėjo 4 klientais;  dienos socialinės globos asmens namuose paslaugų gavėjų skaičius padidėjo 14 klientų  arba 17,5 proc. </w:t>
      </w:r>
    </w:p>
    <w:p w:rsidR="00F468A5" w:rsidRDefault="00F468A5" w:rsidP="00F468A5">
      <w:pPr>
        <w:jc w:val="center"/>
        <w:rPr>
          <w:b/>
        </w:rPr>
      </w:pPr>
      <w:r>
        <w:rPr>
          <w:b/>
        </w:rPr>
        <w:t>1 pav. Socialinių paslaugų gavėjų skaičius 2017 – 2019  metais</w:t>
      </w:r>
    </w:p>
    <w:p w:rsidR="00F468A5" w:rsidRDefault="00F468A5" w:rsidP="00F468A5">
      <w:pPr>
        <w:jc w:val="both"/>
      </w:pPr>
      <w:r>
        <w:rPr>
          <w:noProof/>
          <w:lang w:eastAsia="lt-LT"/>
        </w:rPr>
        <w:drawing>
          <wp:inline distT="0" distB="0" distL="0" distR="0">
            <wp:extent cx="6124575" cy="1990725"/>
            <wp:effectExtent l="0" t="0" r="0" b="0"/>
            <wp:docPr id="1" name="Diagrama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F468A5" w:rsidRDefault="00F468A5" w:rsidP="00F468A5">
      <w:pPr>
        <w:jc w:val="both"/>
        <w:rPr>
          <w:i/>
          <w:color w:val="000000"/>
        </w:rPr>
      </w:pPr>
      <w:r>
        <w:rPr>
          <w:b/>
        </w:rPr>
        <w:t>Nemokamai teiktos bendrosios socialinės paslaugos,</w:t>
      </w:r>
      <w:r>
        <w:t xml:space="preserve"> asm./kartai:</w:t>
      </w:r>
      <w:r>
        <w:rPr>
          <w:u w:val="single"/>
        </w:rPr>
        <w:t xml:space="preserve"> </w:t>
      </w:r>
      <w:r>
        <w:rPr>
          <w:i/>
          <w:u w:val="single"/>
        </w:rPr>
        <w:t>Informavimas</w:t>
      </w:r>
      <w:r>
        <w:rPr>
          <w:i/>
        </w:rPr>
        <w:t xml:space="preserve">: </w:t>
      </w:r>
      <w:r>
        <w:t>2018</w:t>
      </w:r>
      <w:r>
        <w:rPr>
          <w:bCs/>
        </w:rPr>
        <w:t>–</w:t>
      </w:r>
      <w:r>
        <w:t>4222/4322,2019–4325/4444;</w:t>
      </w:r>
      <w:r>
        <w:rPr>
          <w:i/>
          <w:u w:val="single"/>
        </w:rPr>
        <w:t>konsultavimas</w:t>
      </w:r>
      <w:r>
        <w:t>:2018</w:t>
      </w:r>
      <w:r>
        <w:rPr>
          <w:bCs/>
        </w:rPr>
        <w:t>–</w:t>
      </w:r>
      <w:r>
        <w:t>82/132,2019–144/111</w:t>
      </w:r>
      <w:r>
        <w:rPr>
          <w:i/>
          <w:u w:val="single"/>
        </w:rPr>
        <w:t>;tarpininkavimas/ atstovavimas</w:t>
      </w:r>
      <w:r>
        <w:t>, asm.: 2018</w:t>
      </w:r>
      <w:r>
        <w:rPr>
          <w:bCs/>
        </w:rPr>
        <w:t>–</w:t>
      </w:r>
      <w:r>
        <w:t xml:space="preserve">232, 2019–246; </w:t>
      </w:r>
      <w:r>
        <w:rPr>
          <w:i/>
          <w:u w:val="single"/>
        </w:rPr>
        <w:t xml:space="preserve">aprūpinimas </w:t>
      </w:r>
      <w:r>
        <w:rPr>
          <w:bCs/>
          <w:i/>
          <w:u w:val="single"/>
        </w:rPr>
        <w:t>techninės pagalbos priemonėmis</w:t>
      </w:r>
      <w:r>
        <w:rPr>
          <w:bCs/>
        </w:rPr>
        <w:t xml:space="preserve"> (toliau – TPP), asm. su negalia /TPP: 2018–1370/1554, 2019–1320/1492, į eilę TPP gauti buvo įrašyta, asm.: 2018-45, 2019–15; </w:t>
      </w:r>
      <w:r>
        <w:rPr>
          <w:i/>
          <w:u w:val="single"/>
        </w:rPr>
        <w:t>sociokultūrinės paslaugos</w:t>
      </w:r>
      <w:r>
        <w:t>, asm.: 2018</w:t>
      </w:r>
      <w:r>
        <w:rPr>
          <w:bCs/>
        </w:rPr>
        <w:t>–</w:t>
      </w:r>
      <w:r>
        <w:t xml:space="preserve">632, 2019– 892; </w:t>
      </w:r>
      <w:r>
        <w:rPr>
          <w:i/>
          <w:u w:val="single"/>
        </w:rPr>
        <w:t>aprūpinimas drabužiais, avalyne, kitais daiktais ir maistu (gavus paramą)</w:t>
      </w:r>
      <w:r>
        <w:rPr>
          <w:bCs/>
        </w:rPr>
        <w:t>, asm.: 2018–786, 2019–824</w:t>
      </w:r>
      <w:r>
        <w:t>;</w:t>
      </w:r>
      <w:r>
        <w:rPr>
          <w:bCs/>
        </w:rPr>
        <w:t xml:space="preserve"> </w:t>
      </w:r>
      <w:r>
        <w:rPr>
          <w:bCs/>
          <w:i/>
          <w:u w:val="single"/>
        </w:rPr>
        <w:t>lydėjimas</w:t>
      </w:r>
      <w:r>
        <w:rPr>
          <w:bCs/>
        </w:rPr>
        <w:t xml:space="preserve">, asm.:2018–78,2019–82, </w:t>
      </w:r>
      <w:r>
        <w:rPr>
          <w:bCs/>
          <w:i/>
          <w:u w:val="single"/>
        </w:rPr>
        <w:t>prieglobstį gavusių užsieniečių integracija</w:t>
      </w:r>
      <w:r>
        <w:rPr>
          <w:bCs/>
        </w:rPr>
        <w:t xml:space="preserve">, asm.: 2018–6, 2019–3. </w:t>
      </w:r>
      <w:r>
        <w:rPr>
          <w:b/>
        </w:rPr>
        <w:t>Nemokamai ir/ar mokamai teiktos bendrosios socialinės paslaugos</w:t>
      </w:r>
      <w:r>
        <w:t xml:space="preserve">: </w:t>
      </w:r>
      <w:r>
        <w:rPr>
          <w:i/>
          <w:u w:val="single"/>
        </w:rPr>
        <w:t>T</w:t>
      </w:r>
      <w:r>
        <w:rPr>
          <w:bCs/>
          <w:i/>
          <w:u w:val="single"/>
        </w:rPr>
        <w:t>ransporto paslaugų organizavimas ir teikimas</w:t>
      </w:r>
      <w:r>
        <w:rPr>
          <w:bCs/>
        </w:rPr>
        <w:t>, asm.:</w:t>
      </w:r>
      <w:r>
        <w:t xml:space="preserve"> 2018</w:t>
      </w:r>
      <w:r>
        <w:rPr>
          <w:bCs/>
        </w:rPr>
        <w:t xml:space="preserve">–244, </w:t>
      </w:r>
      <w:r>
        <w:t xml:space="preserve">2019–272. Patvirtinta transporto paslaugų kaina – 0,33 Eur/km,  faktinė kaina pagal 2019 m. patirtas išlaidas – 0,41 Eur/km.  </w:t>
      </w:r>
      <w:r>
        <w:rPr>
          <w:b/>
          <w:bCs/>
        </w:rPr>
        <w:t>Nemokamai ir/ar iš dalies mokamai teiktos socialinės priežiūros ir dienos socialinės globos paslaugos:</w:t>
      </w:r>
      <w:r>
        <w:rPr>
          <w:bCs/>
        </w:rPr>
        <w:t xml:space="preserve"> </w:t>
      </w:r>
      <w:r>
        <w:rPr>
          <w:i/>
          <w:u w:val="single"/>
        </w:rPr>
        <w:t>Pagalbos į namus</w:t>
      </w:r>
      <w:r>
        <w:t xml:space="preserve"> paslaugos suteiktos (sąrašinis), asm.: 2018</w:t>
      </w:r>
      <w:r>
        <w:rPr>
          <w:bCs/>
        </w:rPr>
        <w:t xml:space="preserve">–343, </w:t>
      </w:r>
      <w:r>
        <w:t>2019–339</w:t>
      </w:r>
      <w:r>
        <w:rPr>
          <w:bCs/>
        </w:rPr>
        <w:t xml:space="preserve">; </w:t>
      </w:r>
      <w:r>
        <w:t>vidutiniškai per mėn. prižiūrėta, asm.: 2018</w:t>
      </w:r>
      <w:r>
        <w:rPr>
          <w:bCs/>
        </w:rPr>
        <w:t xml:space="preserve">–248; </w:t>
      </w:r>
      <w:r>
        <w:t>2017–</w:t>
      </w:r>
      <w:r>
        <w:rPr>
          <w:rStyle w:val="Kursyvas"/>
          <w:i w:val="0"/>
        </w:rPr>
        <w:t>249;</w:t>
      </w:r>
      <w:r>
        <w:t xml:space="preserve"> vienam klientui per mėn. vidutiniškai suteikta pagalbos į namus paslaugų, val.: 2018–20,4; 2019–21,4; vidutinė 1 klientui teiktų paslaugų vertė, Eur/mėn: 2018</w:t>
      </w:r>
      <w:r>
        <w:rPr>
          <w:bCs/>
        </w:rPr>
        <w:t xml:space="preserve">–107,76; </w:t>
      </w:r>
      <w:r>
        <w:t>2019–123,01; vienas klientas už suteiktą pagalbą į namus vidutiniškai mokėjo, Eur/mėn.: 2018</w:t>
      </w:r>
      <w:r>
        <w:rPr>
          <w:bCs/>
        </w:rPr>
        <w:t xml:space="preserve">–18,67; </w:t>
      </w:r>
      <w:r>
        <w:t>2019–25,76; vienas soc. darbuotojo padėjėjas pagalbą į namus teikė vidutiniškai, asm.: 2018</w:t>
      </w:r>
      <w:r>
        <w:rPr>
          <w:bCs/>
        </w:rPr>
        <w:t xml:space="preserve">–6,8, </w:t>
      </w:r>
      <w:r>
        <w:t xml:space="preserve">2019–6,9; eilėje pagalbos į namus paslaugoms metų pabaigoje buvo įrašyta, asm.: </w:t>
      </w:r>
      <w:r>
        <w:rPr>
          <w:i/>
          <w:color w:val="000000"/>
        </w:rPr>
        <w:t>2018</w:t>
      </w:r>
      <w:r>
        <w:rPr>
          <w:bCs/>
          <w:i/>
          <w:color w:val="000000"/>
        </w:rPr>
        <w:t xml:space="preserve">–46, </w:t>
      </w:r>
      <w:r>
        <w:rPr>
          <w:i/>
          <w:color w:val="000000"/>
        </w:rPr>
        <w:t>2019-112</w:t>
      </w:r>
      <w:r>
        <w:rPr>
          <w:color w:val="000000"/>
        </w:rPr>
        <w:t>;</w:t>
      </w:r>
      <w:r>
        <w:rPr>
          <w:color w:val="C00000"/>
        </w:rPr>
        <w:t xml:space="preserve"> </w:t>
      </w:r>
      <w:r>
        <w:t xml:space="preserve">vidutinė laukimo eilėje trukmė, d.: </w:t>
      </w:r>
      <w:r>
        <w:rPr>
          <w:i/>
          <w:color w:val="000000"/>
          <w:u w:val="single"/>
        </w:rPr>
        <w:t>2018</w:t>
      </w:r>
      <w:r>
        <w:rPr>
          <w:bCs/>
          <w:i/>
          <w:color w:val="000000"/>
          <w:u w:val="single"/>
        </w:rPr>
        <w:t xml:space="preserve">–90, </w:t>
      </w:r>
      <w:r>
        <w:rPr>
          <w:i/>
          <w:color w:val="000000"/>
          <w:u w:val="single"/>
        </w:rPr>
        <w:t>2019–147</w:t>
      </w:r>
      <w:r>
        <w:t xml:space="preserve">. Pagalbos į namus patvirtinta kaina – 5,76 Eur/val., faktinė kaina </w:t>
      </w:r>
      <w:r>
        <w:lastRenderedPageBreak/>
        <w:t xml:space="preserve">pagal 2019 m. patirtas išlaidas – 6,98 Eur/val. </w:t>
      </w:r>
      <w:r>
        <w:rPr>
          <w:i/>
          <w:u w:val="single"/>
        </w:rPr>
        <w:t>Dienos socialinės globos asmens namuose paslaugos</w:t>
      </w:r>
      <w:r>
        <w:t xml:space="preserve"> suteiktos (sąrašinis), asm.: 2018</w:t>
      </w:r>
      <w:r>
        <w:rPr>
          <w:bCs/>
        </w:rPr>
        <w:t xml:space="preserve">–80; </w:t>
      </w:r>
      <w:r>
        <w:t>2019–94; vidutiniškai per mėnesį prižiūrėta, asm.: 2018</w:t>
      </w:r>
      <w:r>
        <w:rPr>
          <w:bCs/>
        </w:rPr>
        <w:t xml:space="preserve">–65,33, </w:t>
      </w:r>
      <w:r>
        <w:t>2019–65,58; vienas klientas vidutiniškai per dieną prižiūrėtas 2018 ir 2019</w:t>
      </w:r>
      <w:r>
        <w:rPr>
          <w:bCs/>
        </w:rPr>
        <w:t xml:space="preserve"> po </w:t>
      </w:r>
      <w:r>
        <w:t>3,5 val.</w:t>
      </w:r>
      <w:r>
        <w:rPr>
          <w:bCs/>
        </w:rPr>
        <w:t>;</w:t>
      </w:r>
      <w:r>
        <w:t xml:space="preserve"> eilėje dienos socialinės globos asmens namuose paslaugoms metų pabaigoje buvo įrašyta, asm.: </w:t>
      </w:r>
      <w:r>
        <w:rPr>
          <w:i/>
          <w:color w:val="000000"/>
          <w:u w:val="single"/>
        </w:rPr>
        <w:t>2018</w:t>
      </w:r>
      <w:r>
        <w:rPr>
          <w:bCs/>
          <w:i/>
          <w:color w:val="000000"/>
          <w:u w:val="single"/>
        </w:rPr>
        <w:t xml:space="preserve">–26, </w:t>
      </w:r>
      <w:r>
        <w:rPr>
          <w:i/>
          <w:color w:val="000000"/>
          <w:u w:val="single"/>
        </w:rPr>
        <w:t>2019-13</w:t>
      </w:r>
      <w:r>
        <w:t xml:space="preserve">; o vidutinė laukimo eilėje trukmė, d.: </w:t>
      </w:r>
      <w:r>
        <w:rPr>
          <w:i/>
          <w:color w:val="000000"/>
          <w:u w:val="single"/>
        </w:rPr>
        <w:t>2018</w:t>
      </w:r>
      <w:r>
        <w:rPr>
          <w:bCs/>
          <w:i/>
          <w:color w:val="000000"/>
          <w:u w:val="single"/>
        </w:rPr>
        <w:t>–</w:t>
      </w:r>
      <w:r>
        <w:rPr>
          <w:i/>
          <w:color w:val="000000"/>
          <w:u w:val="single"/>
        </w:rPr>
        <w:t>154,79; 2017–</w:t>
      </w:r>
      <w:r>
        <w:rPr>
          <w:rFonts w:eastAsia="Calibri"/>
          <w:i/>
          <w:iCs/>
          <w:u w:val="single"/>
        </w:rPr>
        <w:t>114,91</w:t>
      </w:r>
      <w:r>
        <w:rPr>
          <w:i/>
          <w:color w:val="000000"/>
          <w:u w:val="single"/>
        </w:rPr>
        <w:t>.</w:t>
      </w:r>
      <w:r>
        <w:rPr>
          <w:i/>
          <w:u w:val="single"/>
        </w:rPr>
        <w:t xml:space="preserve"> </w:t>
      </w:r>
      <w:r>
        <w:rPr>
          <w:iCs/>
        </w:rPr>
        <w:t>Dienos socialinės globos asmens namuose paslaugos</w:t>
      </w:r>
      <w:r>
        <w:rPr>
          <w:i/>
        </w:rPr>
        <w:t xml:space="preserve"> </w:t>
      </w:r>
      <w:r>
        <w:t xml:space="preserve">patvirtinta kaina – </w:t>
      </w:r>
      <w:r>
        <w:rPr>
          <w:color w:val="000000"/>
        </w:rPr>
        <w:t xml:space="preserve">3,47 </w:t>
      </w:r>
      <w:r>
        <w:t>Eur/val. faktinė kaina pagal 2019 m. patirtas išlaidas– 7,65 Eur/val.</w:t>
      </w:r>
    </w:p>
    <w:p w:rsidR="00F468A5" w:rsidRDefault="00F468A5" w:rsidP="00F468A5">
      <w:pPr>
        <w:autoSpaceDE w:val="0"/>
        <w:autoSpaceDN w:val="0"/>
        <w:adjustRightInd w:val="0"/>
        <w:jc w:val="both"/>
        <w:rPr>
          <w:i/>
          <w:color w:val="000000"/>
          <w:u w:val="single"/>
        </w:rPr>
      </w:pPr>
      <w:r>
        <w:rPr>
          <w:b/>
        </w:rPr>
        <w:t>3. Problemos.</w:t>
      </w:r>
      <w:r>
        <w:t xml:space="preserve"> </w:t>
      </w:r>
      <w:r>
        <w:rPr>
          <w:b/>
        </w:rPr>
        <w:t>3.1. Sąlygotos vidaus ir išorės faktorių</w:t>
      </w:r>
      <w:r>
        <w:rPr>
          <w:rStyle w:val="Puslapioinaosnuoroda"/>
          <w:b/>
        </w:rPr>
        <w:footnoteReference w:id="4"/>
      </w:r>
      <w:r>
        <w:rPr>
          <w:b/>
        </w:rPr>
        <w:t>:</w:t>
      </w:r>
      <w:r>
        <w:t xml:space="preserve">. </w:t>
      </w:r>
      <w:r>
        <w:rPr>
          <w:i/>
          <w:iCs/>
          <w:u w:val="single"/>
        </w:rPr>
        <w:t>Įstaigos kreditiniai įsiskolinimai</w:t>
      </w:r>
      <w:r>
        <w:t>, Eur: 2018</w:t>
      </w:r>
      <w:r>
        <w:rPr>
          <w:bCs/>
        </w:rPr>
        <w:t xml:space="preserve">–1924, </w:t>
      </w:r>
      <w:r>
        <w:t>2019–1058</w:t>
      </w:r>
      <w:r>
        <w:rPr>
          <w:color w:val="000000"/>
        </w:rPr>
        <w:t>.</w:t>
      </w:r>
      <w:r>
        <w:t xml:space="preserve"> Kreditinis įsiskolinimas susidarė dėl to, kad kelias sąskaitas paslaugų tiekėjai pateikė tik 2020 m. sausio mėn. </w:t>
      </w:r>
      <w:r>
        <w:rPr>
          <w:i/>
          <w:u w:val="single"/>
        </w:rPr>
        <w:t xml:space="preserve">Socialinių paslaugų, kurias teikia KSPC poreikis </w:t>
      </w:r>
      <w:r>
        <w:rPr>
          <w:rStyle w:val="Kursyvas"/>
          <w:iCs/>
        </w:rPr>
        <w:t>tenkinamas</w:t>
      </w:r>
      <w:r>
        <w:t xml:space="preserve"> </w:t>
      </w:r>
      <w:r>
        <w:rPr>
          <w:i/>
          <w:iCs/>
          <w:u w:val="single"/>
        </w:rPr>
        <w:t>n</w:t>
      </w:r>
      <w:r>
        <w:rPr>
          <w:rStyle w:val="Kursyvas"/>
          <w:u w:val="single"/>
        </w:rPr>
        <w:t xml:space="preserve">epakankamai, nes pagalbos į namus ir dienos socialinės globos paslaugoms yra eilės. Pagalbos į namus paslaugoms eilė išaugo 2,43 karto, o laukimo trukmė – 1,63 karto.  Dienos socialinėms globos paslaugoms </w:t>
      </w:r>
      <w:r>
        <w:rPr>
          <w:i/>
          <w:u w:val="single"/>
        </w:rPr>
        <w:t>laukimo eilė  sumažėjo dvigubai, o laukimo trukmė sumažėjo 1,35 karto</w:t>
      </w:r>
      <w:r>
        <w:rPr>
          <w:rStyle w:val="Puslapioinaosnuoroda"/>
          <w:i/>
          <w:u w:val="single"/>
        </w:rPr>
        <w:footnoteReference w:id="5"/>
      </w:r>
      <w:r>
        <w:rPr>
          <w:rStyle w:val="Kursyvas"/>
          <w:i w:val="0"/>
          <w:iCs/>
          <w:u w:val="single"/>
        </w:rPr>
        <w:t>.</w:t>
      </w:r>
      <w:r>
        <w:rPr>
          <w:rStyle w:val="Kursyvas"/>
          <w:i w:val="0"/>
          <w:iCs/>
        </w:rPr>
        <w:t xml:space="preserve"> Šias problemas galima išspręsti skyrus papildomas individualios priežiūros darbuotojų pareigybes.  </w:t>
      </w:r>
      <w:r>
        <w:t xml:space="preserve">Iš dalies eilių problemą spręsime 2020 m, nes įsteigtos 5 individualios priežiūros pareigybės pagalbos į namus skyriuje ir 2 pareigybės – dienos socialinės globos skyriuje. </w:t>
      </w:r>
      <w:r>
        <w:rPr>
          <w:i/>
          <w:color w:val="000000"/>
          <w:u w:val="single"/>
        </w:rPr>
        <w:t xml:space="preserve">Siūlome skirti KSPC papildomas individualios priežiūros darbuotojų pareigybes. </w:t>
      </w:r>
    </w:p>
    <w:p w:rsidR="00F468A5" w:rsidRDefault="00F468A5" w:rsidP="00F468A5">
      <w:pPr>
        <w:autoSpaceDE w:val="0"/>
        <w:autoSpaceDN w:val="0"/>
        <w:adjustRightInd w:val="0"/>
        <w:jc w:val="both"/>
        <w:rPr>
          <w:rFonts w:eastAsia="Calibri"/>
        </w:rPr>
      </w:pPr>
      <w:r>
        <w:rPr>
          <w:i/>
          <w:color w:val="000000"/>
          <w:u w:val="single"/>
        </w:rPr>
        <w:t>Didėja administracinė našta vadovaujantiems darbuotojams dėl augančio socialinių paslaugų poreikio ir dėl to didėjančio darbuotojų skaičiaus.</w:t>
      </w:r>
      <w:r>
        <w:rPr>
          <w:iCs/>
          <w:color w:val="000000"/>
        </w:rPr>
        <w:t xml:space="preserve"> </w:t>
      </w:r>
      <w:r>
        <w:t>2008 metais, kai įstaiga persikėlė į patalpas, Taikos pr. 76, pareigybių skaičius buvo 70,5, o darbuotojų skaičius 84, o 2019-12-31 pareigybių skaičius – 128,25, o darbuotojų skaičius – 138. Iš vidinių įstaigos resursų 2019-04-01</w:t>
      </w:r>
      <w:r>
        <w:rPr>
          <w:rStyle w:val="Puslapioinaosnuoroda"/>
        </w:rPr>
        <w:footnoteReference w:id="6"/>
      </w:r>
      <w:r>
        <w:t xml:space="preserve"> Socialinės priežiūros paslaugų  ir dienos socialinės globos skyriuose sukūrėme vyr. socialinių darbuotojų, kurie padeda padalinių vadovams administruoti paslaugas ir prižiūrėti socialinių paslaugų kokybę, pareigybes. 2020 m. įsteigta 1 direktoriaus pavaduotojo bendriesiems reikalams administracinę naštą irgi sumažino. </w:t>
      </w:r>
      <w:r>
        <w:rPr>
          <w:i/>
          <w:iCs/>
          <w:u w:val="single"/>
        </w:rPr>
        <w:t xml:space="preserve">Didelė administracinė našta tenka socialiniams darbuotojams, organizuojantiems visų rūšių socialines paslaugas, nes dėl bendruomenės senėjimo, emigracijos  ir kitų socialinių faktorių didėja socialinių paslaugų poreikis. Be bendrosioms socialinėms paslaugoms organizuoti ir teikti nėra patvirtinti normatyvai </w:t>
      </w:r>
      <w:r>
        <w:t xml:space="preserve">Bendrųjų socialinių paslaugų poreikis  auga ir dėl to, kad bendruomenės nariai tampa labiau socialiai atsakingi, skambina Centro vadovams ir socialiniams darbuotojams, į kitas įstaigas ir institucijas, informuoja apie krizines situacijas. Šių situacijų skaičius per kelis metus padidėjo nuo keliolikos atvejų iki keliasdešimt atvejų per metus. Bendrąsias paslaugas  socialines paslaugas administruojančių socialinių darbuotojų pareigybių skaičius keletą metų nedidinamas, nors įstaiga prašė. 0,5 socialinio darbuotojo pareigybė yra neužimta, nes nepakanka iš nacionalinės programos  administravimui skiriamų lėšų pareigybei išlaikyti. Centras pabėgėlių integracijos funkcijos nebevykdys, nes Viešojo pirkimo konkurse, kurį skelbė Pabėgėlių priėmimo centras prie Socialinės apsaugos ir darbo ministerijos, pralaimėjo dėl to, kad pasiūlė integraciją vykdyti Klaipėdoje, o ne visoje Lietuvoje. Siūlymas  integraciją vykdyti ir kitų savivaldybių teritorijose būtų prieštaravęs Vietos savivaldos įstatymui ir Centro nuostatams. Palyginę dienos socialinės globą asmens namuose organizuojančių socialinių darbuotojų darbo krūvius su pagalbą į namus administruojančių socialinių darbuotojų darbo krūviais, galime konstatuoti, kad jie skiriasi daugiau nei 2,5 karto. 2019 metų socialinių paslaugų ataskaitos duomenis Pagalbos namuose skyriaus darbuotojai administravo 58,6 asm. (šeimoms) teikiamas paslaugas ir 11,8 lankomosios priežiūros darbuotojų darbą. Dienos socialinės globos skyriuje vienas socialinis darbuotojas administravo 22 asm. (šeimoms) teikiamas socialines paslaugas  ir 8 lankomosios priežiūros darbuotojų veiklą. Problemą dėl pagalbos į namus paslaugas administruojančių darbuotojų didelio darbo krūvį iš dalies išspręsime 2020 m., nes gavome papildomas socialinių darbuotojų pareigybes pagalbos namuose skyriuje. </w:t>
      </w:r>
      <w:r>
        <w:rPr>
          <w:i/>
          <w:iCs/>
          <w:u w:val="single"/>
        </w:rPr>
        <w:t>Siūlome: kreiptis į Socialinės apasaugos ir darbo ministeriją dėl bendrųjų socialinių paslaugų patvirtinimo ir  pagalbos į namus normatyvų sumažinimo, parengiant analogišką teisės aktą, kaip yra socialinės globos normatyvai; skirti 1,5 socialinio darbuotojo pareigybės bendrosioms paslaugoms administruoti ir 0,5 pareigybės, kuri skirta pabėgėlių integracijai vykdyti ir patvirtinta kaip valstybės biudžeto finansuojama pareigybė, perkelti į pareigybių, finansuojamų iš Savivaldybės biudžeto, sąrašą; p</w:t>
      </w:r>
      <w:r>
        <w:rPr>
          <w:i/>
          <w:color w:val="000000"/>
          <w:u w:val="single"/>
        </w:rPr>
        <w:t>agalbos į namus ir dienos socialinės globos asmens namuose eilės administravimą perkelti į Savivaldybę, tuomet sumažėtų administracinė našta, tenkanti socialiniams darbuotojams.</w:t>
      </w:r>
      <w:r>
        <w:rPr>
          <w:rStyle w:val="Puslapioinaosnuoroda"/>
          <w:i/>
          <w:color w:val="000000"/>
          <w:u w:val="single"/>
        </w:rPr>
        <w:footnoteReference w:id="7"/>
      </w:r>
      <w:r>
        <w:rPr>
          <w:i/>
          <w:color w:val="000000"/>
          <w:u w:val="single"/>
        </w:rPr>
        <w:t xml:space="preserve"> </w:t>
      </w:r>
      <w:r>
        <w:rPr>
          <w:i/>
          <w:color w:val="000000"/>
        </w:rPr>
        <w:t>V</w:t>
      </w:r>
      <w:r>
        <w:t xml:space="preserve">is dar išlieka aktualus administracinių patalpų stokos klausimas, nes yra darbo kabinetų, kuriuose darbuotojai dirba slenkančiu grafiku dėl kompiuterizuotų darbo vietų trūkumo. Suremontavus ir iškėlus darbuotojus į patalpas, Taikos pr. 107 ir įrengus klientų aptarnavimą buvusiame laukiamajame, problemą dėl patalpų stokos išsprendėme tik iš dalies. Centrui skirtos patalpos pastato, Taikos pr.76,  3 aukštų priestato rūsyje, tačiau neskirtos lėšos jų remontui. </w:t>
      </w:r>
      <w:r>
        <w:rPr>
          <w:i/>
          <w:iCs/>
        </w:rPr>
        <w:t>S</w:t>
      </w:r>
      <w:r>
        <w:rPr>
          <w:i/>
          <w:iCs/>
          <w:color w:val="000000"/>
          <w:u w:val="single"/>
        </w:rPr>
        <w:t>i</w:t>
      </w:r>
      <w:r>
        <w:rPr>
          <w:i/>
          <w:color w:val="000000"/>
          <w:u w:val="single"/>
        </w:rPr>
        <w:t>ūlome atlikti visų įstaigų, vykdančių veiklą pastate, Taikos pr. 76, patalpų naudojimo efektyvumo analizę ir patalpų stokos klausimą spręsti šiais alternatyviai būdais:</w:t>
      </w:r>
      <w:r>
        <w:rPr>
          <w:b/>
          <w:bCs/>
          <w:i/>
          <w:color w:val="000000"/>
          <w:u w:val="single"/>
        </w:rPr>
        <w:t xml:space="preserve"> </w:t>
      </w:r>
      <w:r>
        <w:rPr>
          <w:iCs/>
          <w:color w:val="000000"/>
          <w:u w:val="single"/>
        </w:rPr>
        <w:t>1 alternatyva</w:t>
      </w:r>
      <w:r>
        <w:rPr>
          <w:i/>
          <w:color w:val="000000"/>
          <w:u w:val="single"/>
        </w:rPr>
        <w:t xml:space="preserve">: grąžinti patalpas, Taikos pr. 76,  2 aukšte valdyti patikėjimo teise (Klaipėdos miesto tarybos 2011-03-17 sprendimu Nr.T2-55 iki 2018-09-01 buvo perduotos VšĮ Klaipėdos sveikatos priežiūros centrui); </w:t>
      </w:r>
      <w:r>
        <w:rPr>
          <w:iCs/>
          <w:color w:val="000000"/>
          <w:u w:val="single"/>
        </w:rPr>
        <w:t>2 alternatyva</w:t>
      </w:r>
      <w:r>
        <w:rPr>
          <w:i/>
          <w:color w:val="000000"/>
          <w:u w:val="single"/>
        </w:rPr>
        <w:t xml:space="preserve">: antrame aukšte esančias patalpas, kuriuose teikiamos ankstyvosios reabilitacijos paslaugos kūdikiams, perduoti Centrui, kai Klaipėdos vaikų ligoninė perkels konsultacinę polikliniką į naujas patalpas, </w:t>
      </w:r>
      <w:r>
        <w:rPr>
          <w:iCs/>
          <w:color w:val="000000"/>
          <w:u w:val="single"/>
        </w:rPr>
        <w:t>3 alternatyva</w:t>
      </w:r>
      <w:r>
        <w:rPr>
          <w:i/>
          <w:color w:val="000000"/>
          <w:u w:val="single"/>
        </w:rPr>
        <w:t>: perduoti Centrui patalpas, Taikos pr. 103, kurios buvo skirtos Lietuvos Raudonojo Kryžiaus Klaipėdos skyriaus veiklai vykdyti. Šių patalpų organizacija atsisakė 2020 m. pradžioje</w:t>
      </w:r>
      <w:r>
        <w:rPr>
          <w:i/>
          <w:color w:val="000000"/>
        </w:rPr>
        <w:t xml:space="preserve">. </w:t>
      </w:r>
      <w:r>
        <w:rPr>
          <w:rStyle w:val="Kursyvas"/>
          <w:i w:val="0"/>
          <w:iCs/>
        </w:rPr>
        <w:t xml:space="preserve">Centro darbuotojų </w:t>
      </w:r>
      <w:r>
        <w:rPr>
          <w:rStyle w:val="Kursyvas"/>
          <w:iCs/>
          <w:u w:val="single"/>
        </w:rPr>
        <w:t>vidutinis priskaičiuotas</w:t>
      </w:r>
      <w:r>
        <w:rPr>
          <w:rStyle w:val="Kursyvas"/>
          <w:i w:val="0"/>
          <w:iCs/>
        </w:rPr>
        <w:t xml:space="preserve"> darbo užmokestis  2019 m. </w:t>
      </w:r>
      <w:r>
        <w:rPr>
          <w:bCs/>
          <w:iCs/>
          <w:color w:val="000000"/>
        </w:rPr>
        <w:t xml:space="preserve">padidėjo 299 Eur. lyginant su </w:t>
      </w:r>
      <w:r>
        <w:rPr>
          <w:rStyle w:val="Kursyvas"/>
          <w:i w:val="0"/>
          <w:iCs/>
        </w:rPr>
        <w:t>2018 m ir buvo, Eur</w:t>
      </w:r>
      <w:r>
        <w:rPr>
          <w:rStyle w:val="Kursyvas"/>
        </w:rPr>
        <w:t xml:space="preserve">: </w:t>
      </w:r>
      <w:r>
        <w:rPr>
          <w:rStyle w:val="Kursyvas"/>
          <w:u w:val="single"/>
        </w:rPr>
        <w:t>2019</w:t>
      </w:r>
      <w:r>
        <w:rPr>
          <w:rStyle w:val="Kursyvas"/>
          <w:i w:val="0"/>
          <w:iCs/>
          <w:u w:val="single"/>
        </w:rPr>
        <w:t>–</w:t>
      </w:r>
      <w:r>
        <w:rPr>
          <w:i/>
          <w:iCs/>
          <w:noProof/>
          <w:u w:val="single"/>
        </w:rPr>
        <w:t>905,</w:t>
      </w:r>
      <w:r>
        <w:rPr>
          <w:b/>
          <w:bCs/>
          <w:i/>
          <w:iCs/>
          <w:noProof/>
        </w:rPr>
        <w:t xml:space="preserve"> </w:t>
      </w:r>
      <w:r>
        <w:rPr>
          <w:rStyle w:val="Kursyvas"/>
          <w:color w:val="000000"/>
          <w:u w:val="single"/>
        </w:rPr>
        <w:t>2018</w:t>
      </w:r>
      <w:r>
        <w:rPr>
          <w:i/>
          <w:iCs/>
          <w:color w:val="000000"/>
          <w:u w:val="single"/>
        </w:rPr>
        <w:t>–606</w:t>
      </w:r>
      <w:r>
        <w:rPr>
          <w:i/>
          <w:iCs/>
          <w:color w:val="000000"/>
        </w:rPr>
        <w:t>,</w:t>
      </w:r>
      <w:r>
        <w:rPr>
          <w:i/>
          <w:iCs/>
        </w:rPr>
        <w:t xml:space="preserve"> </w:t>
      </w:r>
      <w:r>
        <w:rPr>
          <w:rStyle w:val="Kursyvas"/>
          <w:i w:val="0"/>
          <w:iCs/>
        </w:rPr>
        <w:t>2017–502,</w:t>
      </w:r>
      <w:r>
        <w:t xml:space="preserve"> individualios priežiūros darbuotojų </w:t>
      </w:r>
      <w:r>
        <w:rPr>
          <w:rStyle w:val="Kursyvas"/>
          <w:iCs/>
          <w:u w:val="single"/>
        </w:rPr>
        <w:t>vidutinis priskaičiuotas</w:t>
      </w:r>
      <w:r>
        <w:rPr>
          <w:rStyle w:val="Kursyvas"/>
          <w:i w:val="0"/>
          <w:iCs/>
        </w:rPr>
        <w:t xml:space="preserve"> darbo užmokestis padidėjo </w:t>
      </w:r>
      <w:r>
        <w:rPr>
          <w:noProof/>
        </w:rPr>
        <w:t>257</w:t>
      </w:r>
      <w:r>
        <w:rPr>
          <w:rStyle w:val="Kursyvas"/>
          <w:iCs/>
          <w:u w:val="single"/>
        </w:rPr>
        <w:t xml:space="preserve"> Eur</w:t>
      </w:r>
      <w:r>
        <w:rPr>
          <w:rStyle w:val="Kursyvas"/>
          <w:i w:val="0"/>
          <w:iCs/>
        </w:rPr>
        <w:t xml:space="preserve"> ir buvo, Eur</w:t>
      </w:r>
      <w:r>
        <w:t xml:space="preserve">: </w:t>
      </w:r>
      <w:r>
        <w:rPr>
          <w:i/>
          <w:iCs/>
          <w:u w:val="single"/>
        </w:rPr>
        <w:t>2019–</w:t>
      </w:r>
      <w:r>
        <w:rPr>
          <w:i/>
          <w:iCs/>
          <w:noProof/>
          <w:u w:val="single"/>
        </w:rPr>
        <w:t xml:space="preserve">759, </w:t>
      </w:r>
      <w:r>
        <w:rPr>
          <w:i/>
          <w:iCs/>
          <w:color w:val="000000"/>
          <w:u w:val="single"/>
        </w:rPr>
        <w:t>2018–</w:t>
      </w:r>
      <w:r>
        <w:rPr>
          <w:i/>
          <w:color w:val="000000"/>
          <w:u w:val="single"/>
        </w:rPr>
        <w:t>502</w:t>
      </w:r>
      <w:r>
        <w:rPr>
          <w:color w:val="000000"/>
          <w:u w:val="single"/>
        </w:rPr>
        <w:t>,</w:t>
      </w:r>
      <w:r>
        <w:t xml:space="preserve"> 2017–421.</w:t>
      </w:r>
      <w:r>
        <w:rPr>
          <w:rStyle w:val="Kursyvas"/>
          <w:i w:val="0"/>
          <w:iCs/>
        </w:rPr>
        <w:t xml:space="preserve"> Taigi didėjant darbuotojų darbo užmokesčiui, matome, kad mažėja savanoriška darbuotojų kaita, proc.: 2019–5,4; 2018</w:t>
      </w:r>
      <w:r>
        <w:t xml:space="preserve">–15,8, </w:t>
      </w:r>
      <w:r>
        <w:rPr>
          <w:rStyle w:val="Kursyvas"/>
          <w:i w:val="0"/>
          <w:iCs/>
        </w:rPr>
        <w:t>2017–12,4. Darbuotojų sergamumas 2019 m. sumažėjo 1464 d. d.: 2019 m. – 3356, 2018–4820, tačiau pagalbos į namus skyriuje segamumas dėl didelio vyresnio amžiaus darbuotojų skaičiaus 2019 m. padidėjo 60 d. d.: 2019 –1709, 2018 –1649. 4 patalpose (3 darbo kabinetai ir 1 pasitarimo kambarys)  įrengėme oro kondicionierius, todėl tikimės, kad vasaros metu darbo sąlygos 9 darbuotojams darbo sąlygos pagerės. Centro kompiuterinė ir programinė įranga iš dalies atnaujinta 2016–2017 m., o 2019 m. lėšos neskirtos. Centro patalpos ir pastato, Taikos pr.76 prieigos iš ES lėšų iš dalies</w:t>
      </w:r>
      <w:r>
        <w:rPr>
          <w:rStyle w:val="Puslapioinaosnuoroda"/>
          <w:iCs/>
        </w:rPr>
        <w:footnoteReference w:id="8"/>
      </w:r>
      <w:r>
        <w:rPr>
          <w:rStyle w:val="Kursyvas"/>
          <w:i w:val="0"/>
          <w:iCs/>
        </w:rPr>
        <w:t xml:space="preserve"> pritaikėme pagal universalaus dizaino principus </w:t>
      </w:r>
      <w:r>
        <w:rPr>
          <w:b/>
        </w:rPr>
        <w:t xml:space="preserve">3.2. Atlikti patikrinimai kontroliuojančių institucijų ar vidaus audito. Išvadų apibendrinimas ir įvykdymo priemonės. </w:t>
      </w:r>
      <w:r>
        <w:rPr>
          <w:color w:val="000000"/>
        </w:rPr>
        <w:t xml:space="preserve">STT nutraukė tyrimą prieš Centro direktorę 2019-04 pradžioje. </w:t>
      </w:r>
      <w:r>
        <w:rPr>
          <w:i/>
          <w:iCs/>
          <w:color w:val="000000"/>
        </w:rPr>
        <w:t>Pažeidimų nenustatyta</w:t>
      </w:r>
      <w:r>
        <w:rPr>
          <w:b/>
          <w:bCs/>
          <w:color w:val="000000"/>
        </w:rPr>
        <w:t>.</w:t>
      </w:r>
      <w:r>
        <w:rPr>
          <w:color w:val="000000"/>
        </w:rPr>
        <w:t xml:space="preserve"> Centras laimėjo visų lygmenų teismus prieš Centro darbuotoją „Dėl neteisėto atleidimo“. </w:t>
      </w:r>
      <w:r>
        <w:rPr>
          <w:i/>
          <w:iCs/>
          <w:color w:val="000000"/>
        </w:rPr>
        <w:t>Pažeidimų nenustatyta.</w:t>
      </w:r>
      <w:r>
        <w:rPr>
          <w:color w:val="000000"/>
        </w:rPr>
        <w:t xml:space="preserve"> Klaipėdiečio ieškinys dėl šmeižto atmestas Klaipėdos apylinkės teismo nutartimi. </w:t>
      </w:r>
      <w:r>
        <w:rPr>
          <w:i/>
          <w:iCs/>
          <w:color w:val="000000"/>
        </w:rPr>
        <w:t>Pažeidimų nenustatyta.</w:t>
      </w:r>
      <w:r>
        <w:rPr>
          <w:color w:val="000000"/>
        </w:rPr>
        <w:t xml:space="preserve"> </w:t>
      </w:r>
      <w:r>
        <w:t xml:space="preserve">Klaipėdos miesto savivaldybės mero 2019-11-05 potvarkiu Nr. M-72 sudaryta tarnybinio patikrinimo komisija, komisijos išvados pateiktos 2020-03-13. Tyrimas </w:t>
      </w:r>
      <w:r>
        <w:rPr>
          <w:rFonts w:eastAsia="Calibri"/>
        </w:rPr>
        <w:t>dėl galimai netinkamo pareigų atlikimo bei galimai aplaidaus darbo</w:t>
      </w:r>
      <w:r>
        <w:t xml:space="preserve"> užbaigtas</w:t>
      </w:r>
      <w:r>
        <w:rPr>
          <w:rFonts w:eastAsia="Calibri"/>
        </w:rPr>
        <w:t xml:space="preserve">. Išvada </w:t>
      </w:r>
      <w:r>
        <w:rPr>
          <w:rFonts w:eastAsia="Calibri"/>
        </w:rPr>
        <w:softHyphen/>
      </w:r>
      <w:r>
        <w:rPr>
          <w:rFonts w:eastAsia="Calibri"/>
        </w:rPr>
        <w:softHyphen/>
        <w:t xml:space="preserve">– </w:t>
      </w:r>
      <w:r>
        <w:rPr>
          <w:rFonts w:eastAsia="Calibri"/>
          <w:i/>
          <w:iCs/>
        </w:rPr>
        <w:t>darbo pareigų pažeidimo nepadarė</w:t>
      </w:r>
      <w:r>
        <w:t xml:space="preserve">. </w:t>
      </w:r>
      <w:r>
        <w:rPr>
          <w:rFonts w:eastAsia="Calibri"/>
        </w:rPr>
        <w:t>Komisija, sudaryta Klaipėdos Mero potvarkiu tęsia tarnybinį patikrinimą dalyje dėl direktorės, galimai padarytos korupcinio pobūdžio veikos, ir parengs išvadą, gavus Centralizuoto vidaus audito skyriaus atlikto audito ataskaitą.</w:t>
      </w:r>
      <w:r>
        <w:rPr>
          <w:b/>
        </w:rPr>
        <w:t xml:space="preserve"> </w:t>
      </w:r>
    </w:p>
    <w:p w:rsidR="00F468A5" w:rsidRDefault="00F468A5" w:rsidP="00F468A5">
      <w:pPr>
        <w:pStyle w:val="Puslapioinaostekstas"/>
        <w:jc w:val="both"/>
        <w:rPr>
          <w:i/>
          <w:color w:val="000000"/>
          <w:sz w:val="24"/>
          <w:szCs w:val="24"/>
          <w:lang w:val="lt-LT"/>
        </w:rPr>
      </w:pPr>
      <w:r>
        <w:rPr>
          <w:b/>
          <w:sz w:val="24"/>
          <w:szCs w:val="24"/>
          <w:lang w:val="lt-LT"/>
        </w:rPr>
        <w:t>4. Vadovo indėlis tobulinant įstaigos administravimą</w:t>
      </w:r>
      <w:r>
        <w:rPr>
          <w:sz w:val="24"/>
          <w:szCs w:val="24"/>
          <w:lang w:val="lt-LT"/>
        </w:rPr>
        <w:t xml:space="preserve">. </w:t>
      </w:r>
      <w:r>
        <w:rPr>
          <w:b/>
          <w:sz w:val="24"/>
          <w:szCs w:val="24"/>
          <w:lang w:val="lt-LT"/>
        </w:rPr>
        <w:t>4.1. Personalo valdymo, vidinių ir išorinių  resursų paieškos rezultatai</w:t>
      </w:r>
      <w:r>
        <w:rPr>
          <w:sz w:val="24"/>
          <w:szCs w:val="24"/>
          <w:lang w:val="lt-LT"/>
        </w:rPr>
        <w:t xml:space="preserve">: kartu su 2 partneriais 2019 m. buvo įgyvendinami iš dalies ES finansuojami projektai </w:t>
      </w:r>
      <w:r>
        <w:rPr>
          <w:color w:val="000000"/>
          <w:sz w:val="24"/>
          <w:szCs w:val="24"/>
          <w:lang w:val="lt-LT"/>
        </w:rPr>
        <w:t xml:space="preserve">„Integrali pagalba į namus Klaipėdos mieste“ ir „Mano socialinė atsakomybė“, </w:t>
      </w:r>
      <w:r>
        <w:rPr>
          <w:sz w:val="24"/>
          <w:szCs w:val="24"/>
          <w:lang w:val="lt-LT"/>
        </w:rPr>
        <w:t xml:space="preserve">vykdoma iš Ukrainos ir Rusijos Federacijos </w:t>
      </w:r>
      <w:r>
        <w:rPr>
          <w:color w:val="000000"/>
          <w:sz w:val="24"/>
          <w:szCs w:val="24"/>
          <w:lang w:val="lt-LT"/>
        </w:rPr>
        <w:t xml:space="preserve">perkeltų asmenų integracija, finansuojama iš nacionalinės integracijos programos lėšų. Pritraukta parama iš privačių rėmėjų (lėšomis ir daiktais) yra </w:t>
      </w:r>
      <w:r>
        <w:rPr>
          <w:b/>
          <w:bCs/>
          <w:sz w:val="24"/>
          <w:szCs w:val="24"/>
          <w:lang w:val="lt-LT"/>
        </w:rPr>
        <w:t>19489</w:t>
      </w:r>
      <w:r>
        <w:rPr>
          <w:sz w:val="24"/>
          <w:szCs w:val="24"/>
          <w:lang w:val="lt-LT"/>
        </w:rPr>
        <w:t xml:space="preserve"> </w:t>
      </w:r>
      <w:r>
        <w:rPr>
          <w:color w:val="000000"/>
          <w:sz w:val="24"/>
          <w:szCs w:val="24"/>
          <w:lang w:val="lt-LT"/>
        </w:rPr>
        <w:t xml:space="preserve">Eur </w:t>
      </w:r>
      <w:r>
        <w:rPr>
          <w:rStyle w:val="Kursyvas"/>
          <w:i w:val="0"/>
          <w:iCs/>
          <w:szCs w:val="24"/>
          <w:lang w:val="lt-LT"/>
        </w:rPr>
        <w:t xml:space="preserve">sudarė galimybę praplėsti socialines paslaugas klientams (aprūpinimo drabužiais, avalyne, kitais daiktais ir maistu paslaugas), organizuoti įvairius sociokultūrinius, socioedukacinius renginius (mokymus) klientams, jų šeimos nariams ir darbuotojams. </w:t>
      </w:r>
      <w:r>
        <w:rPr>
          <w:sz w:val="24"/>
          <w:szCs w:val="24"/>
          <w:lang w:val="lt-LT"/>
        </w:rPr>
        <w:t xml:space="preserve">Įstaigoje buvo ir yra skatinamas komandinis darbas, aptarnaujant klientus, kuriant ir tobulinant teikiamų socialinių paslaugų tvarkų aprašus, organizuojant sociokultūrinius, socoedukacinius ir socialinės ataskomybės ir renginius, sudarytos sąlygos dirbti neįgaliesiems, pensinio amžiaus ir kitiems darbuotojams, taikant jiems lanksčias darbo sąlygas, skatinama socialinė partnerystė ir atsakomybė: darbuotojai  savanoriškai dalyvavo akcijoje „Būk pirmūnas“, „Blusų turguje“, organizuoti susitikimai su darbuotojų grupėmis/padaliniais, 2 apskrito stalo diskusijos, deramasi su Darbo taryba ir Jungtine respublikine profesine sąjunga, darbuotojams sudarytos sąlygos tobulinti kompetencijas (vienas darbuotojas kompetencijas vidutiniškai </w:t>
      </w:r>
      <w:r>
        <w:rPr>
          <w:color w:val="000000"/>
          <w:sz w:val="24"/>
          <w:szCs w:val="24"/>
          <w:lang w:val="lt-LT"/>
        </w:rPr>
        <w:t>tobulino 68,9 val, už 167,6</w:t>
      </w:r>
      <w:r>
        <w:rPr>
          <w:b/>
          <w:color w:val="C00000"/>
          <w:sz w:val="24"/>
          <w:szCs w:val="24"/>
          <w:lang w:val="lt-LT"/>
        </w:rPr>
        <w:t xml:space="preserve"> </w:t>
      </w:r>
      <w:r>
        <w:rPr>
          <w:sz w:val="24"/>
          <w:szCs w:val="24"/>
          <w:lang w:val="lt-LT"/>
        </w:rPr>
        <w:t xml:space="preserve">Eur, iš jų savarankiškai už vidutiniškai 14,4 Eur ), taikytos ir kitos darbuotojų </w:t>
      </w:r>
      <w:r>
        <w:rPr>
          <w:rStyle w:val="Kursyvas"/>
          <w:i w:val="0"/>
          <w:iCs/>
          <w:szCs w:val="24"/>
          <w:lang w:val="lt-LT"/>
        </w:rPr>
        <w:t>motyvaciją didinančios priemonės: sudarytos sąlygos studijuoti ir įgyti reikalingą profesiją, organizuoti Metų darbuotojo rinkimai, socioedukacinė ekskursija į Renavo dvarą, kalėdinis edukacinis renginys; išvykos į spektaklius ir kitus renginius darbuotojai, darbuotojai pagerbti asmeninių švenčių proga</w:t>
      </w:r>
      <w:r>
        <w:rPr>
          <w:sz w:val="24"/>
          <w:szCs w:val="24"/>
          <w:lang w:val="lt-LT"/>
        </w:rPr>
        <w:t>.</w:t>
      </w:r>
      <w:r>
        <w:rPr>
          <w:rStyle w:val="Kursyvas"/>
          <w:i w:val="0"/>
          <w:iCs/>
          <w:szCs w:val="24"/>
          <w:lang w:val="lt-LT"/>
        </w:rPr>
        <w:t xml:space="preserve"> Darbuotojai buvo skatinami materialiai, skiriant ir mokant priemokas ir premijas.  </w:t>
      </w:r>
      <w:r>
        <w:rPr>
          <w:b/>
          <w:sz w:val="24"/>
          <w:szCs w:val="24"/>
          <w:lang w:val="lt-LT"/>
        </w:rPr>
        <w:t>4.2. Įstaigos įvaizdžio gerinimo priemonės:</w:t>
      </w:r>
      <w:r>
        <w:rPr>
          <w:sz w:val="24"/>
          <w:szCs w:val="24"/>
          <w:lang w:val="lt-LT"/>
        </w:rPr>
        <w:t xml:space="preserve"> dalyvauta ir/ar kartu su partneriais organizuoti įvairūs renginiai Lietuvoje ir užsienyje</w:t>
      </w:r>
      <w:r>
        <w:rPr>
          <w:rStyle w:val="Kursyvas"/>
          <w:i w:val="0"/>
          <w:iCs/>
          <w:szCs w:val="24"/>
          <w:lang w:val="lt-LT"/>
        </w:rPr>
        <w:t>, iš jų</w:t>
      </w:r>
      <w:r>
        <w:rPr>
          <w:sz w:val="24"/>
          <w:szCs w:val="24"/>
          <w:lang w:val="lt-LT"/>
        </w:rPr>
        <w:t xml:space="preserve"> 7 tarptautiniai: 3 projekto „Matyk kitą kelią“ renginiai ir 2 gerosios patirties dalijimosi vizitai (Latvija, Lenkija ), 1 kolegų gerosios patirties mainų vizitas  ir 1 seminaras apie įtraukiają  sąveiką, dalyvaujant dalyviams ir/ar lektoriams iš Rusijos federacijos Klaipėdos regione. Darbuotojams organizuoti </w:t>
      </w:r>
      <w:r>
        <w:rPr>
          <w:rStyle w:val="Kursyvas"/>
          <w:i w:val="0"/>
          <w:iCs/>
          <w:szCs w:val="24"/>
          <w:lang w:val="lt-LT"/>
        </w:rPr>
        <w:t xml:space="preserve">2 gerosios patirties mainų vizitai Lietuvoje: 1 į Aknystos socialinės globos namus ir  1 į Kauno rajono ir Jurbarko socialinių paslaugų įstaigas. </w:t>
      </w:r>
      <w:r>
        <w:rPr>
          <w:sz w:val="24"/>
          <w:szCs w:val="24"/>
          <w:lang w:val="lt-LT"/>
        </w:rPr>
        <w:t>Direktorė ir socialiniai darbuotojai skaitė pranešimus apie įstaigos veiklą anksčiau minėtose ir kituose renginiuose Lietuvoje ir užsienyje. Centro</w:t>
      </w:r>
      <w:r>
        <w:rPr>
          <w:b/>
          <w:sz w:val="24"/>
          <w:szCs w:val="24"/>
          <w:lang w:val="lt-LT"/>
        </w:rPr>
        <w:t xml:space="preserve"> </w:t>
      </w:r>
      <w:r>
        <w:rPr>
          <w:color w:val="000000"/>
          <w:sz w:val="24"/>
          <w:szCs w:val="24"/>
          <w:lang w:val="lt-LT"/>
        </w:rPr>
        <w:t xml:space="preserve">veikla viešinta: internetinėje svetainėje įstaigos internetinėje svetainėje </w:t>
      </w:r>
      <w:hyperlink r:id="rId8" w:history="1">
        <w:r>
          <w:rPr>
            <w:rStyle w:val="Hipersaitas"/>
            <w:sz w:val="24"/>
            <w:szCs w:val="24"/>
            <w:lang w:val="lt-LT"/>
          </w:rPr>
          <w:t>www.klaipedaspc.lt</w:t>
        </w:r>
      </w:hyperlink>
      <w:r>
        <w:rPr>
          <w:color w:val="000000"/>
          <w:sz w:val="24"/>
          <w:szCs w:val="24"/>
          <w:lang w:val="lt-LT"/>
        </w:rPr>
        <w:t xml:space="preserve"> – 59 informaciniai pranešimai; veidaknygėje (Facebook) – 184 informaciniai  pranešimai; žiniasklaidoje publikuoti 24 straipsniai/skelbimai, kuriuose buvo pateikiama informacija apie Centro teikiamas paslaugas, sveikinimai Centro klientams, darbuotojams ir bendruomenei; </w:t>
      </w:r>
      <w:r>
        <w:rPr>
          <w:sz w:val="24"/>
          <w:szCs w:val="24"/>
          <w:lang w:val="lt-LT"/>
        </w:rPr>
        <w:t xml:space="preserve">Centro organizuotoje metinėje praktinėje konferencijoje „Susitelkti vardan žmogaus, vardan bendruomenės“ ir kartu su socialinias partbneriais organizuotoje konferencijoje (seminare) „Perdegimo sindromo prevencija: matyk kitą kelią“; </w:t>
      </w:r>
      <w:r>
        <w:rPr>
          <w:color w:val="000000"/>
          <w:sz w:val="24"/>
          <w:szCs w:val="24"/>
          <w:lang w:val="lt-LT"/>
        </w:rPr>
        <w:t>E. Galvanausko profesinio mokymo centre, įvairiose apskrito stalo diskusijose, kitose renginiuose. Centras bendradarbiavo su  55 organizacijomis, iš jų 38 Lietuvos ir 17 kitų šalių.</w:t>
      </w:r>
    </w:p>
    <w:p w:rsidR="00F468A5" w:rsidRDefault="00F468A5" w:rsidP="00F468A5">
      <w:pPr>
        <w:jc w:val="both"/>
      </w:pPr>
    </w:p>
    <w:p w:rsidR="00F468A5" w:rsidRDefault="00F468A5" w:rsidP="00F468A5">
      <w:pPr>
        <w:jc w:val="both"/>
      </w:pPr>
    </w:p>
    <w:p w:rsidR="00F468A5" w:rsidRDefault="00F468A5" w:rsidP="00F468A5">
      <w:pPr>
        <w:jc w:val="both"/>
      </w:pPr>
      <w:r>
        <w:t>Direktorė</w:t>
      </w:r>
      <w:r>
        <w:tab/>
        <w:t xml:space="preserve">    </w:t>
      </w:r>
      <w:r>
        <w:tab/>
      </w:r>
      <w:r>
        <w:tab/>
      </w:r>
      <w:r>
        <w:tab/>
      </w:r>
      <w:r>
        <w:tab/>
      </w:r>
      <w:r>
        <w:tab/>
        <w:t>Diana Stankaitienė</w:t>
      </w:r>
    </w:p>
    <w:p w:rsidR="00D57F27" w:rsidRPr="00832CC9" w:rsidRDefault="00D57F27" w:rsidP="00F468A5">
      <w:pPr>
        <w:ind w:firstLine="709"/>
        <w:jc w:val="both"/>
      </w:pPr>
    </w:p>
    <w:sectPr w:rsidR="00D57F27" w:rsidRPr="00832CC9" w:rsidSect="00D57F27">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 w:id="1">
    <w:p w:rsidR="00F468A5" w:rsidRDefault="00F468A5" w:rsidP="00F468A5">
      <w:pPr>
        <w:pStyle w:val="Puslapioinaostekstas"/>
        <w:jc w:val="both"/>
        <w:rPr>
          <w:sz w:val="12"/>
          <w:szCs w:val="12"/>
          <w:lang w:val="lt-LT"/>
        </w:rPr>
      </w:pPr>
      <w:r>
        <w:rPr>
          <w:rStyle w:val="Puslapioinaosnuoroda"/>
          <w:color w:val="C00000"/>
          <w:sz w:val="12"/>
          <w:szCs w:val="12"/>
        </w:rPr>
        <w:footnoteRef/>
      </w:r>
      <w:r>
        <w:rPr>
          <w:color w:val="C00000"/>
          <w:sz w:val="12"/>
          <w:szCs w:val="12"/>
        </w:rPr>
        <w:t xml:space="preserve"> </w:t>
      </w:r>
      <w:r>
        <w:rPr>
          <w:color w:val="C00000"/>
          <w:sz w:val="12"/>
          <w:szCs w:val="12"/>
          <w:lang w:val="lt-LT"/>
        </w:rPr>
        <w:t>Šios</w:t>
      </w:r>
      <w:r>
        <w:rPr>
          <w:color w:val="C00000"/>
          <w:sz w:val="12"/>
          <w:szCs w:val="12"/>
        </w:rPr>
        <w:t xml:space="preserve"> </w:t>
      </w:r>
      <w:r>
        <w:rPr>
          <w:color w:val="C00000"/>
          <w:sz w:val="12"/>
          <w:szCs w:val="12"/>
          <w:lang w:val="lt-LT"/>
        </w:rPr>
        <w:t>2 pareigybės įeina į 102 pareigybes.</w:t>
      </w:r>
    </w:p>
  </w:footnote>
  <w:footnote w:id="2">
    <w:p w:rsidR="00F468A5" w:rsidRDefault="00F468A5" w:rsidP="00F468A5">
      <w:pPr>
        <w:pStyle w:val="Puslapioinaostekstas"/>
        <w:jc w:val="both"/>
        <w:rPr>
          <w:sz w:val="12"/>
          <w:szCs w:val="12"/>
          <w:lang w:val="lt-LT"/>
        </w:rPr>
      </w:pPr>
      <w:r>
        <w:rPr>
          <w:rStyle w:val="Puslapioinaosnuoroda"/>
          <w:color w:val="C00000"/>
          <w:sz w:val="12"/>
          <w:szCs w:val="12"/>
        </w:rPr>
        <w:footnoteRef/>
      </w:r>
      <w:r>
        <w:rPr>
          <w:color w:val="C00000"/>
          <w:sz w:val="12"/>
          <w:szCs w:val="12"/>
        </w:rPr>
        <w:t xml:space="preserve"> </w:t>
      </w:r>
      <w:r>
        <w:rPr>
          <w:color w:val="C00000"/>
          <w:sz w:val="12"/>
          <w:szCs w:val="12"/>
          <w:lang w:val="lt-LT"/>
        </w:rPr>
        <w:t>Makimalus pareigybių skaičius.</w:t>
      </w:r>
    </w:p>
  </w:footnote>
  <w:footnote w:id="3">
    <w:p w:rsidR="00F468A5" w:rsidRDefault="00F468A5" w:rsidP="00F468A5">
      <w:pPr>
        <w:jc w:val="both"/>
        <w:rPr>
          <w:color w:val="C00000"/>
          <w:sz w:val="12"/>
          <w:szCs w:val="12"/>
        </w:rPr>
      </w:pPr>
      <w:r>
        <w:rPr>
          <w:rStyle w:val="Puslapioinaosnuoroda"/>
          <w:color w:val="C00000"/>
          <w:sz w:val="12"/>
          <w:szCs w:val="12"/>
        </w:rPr>
        <w:footnoteRef/>
      </w:r>
      <w:r>
        <w:rPr>
          <w:bCs/>
          <w:color w:val="C00000"/>
          <w:sz w:val="12"/>
          <w:szCs w:val="12"/>
        </w:rPr>
        <w:t xml:space="preserve"> LR socialinės apsaugos ir darbo ministro 2017-08-24 įsakyme  </w:t>
      </w:r>
      <w:r>
        <w:rPr>
          <w:color w:val="C00000"/>
          <w:sz w:val="12"/>
          <w:szCs w:val="12"/>
        </w:rPr>
        <w:t>Nr. A1-448</w:t>
      </w:r>
      <w:r>
        <w:rPr>
          <w:bCs/>
          <w:color w:val="C00000"/>
          <w:sz w:val="12"/>
          <w:szCs w:val="12"/>
        </w:rPr>
        <w:t xml:space="preserve"> „Dėl pagalbos į namus paslaugų organizavimo ir teikimo rekomendacijų patvirtinimo“ </w:t>
      </w:r>
    </w:p>
    <w:p w:rsidR="00F468A5" w:rsidRDefault="00F468A5" w:rsidP="00F468A5">
      <w:pPr>
        <w:pStyle w:val="Puslapioinaostekstas"/>
        <w:rPr>
          <w:sz w:val="12"/>
          <w:szCs w:val="12"/>
          <w:lang w:val="lt-LT"/>
        </w:rPr>
      </w:pPr>
    </w:p>
  </w:footnote>
  <w:footnote w:id="4">
    <w:p w:rsidR="00F468A5" w:rsidRDefault="00F468A5" w:rsidP="00F468A5">
      <w:pPr>
        <w:pStyle w:val="Puslapioinaostekstas"/>
        <w:rPr>
          <w:color w:val="C00000"/>
          <w:sz w:val="12"/>
          <w:szCs w:val="12"/>
          <w:lang w:val="lt-LT"/>
        </w:rPr>
      </w:pPr>
      <w:r>
        <w:rPr>
          <w:rStyle w:val="Puslapioinaosnuoroda"/>
          <w:color w:val="C00000"/>
          <w:sz w:val="12"/>
          <w:szCs w:val="12"/>
        </w:rPr>
        <w:footnoteRef/>
      </w:r>
      <w:r>
        <w:rPr>
          <w:color w:val="C00000"/>
          <w:sz w:val="12"/>
          <w:szCs w:val="12"/>
        </w:rPr>
        <w:t xml:space="preserve"> </w:t>
      </w:r>
      <w:r>
        <w:rPr>
          <w:color w:val="C00000"/>
          <w:sz w:val="12"/>
          <w:szCs w:val="12"/>
          <w:lang w:val="lt-LT"/>
        </w:rPr>
        <w:t>Problemos pateikiamos su siūlymais kaip jas spręsti.</w:t>
      </w:r>
    </w:p>
  </w:footnote>
  <w:footnote w:id="5">
    <w:p w:rsidR="00F468A5" w:rsidRDefault="00F468A5" w:rsidP="00F468A5">
      <w:pPr>
        <w:pStyle w:val="Puslapioinaostekstas"/>
      </w:pPr>
      <w:r>
        <w:rPr>
          <w:rStyle w:val="Puslapioinaosnuoroda"/>
          <w:color w:val="C00000"/>
          <w:sz w:val="12"/>
          <w:szCs w:val="12"/>
        </w:rPr>
        <w:footnoteRef/>
      </w:r>
      <w:r>
        <w:rPr>
          <w:color w:val="C00000"/>
          <w:sz w:val="12"/>
          <w:szCs w:val="12"/>
        </w:rPr>
        <w:t xml:space="preserve"> </w:t>
      </w:r>
      <w:r>
        <w:rPr>
          <w:color w:val="C00000"/>
          <w:sz w:val="12"/>
          <w:szCs w:val="12"/>
          <w:lang w:val="lt-LT"/>
        </w:rPr>
        <w:t>Informacija apie eiles ir laukimo eilėje trukmę pateikta šios ataskaitos 2.3. dalyje.</w:t>
      </w:r>
    </w:p>
  </w:footnote>
  <w:footnote w:id="6">
    <w:p w:rsidR="00F468A5" w:rsidRDefault="00F468A5" w:rsidP="00F468A5">
      <w:pPr>
        <w:pStyle w:val="Puslapioinaostekstas"/>
        <w:rPr>
          <w:color w:val="C00000"/>
          <w:sz w:val="16"/>
          <w:szCs w:val="16"/>
          <w:lang w:val="lt-LT"/>
        </w:rPr>
      </w:pPr>
      <w:r>
        <w:rPr>
          <w:rStyle w:val="Puslapioinaosnuoroda"/>
          <w:color w:val="C00000"/>
          <w:sz w:val="16"/>
          <w:szCs w:val="16"/>
        </w:rPr>
        <w:footnoteRef/>
      </w:r>
      <w:r>
        <w:rPr>
          <w:color w:val="C00000"/>
          <w:sz w:val="16"/>
          <w:szCs w:val="16"/>
        </w:rPr>
        <w:t xml:space="preserve"> </w:t>
      </w:r>
      <w:r>
        <w:rPr>
          <w:color w:val="C00000"/>
          <w:sz w:val="12"/>
          <w:szCs w:val="12"/>
          <w:lang w:val="lt-LT"/>
        </w:rPr>
        <w:t>Pertvarkėme Centro struktūrą, panaikinome 1  padalinį, perkėlėme pareigybes į kitus padalinius.</w:t>
      </w:r>
      <w:r>
        <w:rPr>
          <w:color w:val="C00000"/>
          <w:sz w:val="16"/>
          <w:szCs w:val="16"/>
          <w:lang w:val="lt-LT"/>
        </w:rPr>
        <w:t xml:space="preserve"> </w:t>
      </w:r>
    </w:p>
  </w:footnote>
  <w:footnote w:id="7">
    <w:p w:rsidR="00F468A5" w:rsidRDefault="00F468A5" w:rsidP="00F468A5">
      <w:pPr>
        <w:pStyle w:val="Puslapioinaostekstas"/>
        <w:rPr>
          <w:color w:val="C00000"/>
          <w:sz w:val="12"/>
          <w:szCs w:val="12"/>
          <w:lang w:val="lt-LT"/>
        </w:rPr>
      </w:pPr>
      <w:r>
        <w:rPr>
          <w:rStyle w:val="Puslapioinaosnuoroda"/>
          <w:color w:val="C00000"/>
          <w:sz w:val="12"/>
          <w:szCs w:val="12"/>
        </w:rPr>
        <w:footnoteRef/>
      </w:r>
      <w:r>
        <w:rPr>
          <w:color w:val="C00000"/>
          <w:sz w:val="12"/>
          <w:szCs w:val="12"/>
        </w:rPr>
        <w:t xml:space="preserve"> </w:t>
      </w:r>
      <w:r>
        <w:rPr>
          <w:color w:val="C00000"/>
          <w:sz w:val="12"/>
          <w:szCs w:val="12"/>
          <w:lang w:val="lt-LT"/>
        </w:rPr>
        <w:t xml:space="preserve">Pagal analogiją kaip administruojamos būsto pritaikymo ir ilgalaikės socialinės globos eilės, socialinio būsto eilė, ugdymmo lopšeliuose-darželiuose ir mokyklose eilės. </w:t>
      </w:r>
    </w:p>
  </w:footnote>
  <w:footnote w:id="8">
    <w:p w:rsidR="00F468A5" w:rsidRDefault="00F468A5" w:rsidP="00F468A5">
      <w:pPr>
        <w:pStyle w:val="Puslapioinaostekstas"/>
        <w:rPr>
          <w:lang w:val="lt-LT"/>
        </w:rPr>
      </w:pPr>
      <w:r>
        <w:rPr>
          <w:rStyle w:val="Puslapioinaosnuoroda"/>
          <w:color w:val="C00000"/>
          <w:sz w:val="12"/>
          <w:szCs w:val="12"/>
        </w:rPr>
        <w:footnoteRef/>
      </w:r>
      <w:r>
        <w:rPr>
          <w:color w:val="C00000"/>
          <w:sz w:val="12"/>
          <w:szCs w:val="12"/>
        </w:rPr>
        <w:t xml:space="preserve"> </w:t>
      </w:r>
      <w:r>
        <w:rPr>
          <w:color w:val="C00000"/>
          <w:sz w:val="12"/>
          <w:szCs w:val="12"/>
          <w:lang w:val="lt-LT"/>
        </w:rPr>
        <w:t>Yra tokių vietų, kaip išorinės ir vidinės durys, kurių negalėjome įrengti taip, kad jos atiktiktų universaluas dizaino principus, nes pastatas statytas prieš kelis dešimtnmečius.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C06E3F">
          <w:rPr>
            <w:noProof/>
          </w:rPr>
          <w:t>5</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4183E"/>
    <w:rsid w:val="00430524"/>
    <w:rsid w:val="004476DD"/>
    <w:rsid w:val="00597EE8"/>
    <w:rsid w:val="005B434A"/>
    <w:rsid w:val="005F495C"/>
    <w:rsid w:val="00832CC9"/>
    <w:rsid w:val="008354D5"/>
    <w:rsid w:val="008E6E82"/>
    <w:rsid w:val="00A6557F"/>
    <w:rsid w:val="00AF7D08"/>
    <w:rsid w:val="00B750B6"/>
    <w:rsid w:val="00C06E3F"/>
    <w:rsid w:val="00C57681"/>
    <w:rsid w:val="00CA4D3B"/>
    <w:rsid w:val="00D42B72"/>
    <w:rsid w:val="00D57F27"/>
    <w:rsid w:val="00E33871"/>
    <w:rsid w:val="00E56A73"/>
    <w:rsid w:val="00E8527A"/>
    <w:rsid w:val="00F1275A"/>
    <w:rsid w:val="00F468A5"/>
    <w:rsid w:val="00F72A1E"/>
    <w:rsid w:val="00F84B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0F1334"/>
  <w15:docId w15:val="{83E32379-A35E-4D1B-8CE2-95110A3F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uiPriority w:val="99"/>
    <w:semiHidden/>
    <w:unhideWhenUsed/>
    <w:rsid w:val="00F468A5"/>
    <w:rPr>
      <w:color w:val="0000FF"/>
      <w:u w:val="single"/>
    </w:rPr>
  </w:style>
  <w:style w:type="paragraph" w:styleId="Puslapioinaostekstas">
    <w:name w:val="footnote text"/>
    <w:basedOn w:val="prastasis"/>
    <w:link w:val="PuslapioinaostekstasDiagrama"/>
    <w:semiHidden/>
    <w:unhideWhenUsed/>
    <w:rsid w:val="00F468A5"/>
    <w:rPr>
      <w:noProof/>
      <w:sz w:val="20"/>
      <w:szCs w:val="20"/>
      <w:lang w:val="x-none" w:eastAsia="x-none"/>
    </w:rPr>
  </w:style>
  <w:style w:type="character" w:customStyle="1" w:styleId="PuslapioinaostekstasDiagrama">
    <w:name w:val="Puslapio išnašos tekstas Diagrama"/>
    <w:basedOn w:val="Numatytasispastraiposriftas"/>
    <w:link w:val="Puslapioinaostekstas"/>
    <w:semiHidden/>
    <w:rsid w:val="00F468A5"/>
    <w:rPr>
      <w:rFonts w:ascii="Times New Roman" w:eastAsia="Times New Roman" w:hAnsi="Times New Roman" w:cs="Times New Roman"/>
      <w:noProof/>
      <w:sz w:val="20"/>
      <w:szCs w:val="20"/>
      <w:lang w:val="x-none" w:eastAsia="x-none"/>
    </w:rPr>
  </w:style>
  <w:style w:type="character" w:customStyle="1" w:styleId="PagrindinistekstasDiagrama">
    <w:name w:val="Pagrindinis tekstas Diagrama"/>
    <w:aliases w:val="Char Diagrama"/>
    <w:basedOn w:val="Numatytasispastraiposriftas"/>
    <w:link w:val="Pagrindinistekstas"/>
    <w:semiHidden/>
    <w:locked/>
    <w:rsid w:val="00F468A5"/>
    <w:rPr>
      <w:rFonts w:ascii="Times New Roman" w:eastAsia="Times New Roman" w:hAnsi="Times New Roman" w:cs="Times New Roman"/>
      <w:sz w:val="24"/>
      <w:lang w:eastAsia="zh-CN"/>
    </w:rPr>
  </w:style>
  <w:style w:type="paragraph" w:styleId="Pagrindinistekstas">
    <w:name w:val="Body Text"/>
    <w:aliases w:val="Char"/>
    <w:basedOn w:val="prastasis"/>
    <w:link w:val="PagrindinistekstasDiagrama"/>
    <w:semiHidden/>
    <w:unhideWhenUsed/>
    <w:rsid w:val="00F468A5"/>
    <w:pPr>
      <w:jc w:val="both"/>
    </w:pPr>
    <w:rPr>
      <w:szCs w:val="22"/>
      <w:lang w:eastAsia="zh-CN"/>
    </w:rPr>
  </w:style>
  <w:style w:type="character" w:customStyle="1" w:styleId="PagrindinistekstasDiagrama1">
    <w:name w:val="Pagrindinis tekstas Diagrama1"/>
    <w:basedOn w:val="Numatytasispastraiposriftas"/>
    <w:uiPriority w:val="99"/>
    <w:semiHidden/>
    <w:rsid w:val="00F468A5"/>
    <w:rPr>
      <w:rFonts w:ascii="Times New Roman" w:eastAsia="Times New Roman" w:hAnsi="Times New Roman" w:cs="Times New Roman"/>
      <w:sz w:val="24"/>
      <w:szCs w:val="24"/>
    </w:rPr>
  </w:style>
  <w:style w:type="paragraph" w:customStyle="1" w:styleId="Siaiptekstas">
    <w:name w:val="Siaip tekstas"/>
    <w:basedOn w:val="prastasis"/>
    <w:autoRedefine/>
    <w:rsid w:val="00F468A5"/>
    <w:pPr>
      <w:tabs>
        <w:tab w:val="left" w:pos="300"/>
        <w:tab w:val="left" w:pos="374"/>
      </w:tabs>
      <w:jc w:val="both"/>
    </w:pPr>
    <w:rPr>
      <w:bCs/>
      <w:iCs/>
      <w:color w:val="000000"/>
      <w:sz w:val="22"/>
      <w:lang w:eastAsia="lt-LT"/>
    </w:rPr>
  </w:style>
  <w:style w:type="character" w:styleId="Puslapioinaosnuoroda">
    <w:name w:val="footnote reference"/>
    <w:semiHidden/>
    <w:unhideWhenUsed/>
    <w:rsid w:val="00F468A5"/>
    <w:rPr>
      <w:vertAlign w:val="superscript"/>
    </w:rPr>
  </w:style>
  <w:style w:type="character" w:customStyle="1" w:styleId="Kursyvas">
    <w:name w:val="Kursyvas"/>
    <w:rsid w:val="00F468A5"/>
    <w:rPr>
      <w:i/>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6677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laipedaspc.lt" TargetMode="External"/><Relationship Id="rId3" Type="http://schemas.openxmlformats.org/officeDocument/2006/relationships/webSettings" Target="webSettings.xml"/><Relationship Id="rId7" Type="http://schemas.openxmlformats.org/officeDocument/2006/relationships/chart" Target="charts/chart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klaipedaspc.l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darbalapis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4"/>
      <c:hPercent val="31"/>
      <c:rotY val="1"/>
      <c:depthPercent val="100"/>
      <c:rAngAx val="1"/>
    </c:view3D>
    <c:floor>
      <c:thickness val="0"/>
      <c:spPr>
        <a:solidFill>
          <a:srgbClr val="C0C0C0"/>
        </a:solidFill>
        <a:ln w="3175">
          <a:solidFill>
            <a:srgbClr val="000000"/>
          </a:solidFill>
          <a:prstDash val="solid"/>
        </a:ln>
      </c:spPr>
    </c:floor>
    <c:sideWall>
      <c:thickness val="0"/>
      <c:spPr>
        <a:solidFill>
          <a:srgbClr val="FFFFFF"/>
        </a:solidFill>
        <a:ln w="12700">
          <a:solidFill>
            <a:srgbClr val="808080"/>
          </a:solidFill>
          <a:prstDash val="solid"/>
        </a:ln>
      </c:spPr>
    </c:sideWall>
    <c:backWall>
      <c:thickness val="0"/>
      <c:spPr>
        <a:solidFill>
          <a:srgbClr val="FFFFFF"/>
        </a:solidFill>
        <a:ln w="12700">
          <a:solidFill>
            <a:srgbClr val="808080"/>
          </a:solidFill>
          <a:prstDash val="solid"/>
        </a:ln>
      </c:spPr>
    </c:backWall>
    <c:plotArea>
      <c:layout>
        <c:manualLayout>
          <c:layoutTarget val="inner"/>
          <c:xMode val="edge"/>
          <c:yMode val="edge"/>
          <c:x val="4.0944881889763779E-2"/>
          <c:y val="7.0351758793969849E-2"/>
          <c:w val="0.89606299212598428"/>
          <c:h val="0.79396984924623115"/>
        </c:manualLayout>
      </c:layout>
      <c:bar3DChart>
        <c:barDir val="col"/>
        <c:grouping val="clustered"/>
        <c:varyColors val="0"/>
        <c:ser>
          <c:idx val="0"/>
          <c:order val="0"/>
          <c:tx>
            <c:strRef>
              <c:f>Sheet1!$A$2</c:f>
              <c:strCache>
                <c:ptCount val="1"/>
                <c:pt idx="0">
                  <c:v>2017</c:v>
                </c:pt>
              </c:strCache>
            </c:strRef>
          </c:tx>
          <c:spPr>
            <a:solidFill>
              <a:srgbClr val="FF9900"/>
            </a:solidFill>
            <a:ln w="8607">
              <a:solidFill>
                <a:srgbClr val="000000"/>
              </a:solidFill>
              <a:prstDash val="solid"/>
            </a:ln>
          </c:spPr>
          <c:invertIfNegative val="0"/>
          <c:dLbls>
            <c:dLbl>
              <c:idx val="0"/>
              <c:layout>
                <c:manualLayout>
                  <c:x val="2.2032549197291418E-3"/>
                  <c:y val="-3.4768591100020341E-2"/>
                </c:manualLayout>
              </c:layout>
              <c:spPr>
                <a:noFill/>
                <a:ln w="17213">
                  <a:noFill/>
                </a:ln>
              </c:spPr>
              <c:txPr>
                <a:bodyPr/>
                <a:lstStyle/>
                <a:p>
                  <a:pPr>
                    <a:defRPr sz="339" b="0"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3C24-4E51-BB5C-1F051DF02C31}"/>
                </c:ext>
                <c:ext xmlns:c15="http://schemas.microsoft.com/office/drawing/2012/chart" uri="{CE6537A1-D6FC-4f65-9D91-7224C49458BB}">
                  <c15:layout/>
                </c:ext>
              </c:extLst>
            </c:dLbl>
            <c:dLbl>
              <c:idx val="1"/>
              <c:layout>
                <c:manualLayout>
                  <c:x val="-4.7585342656428775E-3"/>
                  <c:y val="-3.7763474848277245E-2"/>
                </c:manualLayout>
              </c:layout>
              <c:spPr>
                <a:noFill/>
                <a:ln w="17213">
                  <a:noFill/>
                </a:ln>
              </c:spPr>
              <c:txPr>
                <a:bodyPr/>
                <a:lstStyle/>
                <a:p>
                  <a:pPr>
                    <a:defRPr sz="339" b="0"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3C24-4E51-BB5C-1F051DF02C31}"/>
                </c:ext>
                <c:ext xmlns:c15="http://schemas.microsoft.com/office/drawing/2012/chart" uri="{CE6537A1-D6FC-4f65-9D91-7224C49458BB}">
                  <c15:layout/>
                </c:ext>
              </c:extLst>
            </c:dLbl>
            <c:dLbl>
              <c:idx val="2"/>
              <c:layout>
                <c:manualLayout>
                  <c:x val="-5.8008923068130214E-3"/>
                  <c:y val="-4.5288323595649604E-2"/>
                </c:manualLayout>
              </c:layout>
              <c:spPr>
                <a:noFill/>
                <a:ln w="17213">
                  <a:noFill/>
                </a:ln>
              </c:spPr>
              <c:txPr>
                <a:bodyPr/>
                <a:lstStyle/>
                <a:p>
                  <a:pPr>
                    <a:defRPr sz="339" b="0"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3C24-4E51-BB5C-1F051DF02C31}"/>
                </c:ext>
                <c:ext xmlns:c15="http://schemas.microsoft.com/office/drawing/2012/chart" uri="{CE6537A1-D6FC-4f65-9D91-7224C49458BB}">
                  <c15:layout/>
                </c:ext>
              </c:extLst>
            </c:dLbl>
            <c:dLbl>
              <c:idx val="3"/>
              <c:layout>
                <c:manualLayout>
                  <c:x val="-6.8429237947122967E-3"/>
                  <c:y val="-2.3142044851087396E-2"/>
                </c:manualLayout>
              </c:layout>
              <c:spPr>
                <a:noFill/>
                <a:ln w="17213">
                  <a:noFill/>
                </a:ln>
              </c:spPr>
              <c:txPr>
                <a:bodyPr/>
                <a:lstStyle/>
                <a:p>
                  <a:pPr>
                    <a:defRPr sz="339" b="0"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3C24-4E51-BB5C-1F051DF02C31}"/>
                </c:ext>
                <c:ext xmlns:c15="http://schemas.microsoft.com/office/drawing/2012/chart" uri="{CE6537A1-D6FC-4f65-9D91-7224C49458BB}">
                  <c15:layout/>
                </c:ext>
              </c:extLst>
            </c:dLbl>
            <c:spPr>
              <a:noFill/>
              <a:ln>
                <a:noFill/>
              </a:ln>
              <a:effectLst/>
            </c:spPr>
            <c:showLegendKey val="0"/>
            <c:showVal val="0"/>
            <c:showCatName val="0"/>
            <c:showSerName val="0"/>
            <c:showPercent val="0"/>
            <c:showBubbleSize val="0"/>
            <c:extLst xmlns:c16r2="http://schemas.microsoft.com/office/drawing/2015/06/chart">
              <c:ext xmlns:c15="http://schemas.microsoft.com/office/drawing/2012/chart" uri="{CE6537A1-D6FC-4f65-9D91-7224C49458BB}">
                <c15:showLeaderLines val="0"/>
              </c:ext>
            </c:extLst>
          </c:dLbls>
          <c:cat>
            <c:strRef>
              <c:f>Sheet1!$B$1:$E$1</c:f>
              <c:strCache>
                <c:ptCount val="4"/>
                <c:pt idx="0">
                  <c:v>Viso gavėjų skaičius </c:v>
                </c:pt>
                <c:pt idx="1">
                  <c:v>Bendrųjų socialinių paslaugų gavėjų skaičius </c:v>
                </c:pt>
                <c:pt idx="2">
                  <c:v>PNP gavėjų skaičius </c:v>
                </c:pt>
                <c:pt idx="3">
                  <c:v>DSGPAN gavėjų skaičius </c:v>
                </c:pt>
              </c:strCache>
            </c:strRef>
          </c:cat>
          <c:val>
            <c:numRef>
              <c:f>Sheet1!$B$2:$E$2</c:f>
              <c:numCache>
                <c:formatCode>General</c:formatCode>
                <c:ptCount val="4"/>
                <c:pt idx="0">
                  <c:v>1988</c:v>
                </c:pt>
                <c:pt idx="1">
                  <c:v>1515</c:v>
                </c:pt>
                <c:pt idx="2">
                  <c:v>382</c:v>
                </c:pt>
                <c:pt idx="3">
                  <c:v>91</c:v>
                </c:pt>
              </c:numCache>
            </c:numRef>
          </c:val>
          <c:extLst xmlns:c16r2="http://schemas.microsoft.com/office/drawing/2015/06/chart">
            <c:ext xmlns:c16="http://schemas.microsoft.com/office/drawing/2014/chart" uri="{C3380CC4-5D6E-409C-BE32-E72D297353CC}">
              <c16:uniqueId val="{00000004-3C24-4E51-BB5C-1F051DF02C31}"/>
            </c:ext>
          </c:extLst>
        </c:ser>
        <c:ser>
          <c:idx val="1"/>
          <c:order val="1"/>
          <c:tx>
            <c:strRef>
              <c:f>Sheet1!$A$3</c:f>
              <c:strCache>
                <c:ptCount val="1"/>
                <c:pt idx="0">
                  <c:v>2018</c:v>
                </c:pt>
              </c:strCache>
            </c:strRef>
          </c:tx>
          <c:spPr>
            <a:solidFill>
              <a:srgbClr val="FFCC00"/>
            </a:solidFill>
            <a:ln w="8607">
              <a:solidFill>
                <a:srgbClr val="000000"/>
              </a:solidFill>
              <a:prstDash val="solid"/>
            </a:ln>
          </c:spPr>
          <c:invertIfNegative val="0"/>
          <c:dLbls>
            <c:dLbl>
              <c:idx val="0"/>
              <c:layout>
                <c:manualLayout>
                  <c:x val="3.6307825440949071E-3"/>
                  <c:y val="-4.2717239388619488E-2"/>
                </c:manualLayout>
              </c:layout>
              <c:spPr>
                <a:noFill/>
                <a:ln w="17213">
                  <a:noFill/>
                </a:ln>
              </c:spPr>
              <c:txPr>
                <a:bodyPr/>
                <a:lstStyle/>
                <a:p>
                  <a:pPr>
                    <a:defRPr sz="339" b="0"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3C24-4E51-BB5C-1F051DF02C31}"/>
                </c:ext>
                <c:ext xmlns:c15="http://schemas.microsoft.com/office/drawing/2012/chart" uri="{CE6537A1-D6FC-4f65-9D91-7224C49458BB}">
                  <c15:layout/>
                </c:ext>
              </c:extLst>
            </c:dLbl>
            <c:dLbl>
              <c:idx val="1"/>
              <c:layout>
                <c:manualLayout>
                  <c:x val="9.2674185555732258E-3"/>
                  <c:y val="-6.5698059171518441E-2"/>
                </c:manualLayout>
              </c:layout>
              <c:spPr>
                <a:noFill/>
                <a:ln w="17213">
                  <a:noFill/>
                </a:ln>
              </c:spPr>
              <c:txPr>
                <a:bodyPr/>
                <a:lstStyle/>
                <a:p>
                  <a:pPr>
                    <a:defRPr sz="339" b="0"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3C24-4E51-BB5C-1F051DF02C31}"/>
                </c:ext>
                <c:ext xmlns:c15="http://schemas.microsoft.com/office/drawing/2012/chart" uri="{CE6537A1-D6FC-4f65-9D91-7224C49458BB}">
                  <c15:layout/>
                </c:ext>
              </c:extLst>
            </c:dLbl>
            <c:dLbl>
              <c:idx val="2"/>
              <c:layout>
                <c:manualLayout>
                  <c:x val="5.0754542151905113E-3"/>
                  <c:y val="-3.7036268256855132E-2"/>
                </c:manualLayout>
              </c:layout>
              <c:spPr>
                <a:noFill/>
                <a:ln w="17213">
                  <a:noFill/>
                </a:ln>
              </c:spPr>
              <c:txPr>
                <a:bodyPr/>
                <a:lstStyle/>
                <a:p>
                  <a:pPr>
                    <a:defRPr sz="339" b="0"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3C24-4E51-BB5C-1F051DF02C31}"/>
                </c:ext>
                <c:ext xmlns:c15="http://schemas.microsoft.com/office/drawing/2012/chart" uri="{CE6537A1-D6FC-4f65-9D91-7224C49458BB}">
                  <c15:layout/>
                </c:ext>
              </c:extLst>
            </c:dLbl>
            <c:dLbl>
              <c:idx val="3"/>
              <c:layout>
                <c:manualLayout>
                  <c:x val="2.4586195776850062E-3"/>
                  <c:y val="-2.1458917741074446E-2"/>
                </c:manualLayout>
              </c:layout>
              <c:spPr>
                <a:noFill/>
                <a:ln w="17213">
                  <a:noFill/>
                </a:ln>
              </c:spPr>
              <c:txPr>
                <a:bodyPr/>
                <a:lstStyle/>
                <a:p>
                  <a:pPr>
                    <a:defRPr sz="339" b="0"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3C24-4E51-BB5C-1F051DF02C31}"/>
                </c:ext>
                <c:ext xmlns:c15="http://schemas.microsoft.com/office/drawing/2012/chart" uri="{CE6537A1-D6FC-4f65-9D91-7224C49458BB}">
                  <c15:layout/>
                </c:ext>
              </c:extLst>
            </c:dLbl>
            <c:spPr>
              <a:noFill/>
              <a:ln w="17213">
                <a:noFill/>
              </a:ln>
            </c:spPr>
            <c:txPr>
              <a:bodyPr wrap="square" lIns="38100" tIns="19050" rIns="38100" bIns="19050" anchor="ctr">
                <a:spAutoFit/>
              </a:bodyPr>
              <a:lstStyle/>
              <a:p>
                <a:pPr>
                  <a:defRPr sz="593" b="1" i="0" u="none" strike="noStrike" baseline="0">
                    <a:solidFill>
                      <a:srgbClr val="000000"/>
                    </a:solidFill>
                    <a:latin typeface="Calibri"/>
                    <a:ea typeface="Calibri"/>
                    <a:cs typeface="Calibri"/>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Sheet1!$B$1:$E$1</c:f>
              <c:strCache>
                <c:ptCount val="4"/>
                <c:pt idx="0">
                  <c:v>Viso gavėjų skaičius </c:v>
                </c:pt>
                <c:pt idx="1">
                  <c:v>Bendrųjų socialinių paslaugų gavėjų skaičius </c:v>
                </c:pt>
                <c:pt idx="2">
                  <c:v>PNP gavėjų skaičius </c:v>
                </c:pt>
                <c:pt idx="3">
                  <c:v>DSGPAN gavėjų skaičius </c:v>
                </c:pt>
              </c:strCache>
            </c:strRef>
          </c:cat>
          <c:val>
            <c:numRef>
              <c:f>Sheet1!$B$3:$E$3</c:f>
              <c:numCache>
                <c:formatCode>General</c:formatCode>
                <c:ptCount val="4"/>
                <c:pt idx="0">
                  <c:v>2028</c:v>
                </c:pt>
                <c:pt idx="1">
                  <c:v>1605</c:v>
                </c:pt>
                <c:pt idx="2">
                  <c:v>343</c:v>
                </c:pt>
                <c:pt idx="3">
                  <c:v>80</c:v>
                </c:pt>
              </c:numCache>
            </c:numRef>
          </c:val>
          <c:extLst xmlns:c16r2="http://schemas.microsoft.com/office/drawing/2015/06/chart">
            <c:ext xmlns:c16="http://schemas.microsoft.com/office/drawing/2014/chart" uri="{C3380CC4-5D6E-409C-BE32-E72D297353CC}">
              <c16:uniqueId val="{00000009-3C24-4E51-BB5C-1F051DF02C31}"/>
            </c:ext>
          </c:extLst>
        </c:ser>
        <c:ser>
          <c:idx val="2"/>
          <c:order val="2"/>
          <c:tx>
            <c:strRef>
              <c:f>Sheet1!$A$4</c:f>
              <c:strCache>
                <c:ptCount val="1"/>
                <c:pt idx="0">
                  <c:v>2019</c:v>
                </c:pt>
              </c:strCache>
            </c:strRef>
          </c:tx>
          <c:spPr>
            <a:solidFill>
              <a:srgbClr val="99CC00"/>
            </a:solidFill>
            <a:ln w="8607">
              <a:solidFill>
                <a:srgbClr val="000000"/>
              </a:solidFill>
              <a:prstDash val="solid"/>
            </a:ln>
          </c:spPr>
          <c:invertIfNegative val="0"/>
          <c:dLbls>
            <c:dLbl>
              <c:idx val="0"/>
              <c:layout>
                <c:manualLayout>
                  <c:x val="5.0583101684607001E-3"/>
                  <c:y val="-3.5056966127653189E-2"/>
                </c:manualLayout>
              </c:layout>
              <c:spPr>
                <a:noFill/>
                <a:ln w="17213">
                  <a:noFill/>
                </a:ln>
              </c:spPr>
              <c:txPr>
                <a:bodyPr/>
                <a:lstStyle/>
                <a:p>
                  <a:pPr>
                    <a:defRPr sz="339" b="0"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D-3C24-4E51-BB5C-1F051DF02C31}"/>
                </c:ext>
                <c:ext xmlns:c15="http://schemas.microsoft.com/office/drawing/2012/chart" uri="{CE6537A1-D6FC-4f65-9D91-7224C49458BB}">
                  <c15:layout/>
                </c:ext>
              </c:extLst>
            </c:dLbl>
            <c:dLbl>
              <c:idx val="1"/>
              <c:layout>
                <c:manualLayout>
                  <c:x val="3.1167387124820922E-2"/>
                  <c:y val="-2.087487002380578E-2"/>
                </c:manualLayout>
              </c:layout>
              <c:spPr>
                <a:noFill/>
                <a:ln w="17213">
                  <a:noFill/>
                </a:ln>
              </c:spPr>
              <c:txPr>
                <a:bodyPr/>
                <a:lstStyle/>
                <a:p>
                  <a:pPr>
                    <a:defRPr sz="339" b="0"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C-3C24-4E51-BB5C-1F051DF02C31}"/>
                </c:ext>
                <c:ext xmlns:c15="http://schemas.microsoft.com/office/drawing/2012/chart" uri="{CE6537A1-D6FC-4f65-9D91-7224C49458BB}">
                  <c15:layout/>
                </c:ext>
              </c:extLst>
            </c:dLbl>
            <c:dLbl>
              <c:idx val="2"/>
              <c:layout>
                <c:manualLayout>
                  <c:x val="1.1227391288375244E-2"/>
                  <c:y val="-5.332678033071836E-2"/>
                </c:manualLayout>
              </c:layout>
              <c:spPr>
                <a:noFill/>
                <a:ln w="17213">
                  <a:noFill/>
                </a:ln>
              </c:spPr>
              <c:txPr>
                <a:bodyPr/>
                <a:lstStyle/>
                <a:p>
                  <a:pPr>
                    <a:defRPr sz="339" b="0"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B-3C24-4E51-BB5C-1F051DF02C31}"/>
                </c:ext>
                <c:ext xmlns:c15="http://schemas.microsoft.com/office/drawing/2012/chart" uri="{CE6537A1-D6FC-4f65-9D91-7224C49458BB}">
                  <c15:layout/>
                </c:ext>
              </c:extLst>
            </c:dLbl>
            <c:dLbl>
              <c:idx val="3"/>
              <c:layout>
                <c:manualLayout>
                  <c:x val="-2.4130653963744253E-3"/>
                  <c:y val="-1.7205693413254175E-2"/>
                </c:manualLayout>
              </c:layout>
              <c:spPr>
                <a:noFill/>
                <a:ln w="17213">
                  <a:noFill/>
                </a:ln>
              </c:spPr>
              <c:txPr>
                <a:bodyPr/>
                <a:lstStyle/>
                <a:p>
                  <a:pPr>
                    <a:defRPr sz="339" b="0"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A-3C24-4E51-BB5C-1F051DF02C31}"/>
                </c:ext>
                <c:ext xmlns:c15="http://schemas.microsoft.com/office/drawing/2012/chart" uri="{CE6537A1-D6FC-4f65-9D91-7224C49458BB}">
                  <c15:layout/>
                </c:ext>
              </c:extLst>
            </c:dLbl>
            <c:spPr>
              <a:noFill/>
              <a:ln w="17213">
                <a:noFill/>
              </a:ln>
            </c:spPr>
            <c:txPr>
              <a:bodyPr wrap="square" lIns="38100" tIns="19050" rIns="38100" bIns="19050" anchor="ctr">
                <a:spAutoFit/>
              </a:bodyPr>
              <a:lstStyle/>
              <a:p>
                <a:pPr>
                  <a:defRPr sz="339" b="0"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Sheet1!$B$1:$E$1</c:f>
              <c:strCache>
                <c:ptCount val="4"/>
                <c:pt idx="0">
                  <c:v>Viso gavėjų skaičius </c:v>
                </c:pt>
                <c:pt idx="1">
                  <c:v>Bendrųjų socialinių paslaugų gavėjų skaičius </c:v>
                </c:pt>
                <c:pt idx="2">
                  <c:v>PNP gavėjų skaičius </c:v>
                </c:pt>
                <c:pt idx="3">
                  <c:v>DSGPAN gavėjų skaičius </c:v>
                </c:pt>
              </c:strCache>
            </c:strRef>
          </c:cat>
          <c:val>
            <c:numRef>
              <c:f>Sheet1!$B$4:$E$4</c:f>
              <c:numCache>
                <c:formatCode>General</c:formatCode>
                <c:ptCount val="4"/>
                <c:pt idx="0">
                  <c:v>2169</c:v>
                </c:pt>
                <c:pt idx="1">
                  <c:v>1736</c:v>
                </c:pt>
                <c:pt idx="2">
                  <c:v>339</c:v>
                </c:pt>
                <c:pt idx="3">
                  <c:v>94</c:v>
                </c:pt>
              </c:numCache>
            </c:numRef>
          </c:val>
          <c:extLst xmlns:c16r2="http://schemas.microsoft.com/office/drawing/2015/06/chart">
            <c:ext xmlns:c16="http://schemas.microsoft.com/office/drawing/2014/chart" uri="{C3380CC4-5D6E-409C-BE32-E72D297353CC}">
              <c16:uniqueId val="{0000000E-3C24-4E51-BB5C-1F051DF02C31}"/>
            </c:ext>
          </c:extLst>
        </c:ser>
        <c:dLbls>
          <c:showLegendKey val="0"/>
          <c:showVal val="0"/>
          <c:showCatName val="0"/>
          <c:showSerName val="0"/>
          <c:showPercent val="0"/>
          <c:showBubbleSize val="0"/>
        </c:dLbls>
        <c:gapWidth val="150"/>
        <c:gapDepth val="0"/>
        <c:shape val="box"/>
        <c:axId val="275683616"/>
        <c:axId val="275685576"/>
        <c:axId val="0"/>
      </c:bar3DChart>
      <c:catAx>
        <c:axId val="275683616"/>
        <c:scaling>
          <c:orientation val="minMax"/>
        </c:scaling>
        <c:delete val="0"/>
        <c:axPos val="b"/>
        <c:numFmt formatCode="General" sourceLinked="1"/>
        <c:majorTickMark val="out"/>
        <c:minorTickMark val="none"/>
        <c:tickLblPos val="low"/>
        <c:spPr>
          <a:ln w="2152">
            <a:solidFill>
              <a:srgbClr val="000000"/>
            </a:solidFill>
            <a:prstDash val="solid"/>
          </a:ln>
        </c:spPr>
        <c:txPr>
          <a:bodyPr rot="0" vert="horz"/>
          <a:lstStyle/>
          <a:p>
            <a:pPr>
              <a:defRPr sz="322" b="0" i="0" u="none" strike="noStrike" baseline="0">
                <a:solidFill>
                  <a:srgbClr val="000000"/>
                </a:solidFill>
                <a:latin typeface="Arial"/>
                <a:ea typeface="Arial"/>
                <a:cs typeface="Arial"/>
              </a:defRPr>
            </a:pPr>
            <a:endParaRPr lang="lt-LT"/>
          </a:p>
        </c:txPr>
        <c:crossAx val="275685576"/>
        <c:crosses val="autoZero"/>
        <c:auto val="1"/>
        <c:lblAlgn val="ctr"/>
        <c:lblOffset val="100"/>
        <c:tickLblSkip val="1"/>
        <c:tickMarkSkip val="1"/>
        <c:noMultiLvlLbl val="0"/>
      </c:catAx>
      <c:valAx>
        <c:axId val="275685576"/>
        <c:scaling>
          <c:orientation val="minMax"/>
        </c:scaling>
        <c:delete val="0"/>
        <c:axPos val="l"/>
        <c:majorGridlines>
          <c:spPr>
            <a:ln w="2152">
              <a:solidFill>
                <a:srgbClr val="000000"/>
              </a:solidFill>
              <a:prstDash val="solid"/>
            </a:ln>
          </c:spPr>
        </c:majorGridlines>
        <c:numFmt formatCode="General" sourceLinked="1"/>
        <c:majorTickMark val="out"/>
        <c:minorTickMark val="none"/>
        <c:tickLblPos val="nextTo"/>
        <c:spPr>
          <a:ln w="2152">
            <a:solidFill>
              <a:srgbClr val="000000"/>
            </a:solidFill>
            <a:prstDash val="solid"/>
          </a:ln>
        </c:spPr>
        <c:txPr>
          <a:bodyPr rot="0" vert="horz"/>
          <a:lstStyle/>
          <a:p>
            <a:pPr>
              <a:defRPr sz="322" b="0" i="0" u="none" strike="noStrike" baseline="0">
                <a:solidFill>
                  <a:srgbClr val="000000"/>
                </a:solidFill>
                <a:latin typeface="Arial"/>
                <a:ea typeface="Arial"/>
                <a:cs typeface="Arial"/>
              </a:defRPr>
            </a:pPr>
            <a:endParaRPr lang="lt-LT"/>
          </a:p>
        </c:txPr>
        <c:crossAx val="275683616"/>
        <c:crosses val="autoZero"/>
        <c:crossBetween val="between"/>
      </c:valAx>
      <c:spPr>
        <a:noFill/>
        <a:ln w="17213">
          <a:noFill/>
        </a:ln>
      </c:spPr>
    </c:plotArea>
    <c:legend>
      <c:legendPos val="r"/>
      <c:layout>
        <c:manualLayout>
          <c:xMode val="edge"/>
          <c:yMode val="edge"/>
          <c:x val="0.95433070866141734"/>
          <c:y val="0.40703517587939697"/>
          <c:w val="3.937007874015748E-2"/>
          <c:h val="0.18592964824120603"/>
        </c:manualLayout>
      </c:layout>
      <c:overlay val="0"/>
      <c:spPr>
        <a:noFill/>
        <a:ln w="2152">
          <a:solidFill>
            <a:srgbClr val="000000"/>
          </a:solidFill>
          <a:prstDash val="solid"/>
        </a:ln>
      </c:spPr>
      <c:txPr>
        <a:bodyPr/>
        <a:lstStyle/>
        <a:p>
          <a:pPr>
            <a:defRPr sz="295" b="0" i="0" u="none" strike="noStrike" baseline="0">
              <a:solidFill>
                <a:srgbClr val="000000"/>
              </a:solidFill>
              <a:latin typeface="Arial"/>
              <a:ea typeface="Arial"/>
              <a:cs typeface="Arial"/>
            </a:defRPr>
          </a:pPr>
          <a:endParaRPr lang="lt-LT"/>
        </a:p>
      </c:txPr>
    </c:legend>
    <c:plotVisOnly val="1"/>
    <c:dispBlanksAs val="gap"/>
    <c:showDLblsOverMax val="0"/>
  </c:chart>
  <c:spPr>
    <a:noFill/>
    <a:ln>
      <a:noFill/>
    </a:ln>
  </c:spPr>
  <c:txPr>
    <a:bodyPr/>
    <a:lstStyle/>
    <a:p>
      <a:pPr>
        <a:defRPr sz="593" b="1" i="0" u="none" strike="noStrike" baseline="0">
          <a:solidFill>
            <a:srgbClr val="000000"/>
          </a:solidFill>
          <a:latin typeface="Calibri"/>
          <a:ea typeface="Calibri"/>
          <a:cs typeface="Calibri"/>
        </a:defRPr>
      </a:pPr>
      <a:endParaRPr lang="lt-LT"/>
    </a:p>
  </c:txPr>
  <c:externalData r:id="rId1">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11357</Words>
  <Characters>6475</Characters>
  <Application>Microsoft Office Word</Application>
  <DocSecurity>4</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2020-03-20T09:21:00Z</dcterms:created>
  <dcterms:modified xsi:type="dcterms:W3CDTF">2020-03-20T09:21:00Z</dcterms:modified>
</cp:coreProperties>
</file>