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D20D5A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</w:t>
            </w:r>
            <w:r w:rsidR="00FF21A6">
              <w:rPr>
                <w:szCs w:val="24"/>
              </w:rPr>
              <w:t>ai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2020-05-19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TAS-127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23A9" w:rsidRDefault="007723A9" w:rsidP="000944BF">
            <w:pPr>
              <w:rPr>
                <w:b/>
                <w:szCs w:val="24"/>
              </w:rPr>
            </w:pPr>
          </w:p>
          <w:p w:rsidR="00163473" w:rsidRPr="003C09F9" w:rsidRDefault="00C703DE" w:rsidP="000944BF">
            <w:pPr>
              <w:rPr>
                <w:b/>
                <w:caps/>
                <w:szCs w:val="24"/>
              </w:rPr>
            </w:pPr>
            <w:r w:rsidRPr="00C703DE">
              <w:rPr>
                <w:b/>
                <w:szCs w:val="24"/>
              </w:rPr>
              <w:t>DĖL 2020-05-</w:t>
            </w:r>
            <w:r>
              <w:rPr>
                <w:b/>
                <w:szCs w:val="24"/>
              </w:rPr>
              <w:t>12 SPRENDIMO PROJEKTO NR. T1-130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A17B4F" w:rsidRDefault="00C703DE" w:rsidP="00606132">
      <w:pPr>
        <w:ind w:firstLine="720"/>
        <w:jc w:val="both"/>
        <w:rPr>
          <w:szCs w:val="24"/>
        </w:rPr>
      </w:pPr>
      <w:r w:rsidRPr="00C703DE">
        <w:rPr>
          <w:szCs w:val="24"/>
        </w:rPr>
        <w:t xml:space="preserve">Klaipėdos miesto savivaldybės administracija, atsižvelgdama į Finansų ir ekonomikos komiteto 2020-05-13 posėdyje (2020-15-18 protokolas Nr. TAR-37) pateiktą </w:t>
      </w:r>
      <w:r w:rsidR="006D6ED2">
        <w:rPr>
          <w:szCs w:val="24"/>
        </w:rPr>
        <w:t>prašymą</w:t>
      </w:r>
      <w:r w:rsidR="00FD2039">
        <w:rPr>
          <w:szCs w:val="24"/>
        </w:rPr>
        <w:t>, teikia išaiškinimą</w:t>
      </w:r>
      <w:r w:rsidRPr="00C703DE">
        <w:rPr>
          <w:szCs w:val="24"/>
        </w:rPr>
        <w:t xml:space="preserve"> dėl Klaipėdos miesto savivaldybės tarybos 2020 m. gegužės 12 d. sprendimo projekto Nr. T1-1</w:t>
      </w:r>
      <w:r>
        <w:rPr>
          <w:szCs w:val="24"/>
        </w:rPr>
        <w:t>30</w:t>
      </w:r>
      <w:r w:rsidRPr="00C703DE">
        <w:rPr>
          <w:szCs w:val="24"/>
        </w:rPr>
        <w:t xml:space="preserve"> „Dėl </w:t>
      </w:r>
      <w:r w:rsidR="00FD2039" w:rsidRPr="00FD2039">
        <w:rPr>
          <w:szCs w:val="24"/>
        </w:rPr>
        <w:t>Nekilnojamojo turto, žemės ir valstybinės žemės nuomos mokesčių lengvatos mokesčių mokėtojams, nukentėjusiems nuo COVID-19</w:t>
      </w:r>
      <w:r w:rsidRPr="00C703DE">
        <w:rPr>
          <w:szCs w:val="24"/>
        </w:rPr>
        <w:t xml:space="preserve">“ (toliau – Sprendimo projektas) </w:t>
      </w:r>
      <w:r w:rsidR="0009751F">
        <w:rPr>
          <w:szCs w:val="24"/>
        </w:rPr>
        <w:t>2.2</w:t>
      </w:r>
      <w:r w:rsidR="00FD2039">
        <w:rPr>
          <w:szCs w:val="24"/>
        </w:rPr>
        <w:t xml:space="preserve"> papunkčio teisėtumo</w:t>
      </w:r>
      <w:r w:rsidRPr="00C703DE">
        <w:rPr>
          <w:szCs w:val="24"/>
        </w:rPr>
        <w:t>.</w:t>
      </w:r>
    </w:p>
    <w:p w:rsidR="00C2714F" w:rsidRDefault="0009751F" w:rsidP="00D22298">
      <w:pPr>
        <w:ind w:firstLine="720"/>
        <w:jc w:val="both"/>
        <w:rPr>
          <w:szCs w:val="24"/>
        </w:rPr>
      </w:pPr>
      <w:r>
        <w:rPr>
          <w:szCs w:val="24"/>
        </w:rPr>
        <w:t xml:space="preserve">Šiame papunktyje nustatyta, kad </w:t>
      </w:r>
      <w:r w:rsidRPr="0009751F">
        <w:rPr>
          <w:szCs w:val="24"/>
        </w:rPr>
        <w:t xml:space="preserve">mokesčių mokėtojai, pasinaudodami </w:t>
      </w:r>
      <w:r>
        <w:rPr>
          <w:szCs w:val="24"/>
        </w:rPr>
        <w:t>Sprendimo projektu</w:t>
      </w:r>
      <w:r w:rsidRPr="0009751F">
        <w:rPr>
          <w:szCs w:val="24"/>
        </w:rPr>
        <w:t xml:space="preserve"> patvirtintomis lengvatomis, netenka teisės į tam pačiam objektui galimas mokesčių lengvatas už 2020 m., kurios yra teikiamos vadovaujantis Klaipėdos miesto savivaldybės tarybos patvirtint</w:t>
      </w:r>
      <w:r w:rsidR="000F684A">
        <w:rPr>
          <w:szCs w:val="24"/>
        </w:rPr>
        <w:t>ais mokesčių lengvatų teikimo tvarkos aprašais.</w:t>
      </w:r>
      <w:r w:rsidRPr="0009751F">
        <w:rPr>
          <w:szCs w:val="24"/>
        </w:rPr>
        <w:t xml:space="preserve"> </w:t>
      </w:r>
      <w:r w:rsidR="00C2714F">
        <w:rPr>
          <w:szCs w:val="24"/>
        </w:rPr>
        <w:t>Atkreipiame Jūsų dėmesį, kad vadovaujantis patvirtintais tvarkos aprašais, taikomos mokesčių lengvatos yra ženklios:</w:t>
      </w:r>
    </w:p>
    <w:p w:rsidR="00C2714F" w:rsidRDefault="0009751F" w:rsidP="002A3F40">
      <w:pPr>
        <w:pStyle w:val="Sraopastraipa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4"/>
        </w:rPr>
      </w:pPr>
      <w:r w:rsidRPr="00C2714F">
        <w:rPr>
          <w:szCs w:val="24"/>
        </w:rPr>
        <w:t>Nekilnojamojo turto mokesčio lengvatų teikimo asmenims, vykdantiems Klaipėdos miesto istorinėse dalyse veiklą, susijusią su menu, dailiaisiais amatais, etnografiniais verslais, tvarkos apraš</w:t>
      </w:r>
      <w:r w:rsidR="00C2714F">
        <w:rPr>
          <w:szCs w:val="24"/>
        </w:rPr>
        <w:t xml:space="preserve">u numatytos lengvatos </w:t>
      </w:r>
      <w:r w:rsidR="004A5DED">
        <w:rPr>
          <w:szCs w:val="24"/>
        </w:rPr>
        <w:t>siekia nuo 50 iki 100 proc. deklaruoto nekilnojamojo turto mokesčio sumos;</w:t>
      </w:r>
    </w:p>
    <w:p w:rsidR="004A5DED" w:rsidRDefault="0009751F" w:rsidP="002A3F40">
      <w:pPr>
        <w:pStyle w:val="Sraopastraipa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4"/>
        </w:rPr>
      </w:pPr>
      <w:r w:rsidRPr="00C2714F">
        <w:rPr>
          <w:szCs w:val="24"/>
        </w:rPr>
        <w:t>Nekilnojamojo turto mokesčio lengvatų teikimo asmenims, vykdantiems Klaipėdos miesto istorinėse dalyse veiklą, skatinančią turizmą, tvarkos aprašu</w:t>
      </w:r>
      <w:r w:rsidR="004A5DED">
        <w:rPr>
          <w:szCs w:val="24"/>
        </w:rPr>
        <w:t xml:space="preserve"> numatytos lengvatos siekia nuo 30 iki 100 proc. deklaruoto nekilnojamojo turto mokesčio sumos;</w:t>
      </w:r>
      <w:r w:rsidRPr="00C2714F">
        <w:rPr>
          <w:szCs w:val="24"/>
        </w:rPr>
        <w:t xml:space="preserve"> </w:t>
      </w:r>
    </w:p>
    <w:p w:rsidR="004A5DED" w:rsidRDefault="0009751F" w:rsidP="002A3F40">
      <w:pPr>
        <w:pStyle w:val="Sraopastraipa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4"/>
        </w:rPr>
      </w:pPr>
      <w:r w:rsidRPr="00C2714F">
        <w:rPr>
          <w:szCs w:val="24"/>
        </w:rPr>
        <w:t xml:space="preserve">Nekilnojamojo turto mokesčio lengvatų teikimo asmenims, vykdantiems Klaipėdos miesto istorinėse dalyse kompleksinį pastatų fasadų ar stogų tvarkymą arba įrengusiems mažosios architektūros ar puošybos elementus, tvarkos aprašu </w:t>
      </w:r>
      <w:r w:rsidR="004A5DED">
        <w:rPr>
          <w:szCs w:val="24"/>
        </w:rPr>
        <w:t>numatytos lengvatos siekia nuo 30 iki 100 proc. deklaruoto nekilnojamojo turto mokesčio sumos;</w:t>
      </w:r>
    </w:p>
    <w:p w:rsidR="0009751F" w:rsidRPr="00C2714F" w:rsidRDefault="0009751F" w:rsidP="002A3F40">
      <w:pPr>
        <w:pStyle w:val="Sraopastraipa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4"/>
        </w:rPr>
      </w:pPr>
      <w:r w:rsidRPr="00C2714F">
        <w:rPr>
          <w:szCs w:val="24"/>
        </w:rPr>
        <w:t>Valstybinės žemės nuomos mokesčio lengvatų teikimo tvarkos aprašu</w:t>
      </w:r>
      <w:r w:rsidR="002A3F40">
        <w:rPr>
          <w:szCs w:val="24"/>
        </w:rPr>
        <w:t xml:space="preserve"> numatytos lengvatos siekia 100 proc. apskaičiuotos žemės nuomos mokesčio sumos.</w:t>
      </w:r>
    </w:p>
    <w:p w:rsidR="007723A9" w:rsidRDefault="002A3F40" w:rsidP="00D22298">
      <w:pPr>
        <w:ind w:firstLine="720"/>
        <w:jc w:val="both"/>
        <w:rPr>
          <w:szCs w:val="24"/>
        </w:rPr>
      </w:pPr>
      <w:r>
        <w:rPr>
          <w:szCs w:val="24"/>
        </w:rPr>
        <w:t xml:space="preserve">Teisės aktai nedraudžia nustatyti, kad vienam mokesčio objektui už tą patį mokestinį laikotarpį </w:t>
      </w:r>
      <w:r w:rsidR="005611AE">
        <w:rPr>
          <w:szCs w:val="24"/>
        </w:rPr>
        <w:t xml:space="preserve">būtų taikoma tik viena mokestinė lengvata. </w:t>
      </w:r>
      <w:r w:rsidR="007723A9">
        <w:rPr>
          <w:szCs w:val="24"/>
        </w:rPr>
        <w:t>T</w:t>
      </w:r>
      <w:r w:rsidR="007723A9" w:rsidRPr="007723A9">
        <w:rPr>
          <w:szCs w:val="24"/>
        </w:rPr>
        <w:t>eikdama lengvat</w:t>
      </w:r>
      <w:r w:rsidR="007723A9">
        <w:rPr>
          <w:szCs w:val="24"/>
        </w:rPr>
        <w:t>as, Taryba</w:t>
      </w:r>
      <w:r w:rsidR="007723A9" w:rsidRPr="007723A9">
        <w:rPr>
          <w:szCs w:val="24"/>
        </w:rPr>
        <w:t xml:space="preserve"> iki šiol laikėsi nuostatos, kad vienam mokesčio objektui teikiama viena to paties mokesčio lengvata</w:t>
      </w:r>
      <w:r w:rsidR="007723A9">
        <w:rPr>
          <w:szCs w:val="24"/>
        </w:rPr>
        <w:t>.</w:t>
      </w:r>
    </w:p>
    <w:p w:rsidR="002A3F40" w:rsidRDefault="005611AE" w:rsidP="00D22298">
      <w:pPr>
        <w:ind w:firstLine="720"/>
        <w:jc w:val="both"/>
        <w:rPr>
          <w:szCs w:val="24"/>
        </w:rPr>
      </w:pPr>
      <w:r>
        <w:rPr>
          <w:szCs w:val="24"/>
        </w:rPr>
        <w:t>Sprendimo projekto 2.2 papunkčio nuostata neužkerta kelio mokesčio mokėtojui pasirinkti jam maksimaliai naudingiausios mokesčio lengvatos.</w:t>
      </w:r>
    </w:p>
    <w:p w:rsidR="000815E9" w:rsidRDefault="000815E9" w:rsidP="00D22298">
      <w:pPr>
        <w:ind w:firstLine="720"/>
        <w:jc w:val="both"/>
        <w:rPr>
          <w:szCs w:val="24"/>
        </w:rPr>
      </w:pPr>
    </w:p>
    <w:p w:rsidR="00F554FA" w:rsidRDefault="00F554FA" w:rsidP="00D22298">
      <w:pPr>
        <w:ind w:firstLine="720"/>
        <w:jc w:val="both"/>
        <w:rPr>
          <w:szCs w:val="24"/>
        </w:rPr>
      </w:pPr>
    </w:p>
    <w:p w:rsidR="007723A9" w:rsidRDefault="007723A9" w:rsidP="00D22298">
      <w:pPr>
        <w:ind w:firstLine="72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695BD7">
        <w:tc>
          <w:tcPr>
            <w:tcW w:w="4829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810" w:type="dxa"/>
          </w:tcPr>
          <w:p w:rsidR="003A3546" w:rsidRPr="003A3546" w:rsidRDefault="0077560C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BD0EDE" w:rsidRDefault="00BD0EDE" w:rsidP="00BD0EDE">
      <w:pPr>
        <w:jc w:val="both"/>
        <w:rPr>
          <w:szCs w:val="24"/>
        </w:rPr>
      </w:pPr>
    </w:p>
    <w:p w:rsidR="00816192" w:rsidRPr="003A3546" w:rsidRDefault="00BD0EDE" w:rsidP="00BD0EDE">
      <w:pPr>
        <w:jc w:val="both"/>
        <w:rPr>
          <w:szCs w:val="24"/>
        </w:rPr>
      </w:pPr>
      <w:r w:rsidRPr="00392C38">
        <w:rPr>
          <w:szCs w:val="24"/>
        </w:rPr>
        <w:t xml:space="preserve">Tadas Kirstukas, tel. (8 46)  39 60 22, el. p. </w:t>
      </w:r>
      <w:hyperlink r:id="rId9" w:history="1">
        <w:r w:rsidRPr="00B11F0B">
          <w:rPr>
            <w:rStyle w:val="Hipersaitas"/>
            <w:szCs w:val="24"/>
          </w:rPr>
          <w:t>tadas.kirstukas@klaipeda.lt</w:t>
        </w:r>
      </w:hyperlink>
    </w:p>
    <w:sectPr w:rsidR="00816192" w:rsidRPr="003A3546" w:rsidSect="00254CF6">
      <w:head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BD7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732B77"/>
    <w:multiLevelType w:val="hybridMultilevel"/>
    <w:tmpl w:val="DA7C7462"/>
    <w:lvl w:ilvl="0" w:tplc="BAACCF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91"/>
    <w:rsid w:val="00024730"/>
    <w:rsid w:val="00061026"/>
    <w:rsid w:val="000815E9"/>
    <w:rsid w:val="000944BF"/>
    <w:rsid w:val="0009751F"/>
    <w:rsid w:val="000A2A43"/>
    <w:rsid w:val="000E6C34"/>
    <w:rsid w:val="000F684A"/>
    <w:rsid w:val="001177DC"/>
    <w:rsid w:val="001370B6"/>
    <w:rsid w:val="001444C8"/>
    <w:rsid w:val="00163473"/>
    <w:rsid w:val="001B01B1"/>
    <w:rsid w:val="001D19BF"/>
    <w:rsid w:val="001D1AE7"/>
    <w:rsid w:val="00237522"/>
    <w:rsid w:val="00237B69"/>
    <w:rsid w:val="00242B88"/>
    <w:rsid w:val="00254CF6"/>
    <w:rsid w:val="00291226"/>
    <w:rsid w:val="002929CF"/>
    <w:rsid w:val="00294851"/>
    <w:rsid w:val="002A3F40"/>
    <w:rsid w:val="002E5FBA"/>
    <w:rsid w:val="00324750"/>
    <w:rsid w:val="00347F54"/>
    <w:rsid w:val="003551C8"/>
    <w:rsid w:val="00384543"/>
    <w:rsid w:val="003A3546"/>
    <w:rsid w:val="003B5196"/>
    <w:rsid w:val="003C07A3"/>
    <w:rsid w:val="003C09F9"/>
    <w:rsid w:val="003D00BA"/>
    <w:rsid w:val="003E5D65"/>
    <w:rsid w:val="003E603A"/>
    <w:rsid w:val="003F181D"/>
    <w:rsid w:val="00404C77"/>
    <w:rsid w:val="00405B54"/>
    <w:rsid w:val="00433CCC"/>
    <w:rsid w:val="004545AD"/>
    <w:rsid w:val="00472954"/>
    <w:rsid w:val="00475E53"/>
    <w:rsid w:val="0048725D"/>
    <w:rsid w:val="004A5DED"/>
    <w:rsid w:val="004C7772"/>
    <w:rsid w:val="004E047A"/>
    <w:rsid w:val="004F140E"/>
    <w:rsid w:val="005611AE"/>
    <w:rsid w:val="00576D6C"/>
    <w:rsid w:val="005C29DF"/>
    <w:rsid w:val="00606132"/>
    <w:rsid w:val="00647ABE"/>
    <w:rsid w:val="006656F5"/>
    <w:rsid w:val="00695BD7"/>
    <w:rsid w:val="006C7469"/>
    <w:rsid w:val="006D6ED2"/>
    <w:rsid w:val="006E106A"/>
    <w:rsid w:val="006F416F"/>
    <w:rsid w:val="006F4715"/>
    <w:rsid w:val="0070711F"/>
    <w:rsid w:val="00710820"/>
    <w:rsid w:val="00713BC8"/>
    <w:rsid w:val="00716065"/>
    <w:rsid w:val="0074051E"/>
    <w:rsid w:val="007723A9"/>
    <w:rsid w:val="0077560C"/>
    <w:rsid w:val="007775F7"/>
    <w:rsid w:val="007A5DAA"/>
    <w:rsid w:val="007C2659"/>
    <w:rsid w:val="007F6345"/>
    <w:rsid w:val="00801E4F"/>
    <w:rsid w:val="00816192"/>
    <w:rsid w:val="008623E9"/>
    <w:rsid w:val="00864F6F"/>
    <w:rsid w:val="008B694E"/>
    <w:rsid w:val="008C6BDA"/>
    <w:rsid w:val="008D69DD"/>
    <w:rsid w:val="008F665C"/>
    <w:rsid w:val="00932DDD"/>
    <w:rsid w:val="009558CE"/>
    <w:rsid w:val="009A4237"/>
    <w:rsid w:val="009A4FDC"/>
    <w:rsid w:val="00A17B4F"/>
    <w:rsid w:val="00A26D38"/>
    <w:rsid w:val="00A3260E"/>
    <w:rsid w:val="00A44DC7"/>
    <w:rsid w:val="00A53083"/>
    <w:rsid w:val="00A56070"/>
    <w:rsid w:val="00A8670A"/>
    <w:rsid w:val="00A9592B"/>
    <w:rsid w:val="00AA5DFD"/>
    <w:rsid w:val="00AA6B04"/>
    <w:rsid w:val="00AB7EF1"/>
    <w:rsid w:val="00AD2EE1"/>
    <w:rsid w:val="00B40258"/>
    <w:rsid w:val="00B4072A"/>
    <w:rsid w:val="00B66CD1"/>
    <w:rsid w:val="00B7320C"/>
    <w:rsid w:val="00B77AEB"/>
    <w:rsid w:val="00B87DB5"/>
    <w:rsid w:val="00BA2585"/>
    <w:rsid w:val="00BB07E2"/>
    <w:rsid w:val="00BC12F7"/>
    <w:rsid w:val="00BD0EDE"/>
    <w:rsid w:val="00BD5049"/>
    <w:rsid w:val="00BE6A94"/>
    <w:rsid w:val="00C06F87"/>
    <w:rsid w:val="00C21AA4"/>
    <w:rsid w:val="00C2714F"/>
    <w:rsid w:val="00C41ED9"/>
    <w:rsid w:val="00C44194"/>
    <w:rsid w:val="00C44350"/>
    <w:rsid w:val="00C703DE"/>
    <w:rsid w:val="00C70A51"/>
    <w:rsid w:val="00C73DF4"/>
    <w:rsid w:val="00CA3B40"/>
    <w:rsid w:val="00CA7B58"/>
    <w:rsid w:val="00CB3E22"/>
    <w:rsid w:val="00D20D5A"/>
    <w:rsid w:val="00D2166F"/>
    <w:rsid w:val="00D22298"/>
    <w:rsid w:val="00D81831"/>
    <w:rsid w:val="00DB0811"/>
    <w:rsid w:val="00DC7526"/>
    <w:rsid w:val="00DE0BFB"/>
    <w:rsid w:val="00E37B92"/>
    <w:rsid w:val="00E44D60"/>
    <w:rsid w:val="00E65B25"/>
    <w:rsid w:val="00E74F05"/>
    <w:rsid w:val="00E96582"/>
    <w:rsid w:val="00EA65AF"/>
    <w:rsid w:val="00EC10BA"/>
    <w:rsid w:val="00EC4F8B"/>
    <w:rsid w:val="00ED1DA5"/>
    <w:rsid w:val="00ED3397"/>
    <w:rsid w:val="00EE68AF"/>
    <w:rsid w:val="00F41647"/>
    <w:rsid w:val="00F554FA"/>
    <w:rsid w:val="00F60107"/>
    <w:rsid w:val="00F71567"/>
    <w:rsid w:val="00FD2039"/>
    <w:rsid w:val="00FF16BC"/>
    <w:rsid w:val="00FF21A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5836BF"/>
  <w15:docId w15:val="{5EE8A7A8-FB1B-40E3-BB5C-D8B311A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C2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das.kirstuka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22FF-95D5-4FAB-AA6D-D3CF4E47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1710</Words>
  <Characters>976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2020-05-21T05:25:00Z</dcterms:created>
  <dcterms:modified xsi:type="dcterms:W3CDTF">2020-05-21T05:25:00Z</dcterms:modified>
</cp:coreProperties>
</file>