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74C35" w:rsidRDefault="001846B9" w:rsidP="00774C35">
      <w:pPr>
        <w:jc w:val="center"/>
        <w:rPr>
          <w:b/>
        </w:rPr>
      </w:pPr>
      <w:r>
        <w:rPr>
          <w:b/>
        </w:rPr>
        <w:t xml:space="preserve">SAVIVALDYBĖS TARYBOS SPRENDIMO PROJEKTUI </w:t>
      </w:r>
    </w:p>
    <w:p w:rsidR="00774C35" w:rsidRPr="00F303D8" w:rsidRDefault="00774C35" w:rsidP="00F303D8">
      <w:pPr>
        <w:jc w:val="center"/>
      </w:pPr>
      <w:r>
        <w:rPr>
          <w:b/>
        </w:rPr>
        <w:t xml:space="preserve"> „</w:t>
      </w:r>
      <w:r w:rsidR="00F303D8" w:rsidRPr="001D3C7E">
        <w:rPr>
          <w:b/>
          <w:caps/>
        </w:rPr>
        <w:t xml:space="preserve">DĖL </w:t>
      </w:r>
      <w:r w:rsidR="00F303D8">
        <w:rPr>
          <w:b/>
          <w:caps/>
        </w:rPr>
        <w:t>SAVIVALDYBĖS BŪSTO IR SOCIALINIO BŪSTO NUOMOS TVARKOS APRAŠO PATVIRTINIMO</w:t>
      </w:r>
      <w:r>
        <w:rPr>
          <w:b/>
        </w:rPr>
        <w:t>“</w:t>
      </w:r>
    </w:p>
    <w:p w:rsidR="001846B9" w:rsidRDefault="001846B9" w:rsidP="00573E2C">
      <w:pPr>
        <w:jc w:val="center"/>
      </w:pPr>
    </w:p>
    <w:p w:rsidR="001E69CF" w:rsidRDefault="001846B9" w:rsidP="00774C35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6A59F1" w:rsidRDefault="00774C35" w:rsidP="00774C35">
      <w:pPr>
        <w:ind w:firstLine="720"/>
        <w:jc w:val="both"/>
      </w:pPr>
      <w:r>
        <w:t xml:space="preserve">Šiuo sprendimo projektu siekiama įgyvendinti </w:t>
      </w:r>
      <w:r w:rsidR="00674531">
        <w:t xml:space="preserve">2020 m. gegužės 7 d. </w:t>
      </w:r>
      <w:r>
        <w:t xml:space="preserve">Lietuvos Respublikos paramos būstui įsigyti ar išsinuomoti </w:t>
      </w:r>
      <w:r w:rsidR="007B410E">
        <w:t xml:space="preserve">įstatymo (toliau – Įstatymas) Nr. XII-2885 </w:t>
      </w:r>
      <w:r w:rsidR="00C30261">
        <w:t>pakeitimus bei atsižvelgti</w:t>
      </w:r>
      <w:r w:rsidR="006A59F1">
        <w:t xml:space="preserve"> į Klaipėdos miesto savivaldybės Kontrolės ir audito tarnybos 2020 m. gegužės 5 d. audito „Savivaldybės nekilnojamojo turto valdymas“ ataskaitos Nr. KAT16-(4.2)-4 rekomendacijų įgyvendinimo plano 5.1 ir 5. 2 punktų įgyvendinimą</w:t>
      </w:r>
      <w:r w:rsidR="00C30261">
        <w:t>.</w:t>
      </w:r>
    </w:p>
    <w:p w:rsidR="001846B9" w:rsidRDefault="001846B9" w:rsidP="00774C35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202FA5" w:rsidRDefault="00202FA5" w:rsidP="00202FA5">
      <w:pPr>
        <w:ind w:firstLine="720"/>
        <w:jc w:val="both"/>
      </w:pPr>
      <w:r>
        <w:t>Iki Įstatymo</w:t>
      </w:r>
      <w:r w:rsidR="000A2336">
        <w:t xml:space="preserve"> pakeitimo</w:t>
      </w:r>
      <w:r>
        <w:t xml:space="preserve"> </w:t>
      </w:r>
      <w:r w:rsidR="00745516">
        <w:t>įsi</w:t>
      </w:r>
      <w:r w:rsidR="007B410E">
        <w:t>galiojimo</w:t>
      </w:r>
      <w:r w:rsidR="0049041D">
        <w:t>,</w:t>
      </w:r>
      <w:r>
        <w:t xml:space="preserve"> </w:t>
      </w:r>
      <w:r w:rsidR="00C320C0">
        <w:t xml:space="preserve">savivaldybė </w:t>
      </w:r>
      <w:r>
        <w:t xml:space="preserve">sprendžiant savivaldybės būsto ir socialinio būsto nuomos klausimus </w:t>
      </w:r>
      <w:r w:rsidR="000A2336">
        <w:t xml:space="preserve">vadovavosi </w:t>
      </w:r>
      <w:r>
        <w:t>Savivaldybės būsto ir socialinio būsto nuomos tvark</w:t>
      </w:r>
      <w:r w:rsidR="00C30261">
        <w:t>os aprašu (toliau-Tvarkos aprašas</w:t>
      </w:r>
      <w:r>
        <w:t xml:space="preserve">), </w:t>
      </w:r>
      <w:r w:rsidR="0049041D">
        <w:t xml:space="preserve">patvirtintu </w:t>
      </w:r>
      <w:r>
        <w:t>Klaipėdos miesto savivaldybės taryb</w:t>
      </w:r>
      <w:r w:rsidR="0049041D">
        <w:t>os</w:t>
      </w:r>
      <w:r>
        <w:t xml:space="preserve"> 20</w:t>
      </w:r>
      <w:r w:rsidR="007B410E">
        <w:t xml:space="preserve">19 </w:t>
      </w:r>
      <w:r>
        <w:t xml:space="preserve">m. </w:t>
      </w:r>
      <w:r w:rsidR="007B410E">
        <w:t>lapkričio</w:t>
      </w:r>
      <w:r>
        <w:t xml:space="preserve"> </w:t>
      </w:r>
      <w:r w:rsidR="007B410E">
        <w:t>28</w:t>
      </w:r>
      <w:r>
        <w:t xml:space="preserve"> d. sprendimu Nr. T2-</w:t>
      </w:r>
      <w:r w:rsidR="00C30261">
        <w:t>319.</w:t>
      </w:r>
    </w:p>
    <w:p w:rsidR="00C320C0" w:rsidRDefault="00F37972" w:rsidP="00C320C0">
      <w:pPr>
        <w:ind w:firstLine="720"/>
        <w:jc w:val="both"/>
      </w:pPr>
      <w:r>
        <w:t>Parengtas naujasis Savivaldybės būsto ir socialinio būsto nuomos tvarkos aprašas yra papildytas Įstatyme numatytomis naujomis savivaldybių institucijoms vykdyti funkcijomis</w:t>
      </w:r>
      <w:r w:rsidR="00C320C0">
        <w:t>, tai yra</w:t>
      </w:r>
      <w:r w:rsidR="00716862">
        <w:t xml:space="preserve"> atsirado naujas </w:t>
      </w:r>
      <w:r w:rsidR="001B79F3">
        <w:t>p</w:t>
      </w:r>
      <w:r w:rsidR="00C30261">
        <w:t>unktas dėl socialinio būsto iš</w:t>
      </w:r>
      <w:r>
        <w:t>nuomojimo asmenims, neįrašytiems į sąrašą - „L</w:t>
      </w:r>
      <w:r w:rsidRPr="006131C0">
        <w:t>ikusiems be tėvų globos asmenims, palikusiems socialinės globos, grupinio gyvenimo ir (ar) savarankiško gyvenimo namus</w:t>
      </w:r>
      <w:r w:rsidR="00F453AC">
        <w:t xml:space="preserve">“. </w:t>
      </w:r>
    </w:p>
    <w:p w:rsidR="006C52A0" w:rsidRDefault="007119F1" w:rsidP="007119F1">
      <w:pPr>
        <w:ind w:firstLine="720"/>
        <w:jc w:val="both"/>
      </w:pPr>
      <w:r>
        <w:t>Atsižvelgiant</w:t>
      </w:r>
      <w:r w:rsidR="000F41ED">
        <w:t xml:space="preserve"> į Lietuvos Respublikos Socialinės apsaugos ir darbo ministerijos 2020-09-02 raštą Nr. (32.3E-24)SD-4558 „Dėl s</w:t>
      </w:r>
      <w:r>
        <w:t>ocialinio būsto nuomos tvarkos“ s</w:t>
      </w:r>
      <w:r w:rsidR="00C320C0">
        <w:t>iekiant užtikrinti eiliškumo principo įgyvendinimą</w:t>
      </w:r>
      <w:r w:rsidR="00E658FB" w:rsidRPr="00E658FB">
        <w:t xml:space="preserve"> </w:t>
      </w:r>
      <w:r w:rsidR="00C320C0">
        <w:t>išnuomojant socialinį būstą, s</w:t>
      </w:r>
      <w:r w:rsidR="00E658FB" w:rsidRPr="00E658FB">
        <w:t>prendimą dėl socialinio būsto nuomos siūlymo asmeniui ar šeimai priima kolegialus or</w:t>
      </w:r>
      <w:r w:rsidR="00E658FB">
        <w:t>ganas (</w:t>
      </w:r>
      <w:r w:rsidR="00250E1D">
        <w:t xml:space="preserve">sudaryta </w:t>
      </w:r>
      <w:r>
        <w:t>darbo grupė). Savivaldybės administracijos direktoriaus 2020-09-28 įsakymas Nr. AD1-1046 „Dėl darbo grupės sudarymo“.</w:t>
      </w:r>
    </w:p>
    <w:p w:rsidR="007119F1" w:rsidRDefault="006C52A0" w:rsidP="007119F1">
      <w:pPr>
        <w:ind w:firstLine="720"/>
        <w:jc w:val="both"/>
      </w:pPr>
      <w:r>
        <w:t>Vykdant Klaipėdos miesto savivaldybės Kontrolės ir audito tarnybos 2020 m. gegužės 5 d. audito „Savivaldybės nekilnojamojo turto valdymas“ ataskaitos Nr. KAT16-(4.2)-4 rekomendacijų įgyvendinimo plano 5.1 ir 5. 2 punktų įgyvendinimą, p</w:t>
      </w:r>
      <w:r w:rsidR="00F453AC" w:rsidRPr="00F453AC">
        <w:t>atikslintas nuomos mokesčio apskaičiavimas ir lengvatų taikymas</w:t>
      </w:r>
      <w:r>
        <w:t>.</w:t>
      </w:r>
      <w:r w:rsidR="007119F1" w:rsidRPr="007119F1">
        <w:t xml:space="preserve"> </w:t>
      </w:r>
    </w:p>
    <w:p w:rsidR="00F453AC" w:rsidRDefault="007119F1" w:rsidP="007119F1">
      <w:pPr>
        <w:ind w:firstLine="720"/>
        <w:jc w:val="both"/>
      </w:pPr>
      <w:r>
        <w:t>Atsižvelgiant į senojo Tvarkos ap</w:t>
      </w:r>
      <w:r w:rsidR="00A70ED7">
        <w:t>rašo taikymo praktiką, atskiri T</w:t>
      </w:r>
      <w:r>
        <w:t>varkos aprašo punktai yra patikslinti ir papildyti dėl nuo 2020-04-01 įsigaliojus savivaldybės administracijos struktūros pertvarkos.</w:t>
      </w:r>
    </w:p>
    <w:p w:rsidR="00745516" w:rsidRDefault="006C52A0" w:rsidP="006C52A0">
      <w:pPr>
        <w:ind w:firstLine="720"/>
        <w:jc w:val="both"/>
      </w:pPr>
      <w:r>
        <w:t>Pakeitimai</w:t>
      </w:r>
      <w:r w:rsidR="00003628">
        <w:t xml:space="preserve"> Savivaldybės būsto ir socialinio būsto nuomos tvarkos apraše </w:t>
      </w:r>
      <w:r>
        <w:t xml:space="preserve">nurodyti </w:t>
      </w:r>
      <w:r w:rsidR="002B7D65">
        <w:t xml:space="preserve">pateiktame </w:t>
      </w:r>
      <w:r w:rsidR="00003628">
        <w:t>lyginamajam</w:t>
      </w:r>
      <w:r>
        <w:t>e projekto variante, pridedamame</w:t>
      </w:r>
      <w:r w:rsidR="00003628">
        <w:t xml:space="preserve"> prie šio Aiškinamojo rašto. 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774C35" w:rsidRDefault="003F4153" w:rsidP="00774C35">
      <w:pPr>
        <w:ind w:firstLine="720"/>
        <w:jc w:val="both"/>
      </w:pPr>
      <w:r>
        <w:t>Patvirtintu</w:t>
      </w:r>
      <w:r w:rsidR="0025490C">
        <w:t>s</w:t>
      </w:r>
      <w:r>
        <w:t xml:space="preserve"> S</w:t>
      </w:r>
      <w:r w:rsidRPr="003F4153">
        <w:t>avivaldybės būsto ir socialinio būsto nuomos tvarkos apraš</w:t>
      </w:r>
      <w:r w:rsidR="0025490C">
        <w:t>ą</w:t>
      </w:r>
      <w:r w:rsidR="007A21B0">
        <w:t>, jis atitiks Įstatymo reikalavimus.</w:t>
      </w:r>
      <w:r w:rsidR="0025490C">
        <w:t xml:space="preserve"> </w:t>
      </w:r>
      <w:r w:rsidR="007A21B0">
        <w:t>Juo</w:t>
      </w:r>
      <w:r w:rsidR="00AE304A">
        <w:t xml:space="preserve"> </w:t>
      </w:r>
      <w:r w:rsidR="007A21B0">
        <w:t xml:space="preserve">bus </w:t>
      </w:r>
      <w:r>
        <w:t xml:space="preserve">vadovaujamasi nuomojant savivaldybės būstą ir socialinį būstą, sprendžiant </w:t>
      </w:r>
      <w:r w:rsidR="00F70BCA">
        <w:t>kitus</w:t>
      </w:r>
      <w:r w:rsidR="0025490C">
        <w:t xml:space="preserve"> su </w:t>
      </w:r>
      <w:r>
        <w:t>savivaldybės gyvenamųjų patalpų nuom</w:t>
      </w:r>
      <w:r w:rsidR="0025490C">
        <w:t>a</w:t>
      </w:r>
      <w:r>
        <w:t xml:space="preserve"> </w:t>
      </w:r>
      <w:r w:rsidR="0025490C">
        <w:t xml:space="preserve">susijusius </w:t>
      </w:r>
      <w:r>
        <w:t>klausimus</w:t>
      </w:r>
      <w:r w:rsidR="0025490C">
        <w:t xml:space="preserve">. </w:t>
      </w:r>
    </w:p>
    <w:p w:rsidR="001846B9" w:rsidRDefault="001846B9" w:rsidP="001846B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1846B9" w:rsidRDefault="001846B9" w:rsidP="001846B9">
      <w:pPr>
        <w:ind w:firstLine="720"/>
        <w:jc w:val="both"/>
      </w:pPr>
      <w:r>
        <w:t>Neigiamų specialistų vertinimų negauta.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P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7A21B0" w:rsidRDefault="00F522A0" w:rsidP="00D11397">
      <w:pPr>
        <w:ind w:firstLine="720"/>
        <w:jc w:val="both"/>
      </w:pPr>
      <w:r>
        <w:t>PRID</w:t>
      </w:r>
      <w:r w:rsidR="00E658FB">
        <w:t>EDAMA. Lyginamasis variantas, 11</w:t>
      </w:r>
      <w:r>
        <w:t xml:space="preserve"> lapų.</w:t>
      </w:r>
    </w:p>
    <w:p w:rsidR="00D11397" w:rsidRDefault="00D11397" w:rsidP="001846B9"/>
    <w:p w:rsidR="00D11397" w:rsidRDefault="00D11397" w:rsidP="001846B9"/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</w:t>
      </w:r>
      <w:r w:rsidR="000A2336">
        <w:t xml:space="preserve">        </w:t>
      </w:r>
      <w:r>
        <w:t xml:space="preserve">   </w:t>
      </w:r>
      <w:r w:rsidR="00E07F5B">
        <w:t>Lina Murauskienė</w:t>
      </w:r>
    </w:p>
    <w:p w:rsidR="00446AC7" w:rsidRDefault="00446AC7" w:rsidP="003077A5">
      <w:pPr>
        <w:tabs>
          <w:tab w:val="left" w:pos="7560"/>
        </w:tabs>
        <w:jc w:val="both"/>
      </w:pPr>
    </w:p>
    <w:sectPr w:rsidR="00446AC7" w:rsidSect="00774C35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16" w:rsidRDefault="00153016">
      <w:r>
        <w:separator/>
      </w:r>
    </w:p>
  </w:endnote>
  <w:endnote w:type="continuationSeparator" w:id="0">
    <w:p w:rsidR="00153016" w:rsidRDefault="0015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16" w:rsidRDefault="00153016">
      <w:r>
        <w:separator/>
      </w:r>
    </w:p>
  </w:footnote>
  <w:footnote w:type="continuationSeparator" w:id="0">
    <w:p w:rsidR="00153016" w:rsidRDefault="0015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13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362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7ED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33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394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1ED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37DE9"/>
    <w:rsid w:val="0014205C"/>
    <w:rsid w:val="00142D15"/>
    <w:rsid w:val="00143985"/>
    <w:rsid w:val="0014442D"/>
    <w:rsid w:val="00146B91"/>
    <w:rsid w:val="0014717A"/>
    <w:rsid w:val="00147A8B"/>
    <w:rsid w:val="001527BA"/>
    <w:rsid w:val="00153016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9F3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FA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703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E1D"/>
    <w:rsid w:val="002511EF"/>
    <w:rsid w:val="002512EE"/>
    <w:rsid w:val="00251CA2"/>
    <w:rsid w:val="00251DE1"/>
    <w:rsid w:val="00253137"/>
    <w:rsid w:val="00253871"/>
    <w:rsid w:val="0025490C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6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B7D6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B48"/>
    <w:rsid w:val="0035261C"/>
    <w:rsid w:val="00353245"/>
    <w:rsid w:val="00353508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153"/>
    <w:rsid w:val="003F4446"/>
    <w:rsid w:val="003F44D9"/>
    <w:rsid w:val="003F45D6"/>
    <w:rsid w:val="00400160"/>
    <w:rsid w:val="004012B0"/>
    <w:rsid w:val="0040155A"/>
    <w:rsid w:val="00401BCB"/>
    <w:rsid w:val="004026E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E2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041D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2DB"/>
    <w:rsid w:val="005F7BA6"/>
    <w:rsid w:val="0060071A"/>
    <w:rsid w:val="00600C6D"/>
    <w:rsid w:val="00601526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531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9F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0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9F1"/>
    <w:rsid w:val="00714D36"/>
    <w:rsid w:val="00715D52"/>
    <w:rsid w:val="0071623E"/>
    <w:rsid w:val="00716862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516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C35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FE2"/>
    <w:rsid w:val="007A00CB"/>
    <w:rsid w:val="007A19F9"/>
    <w:rsid w:val="007A2193"/>
    <w:rsid w:val="007A21B0"/>
    <w:rsid w:val="007A5013"/>
    <w:rsid w:val="007A514C"/>
    <w:rsid w:val="007A7D21"/>
    <w:rsid w:val="007B12D8"/>
    <w:rsid w:val="007B1585"/>
    <w:rsid w:val="007B2787"/>
    <w:rsid w:val="007B410E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A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30C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A42"/>
    <w:rsid w:val="009F29A8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8D4"/>
    <w:rsid w:val="00A702F1"/>
    <w:rsid w:val="00A70B9A"/>
    <w:rsid w:val="00A70ED7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808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04A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537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5A2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685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412"/>
    <w:rsid w:val="00C24C5F"/>
    <w:rsid w:val="00C251D2"/>
    <w:rsid w:val="00C25379"/>
    <w:rsid w:val="00C27241"/>
    <w:rsid w:val="00C27AFB"/>
    <w:rsid w:val="00C27C35"/>
    <w:rsid w:val="00C30261"/>
    <w:rsid w:val="00C3036E"/>
    <w:rsid w:val="00C3163A"/>
    <w:rsid w:val="00C31D14"/>
    <w:rsid w:val="00C320C0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563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64"/>
    <w:rsid w:val="00CA4980"/>
    <w:rsid w:val="00CA55FA"/>
    <w:rsid w:val="00CA575B"/>
    <w:rsid w:val="00CA5808"/>
    <w:rsid w:val="00CA5A4B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397"/>
    <w:rsid w:val="00D14F39"/>
    <w:rsid w:val="00D15168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6D3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3878"/>
    <w:rsid w:val="00E06969"/>
    <w:rsid w:val="00E07D8E"/>
    <w:rsid w:val="00E07F5B"/>
    <w:rsid w:val="00E12457"/>
    <w:rsid w:val="00E12D70"/>
    <w:rsid w:val="00E1380D"/>
    <w:rsid w:val="00E140F2"/>
    <w:rsid w:val="00E158C2"/>
    <w:rsid w:val="00E21186"/>
    <w:rsid w:val="00E220B4"/>
    <w:rsid w:val="00E246A5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8FB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3D8"/>
    <w:rsid w:val="00F3259C"/>
    <w:rsid w:val="00F32F67"/>
    <w:rsid w:val="00F338E1"/>
    <w:rsid w:val="00F34DE1"/>
    <w:rsid w:val="00F351DB"/>
    <w:rsid w:val="00F3719F"/>
    <w:rsid w:val="00F37972"/>
    <w:rsid w:val="00F37A7D"/>
    <w:rsid w:val="00F40291"/>
    <w:rsid w:val="00F40F57"/>
    <w:rsid w:val="00F41014"/>
    <w:rsid w:val="00F4455F"/>
    <w:rsid w:val="00F44D5B"/>
    <w:rsid w:val="00F45381"/>
    <w:rsid w:val="00F453AC"/>
    <w:rsid w:val="00F522A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BC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565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66CEC"/>
  <w15:docId w15:val="{BE63E1EA-3786-4EA4-A2BB-AE122AA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716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2020-10-08T12:17:00Z</dcterms:created>
  <dcterms:modified xsi:type="dcterms:W3CDTF">2020-10-08T12:17:00Z</dcterms:modified>
</cp:coreProperties>
</file>