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26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T2-276</w:t>
            </w:r>
            <w:bookmarkEnd w:id="2"/>
          </w:p>
        </w:tc>
      </w:tr>
    </w:tbl>
    <w:p w:rsidR="00832CC9" w:rsidRPr="00F72A1E" w:rsidRDefault="00832CC9" w:rsidP="0006079E">
      <w:pPr>
        <w:jc w:val="center"/>
      </w:pPr>
    </w:p>
    <w:p w:rsidR="00832CC9" w:rsidRPr="00F72A1E" w:rsidRDefault="00832CC9" w:rsidP="0006079E">
      <w:pPr>
        <w:jc w:val="center"/>
      </w:pPr>
    </w:p>
    <w:p w:rsidR="002E1F23" w:rsidRPr="002E1F23" w:rsidRDefault="002E1F23" w:rsidP="002E1F23">
      <w:pPr>
        <w:jc w:val="center"/>
        <w:rPr>
          <w:b/>
        </w:rPr>
      </w:pPr>
      <w:r w:rsidRPr="002E1F23">
        <w:rPr>
          <w:b/>
        </w:rPr>
        <w:t>KLAIPĖDOS MIESTO SAVIVALDYBĖS VISUOMENĖS SVEIKATOS STEBĖSENOS</w:t>
      </w:r>
    </w:p>
    <w:p w:rsidR="002E1F23" w:rsidRPr="002E1F23" w:rsidRDefault="002E1F23" w:rsidP="002E1F23">
      <w:pPr>
        <w:jc w:val="center"/>
        <w:rPr>
          <w:b/>
        </w:rPr>
      </w:pPr>
      <w:r w:rsidRPr="002E1F23">
        <w:rPr>
          <w:b/>
        </w:rPr>
        <w:t>2019 METŲ ATASKAITA</w:t>
      </w:r>
    </w:p>
    <w:p w:rsidR="002E1F23" w:rsidRPr="002E1F23" w:rsidRDefault="002E1F23" w:rsidP="002E1F23">
      <w:pPr>
        <w:jc w:val="center"/>
        <w:rPr>
          <w:b/>
        </w:rPr>
      </w:pPr>
    </w:p>
    <w:p w:rsidR="002E1F23" w:rsidRPr="002E1F23" w:rsidRDefault="002E1F23" w:rsidP="002E1F23">
      <w:pPr>
        <w:jc w:val="center"/>
      </w:pPr>
      <w:r w:rsidRPr="002E1F23">
        <w:t>(Demografinė būklė – 2020 m. duomenys, sveikatos būklė – 2019 m. duomenys)</w:t>
      </w:r>
    </w:p>
    <w:p w:rsidR="002E1F23" w:rsidRPr="002E1F23" w:rsidRDefault="002E1F23" w:rsidP="002E1F23">
      <w:pPr>
        <w:jc w:val="center"/>
        <w:rPr>
          <w:rFonts w:ascii="Calibri" w:eastAsiaTheme="minorHAnsi" w:hAnsi="Calibri" w:cs="Calibr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asciiTheme="minorHAnsi" w:eastAsiaTheme="minorHAnsi" w:hAnsiTheme="minorHAnsi" w:cstheme="minorBidi"/>
          <w:sz w:val="22"/>
          <w:szCs w:val="22"/>
        </w:rPr>
      </w:pPr>
    </w:p>
    <w:p w:rsidR="002E1F23" w:rsidRPr="002E1F23" w:rsidRDefault="002E1F23" w:rsidP="002E1F23">
      <w:pPr>
        <w:jc w:val="center"/>
        <w:rPr>
          <w:rFonts w:eastAsiaTheme="minorHAnsi"/>
        </w:rPr>
      </w:pPr>
      <w:r w:rsidRPr="002E1F23">
        <w:rPr>
          <w:rFonts w:eastAsiaTheme="minorHAnsi"/>
        </w:rPr>
        <w:t>Klaipėda, 2020</w:t>
      </w:r>
    </w:p>
    <w:p w:rsidR="002E1F23" w:rsidRPr="002E1F23" w:rsidRDefault="002E1F23" w:rsidP="002E1F23">
      <w:pPr>
        <w:jc w:val="center"/>
        <w:rPr>
          <w:rFonts w:eastAsiaTheme="minorHAnsi"/>
          <w:b/>
          <w:bCs/>
        </w:rPr>
      </w:pPr>
      <w:r w:rsidRPr="002E1F23">
        <w:rPr>
          <w:rFonts w:eastAsiaTheme="minorHAnsi"/>
        </w:rPr>
        <w:br w:type="page"/>
      </w:r>
      <w:r w:rsidRPr="002E1F23">
        <w:rPr>
          <w:rFonts w:eastAsiaTheme="minorHAnsi"/>
          <w:b/>
          <w:bCs/>
        </w:rPr>
        <w:lastRenderedPageBreak/>
        <w:t>TURINYS</w:t>
      </w:r>
    </w:p>
    <w:p w:rsidR="002E1F23" w:rsidRPr="002E1F23" w:rsidRDefault="002E1F23" w:rsidP="002E1F23">
      <w:pPr>
        <w:jc w:val="center"/>
        <w:rPr>
          <w:rFonts w:eastAsiaTheme="minorHAnsi"/>
          <w:b/>
          <w:bCs/>
        </w:rPr>
      </w:pPr>
    </w:p>
    <w:p w:rsidR="002E1F23" w:rsidRPr="002E1F23" w:rsidRDefault="002E1F23" w:rsidP="002E1F23">
      <w:pPr>
        <w:jc w:val="both"/>
        <w:rPr>
          <w:rFonts w:eastAsiaTheme="minorHAnsi"/>
        </w:rPr>
      </w:pPr>
      <w:r w:rsidRPr="002E1F23">
        <w:rPr>
          <w:rFonts w:eastAsiaTheme="minorHAnsi"/>
        </w:rPr>
        <w:t>ĮVADAS...............................................................................................................................................3</w:t>
      </w:r>
    </w:p>
    <w:p w:rsidR="002E1F23" w:rsidRPr="002E1F23" w:rsidRDefault="002E1F23" w:rsidP="002E1F23">
      <w:pPr>
        <w:jc w:val="both"/>
        <w:rPr>
          <w:rFonts w:eastAsiaTheme="minorHAnsi"/>
        </w:rPr>
      </w:pPr>
      <w:r w:rsidRPr="002E1F23">
        <w:rPr>
          <w:rFonts w:eastAsiaTheme="minorHAnsi"/>
        </w:rPr>
        <w:t>BENDROJI DALIS..............................................................................................................................</w:t>
      </w:r>
      <w:r w:rsidRPr="002E1F23">
        <w:rPr>
          <w:rFonts w:eastAsiaTheme="minorHAnsi"/>
          <w:lang w:val="es-ES_tradnl"/>
        </w:rPr>
        <w:t>4</w:t>
      </w:r>
    </w:p>
    <w:p w:rsidR="002E1F23" w:rsidRPr="002E1F23" w:rsidRDefault="002E1F23" w:rsidP="002E1F23">
      <w:pPr>
        <w:ind w:right="-1"/>
        <w:jc w:val="both"/>
        <w:rPr>
          <w:rFonts w:eastAsiaTheme="minorHAnsi"/>
        </w:rPr>
      </w:pPr>
      <w:r w:rsidRPr="002E1F23">
        <w:rPr>
          <w:rFonts w:eastAsiaTheme="minorHAnsi"/>
        </w:rPr>
        <w:t>Demografinė situacija...........................................................................................................................4</w:t>
      </w:r>
    </w:p>
    <w:p w:rsidR="002E1F23" w:rsidRPr="002E1F23" w:rsidRDefault="002E1F23" w:rsidP="002E1F23">
      <w:pPr>
        <w:ind w:right="-1"/>
        <w:jc w:val="both"/>
        <w:rPr>
          <w:rFonts w:eastAsiaTheme="minorHAnsi"/>
        </w:rPr>
      </w:pPr>
      <w:r w:rsidRPr="002E1F23">
        <w:rPr>
          <w:rFonts w:eastAsiaTheme="minorHAnsi"/>
        </w:rPr>
        <w:t>Strateginis tikslo siekimas....................................................................................................................5</w:t>
      </w:r>
    </w:p>
    <w:p w:rsidR="002E1F23" w:rsidRPr="002E1F23" w:rsidRDefault="002E1F23" w:rsidP="002E1F23">
      <w:pPr>
        <w:jc w:val="both"/>
        <w:rPr>
          <w:rFonts w:eastAsiaTheme="minorHAnsi"/>
        </w:rPr>
      </w:pPr>
      <w:r w:rsidRPr="002E1F23">
        <w:rPr>
          <w:rFonts w:eastAsiaTheme="minorHAnsi"/>
        </w:rPr>
        <w:t>1 tikslas – sukurti saugesnę socialinę aplinką, mažinti sveikatos netolygumus ir socialinę atskirtį...................................................................................................................................................5</w:t>
      </w:r>
    </w:p>
    <w:p w:rsidR="002E1F23" w:rsidRPr="002E1F23" w:rsidRDefault="002E1F23" w:rsidP="002E1F23">
      <w:pPr>
        <w:jc w:val="both"/>
        <w:rPr>
          <w:rFonts w:eastAsiaTheme="minorHAnsi"/>
        </w:rPr>
      </w:pPr>
      <w:r w:rsidRPr="002E1F23">
        <w:rPr>
          <w:rFonts w:eastAsiaTheme="minorHAnsi"/>
        </w:rPr>
        <w:t>2 tikslas – sukurti sveikatai palankią fizinę darbo ir gyvenamąją aplinką.......................................</w:t>
      </w:r>
      <w:r w:rsidR="0037737F">
        <w:rPr>
          <w:rFonts w:eastAsiaTheme="minorHAnsi"/>
        </w:rPr>
        <w:t>....</w:t>
      </w:r>
      <w:r w:rsidRPr="002E1F23">
        <w:rPr>
          <w:rFonts w:eastAsiaTheme="minorHAnsi"/>
        </w:rPr>
        <w:t>5</w:t>
      </w:r>
    </w:p>
    <w:p w:rsidR="002E1F23" w:rsidRPr="002E1F23" w:rsidRDefault="002E1F23" w:rsidP="002E1F23">
      <w:pPr>
        <w:jc w:val="both"/>
        <w:rPr>
          <w:rFonts w:eastAsiaTheme="minorHAnsi"/>
        </w:rPr>
      </w:pPr>
      <w:r w:rsidRPr="002E1F23">
        <w:rPr>
          <w:rFonts w:eastAsiaTheme="minorHAnsi"/>
        </w:rPr>
        <w:t>3 tikslas – formuoti sveiką gyvenseną ir jos kultūrą....................................................................</w:t>
      </w:r>
      <w:r w:rsidR="0037737F">
        <w:rPr>
          <w:rFonts w:eastAsiaTheme="minorHAnsi"/>
        </w:rPr>
        <w:t>....</w:t>
      </w:r>
      <w:r w:rsidRPr="002E1F23">
        <w:rPr>
          <w:rFonts w:eastAsiaTheme="minorHAnsi"/>
        </w:rPr>
        <w:t>....6</w:t>
      </w:r>
    </w:p>
    <w:p w:rsidR="002E1F23" w:rsidRPr="002E1F23" w:rsidRDefault="002E1F23" w:rsidP="002E1F23">
      <w:pPr>
        <w:jc w:val="both"/>
        <w:rPr>
          <w:rFonts w:eastAsiaTheme="minorHAnsi"/>
        </w:rPr>
      </w:pPr>
      <w:r w:rsidRPr="002E1F23">
        <w:rPr>
          <w:rFonts w:eastAsiaTheme="minorHAnsi"/>
        </w:rPr>
        <w:t>4 tikslas – užtikrinti kokybišką ir efektyvią sveikatos priežiūrą, orientuotą į gyventojų poreikius...............................................................................................................................................6</w:t>
      </w:r>
    </w:p>
    <w:p w:rsidR="002E1F23" w:rsidRPr="002E1F23" w:rsidRDefault="002E1F23" w:rsidP="002E1F23">
      <w:pPr>
        <w:jc w:val="both"/>
        <w:rPr>
          <w:rFonts w:eastAsiaTheme="minorHAnsi"/>
        </w:rPr>
      </w:pPr>
      <w:r w:rsidRPr="002E1F23">
        <w:rPr>
          <w:rFonts w:eastAsiaTheme="minorHAnsi"/>
        </w:rPr>
        <w:t>SPECIALIOJI DALIS..........................................................................................................................7</w:t>
      </w:r>
    </w:p>
    <w:p w:rsidR="002E1F23" w:rsidRPr="002E1F23" w:rsidRDefault="002E1F23" w:rsidP="002E1F23">
      <w:pPr>
        <w:jc w:val="both"/>
        <w:rPr>
          <w:rFonts w:eastAsiaTheme="minorHAnsi"/>
        </w:rPr>
      </w:pPr>
      <w:r w:rsidRPr="002E1F23">
        <w:rPr>
          <w:rFonts w:eastAsiaTheme="minorHAnsi"/>
        </w:rPr>
        <w:t>Prioritetinių sričių identifikavimas...............................................................................................</w:t>
      </w:r>
      <w:r w:rsidR="0037737F">
        <w:rPr>
          <w:rFonts w:eastAsiaTheme="minorHAnsi"/>
        </w:rPr>
        <w:t>.......</w:t>
      </w:r>
      <w:r w:rsidRPr="002E1F23">
        <w:rPr>
          <w:rFonts w:eastAsiaTheme="minorHAnsi"/>
        </w:rPr>
        <w:t>.7</w:t>
      </w:r>
    </w:p>
    <w:p w:rsidR="002E1F23" w:rsidRPr="002E1F23" w:rsidRDefault="002E1F23" w:rsidP="002E1F23">
      <w:pPr>
        <w:ind w:right="-1"/>
        <w:jc w:val="both"/>
        <w:rPr>
          <w:rFonts w:eastAsiaTheme="minorHAnsi"/>
        </w:rPr>
      </w:pPr>
      <w:r w:rsidRPr="002E1F23">
        <w:rPr>
          <w:rFonts w:eastAsiaTheme="minorHAnsi"/>
        </w:rPr>
        <w:t>Transporto įvykiuose patirtos traumos...............................................................</w:t>
      </w:r>
      <w:r w:rsidR="0037737F">
        <w:rPr>
          <w:rFonts w:eastAsiaTheme="minorHAnsi"/>
        </w:rPr>
        <w:t>...............................</w:t>
      </w:r>
      <w:r w:rsidRPr="002E1F23">
        <w:rPr>
          <w:rFonts w:eastAsiaTheme="minorHAnsi"/>
        </w:rPr>
        <w:t>...8</w:t>
      </w:r>
    </w:p>
    <w:p w:rsidR="002E1F23" w:rsidRPr="002E1F23" w:rsidRDefault="002E1F23" w:rsidP="002E1F23">
      <w:pPr>
        <w:ind w:right="-1"/>
        <w:jc w:val="both"/>
        <w:rPr>
          <w:rFonts w:eastAsiaTheme="minorHAnsi"/>
        </w:rPr>
      </w:pPr>
      <w:r w:rsidRPr="002E1F23">
        <w:rPr>
          <w:rFonts w:eastAsiaTheme="minorHAnsi"/>
        </w:rPr>
        <w:t>Vaikų krūminių dantų dengimo silantinėmis medžiagomis programos vykdymas......................</w:t>
      </w:r>
      <w:r w:rsidR="0037737F">
        <w:rPr>
          <w:rFonts w:eastAsiaTheme="minorHAnsi"/>
        </w:rPr>
        <w:t>.......</w:t>
      </w:r>
      <w:r w:rsidRPr="002E1F23">
        <w:rPr>
          <w:rFonts w:eastAsiaTheme="minorHAnsi"/>
        </w:rPr>
        <w:t>.9</w:t>
      </w:r>
    </w:p>
    <w:p w:rsidR="002E1F23" w:rsidRPr="002E1F23" w:rsidRDefault="002E1F23" w:rsidP="002E1F23">
      <w:pPr>
        <w:ind w:right="-1"/>
        <w:jc w:val="both"/>
        <w:rPr>
          <w:rFonts w:eastAsiaTheme="minorHAnsi"/>
        </w:rPr>
      </w:pPr>
      <w:r w:rsidRPr="002E1F23">
        <w:rPr>
          <w:rFonts w:eastAsiaTheme="minorHAnsi"/>
        </w:rPr>
        <w:t>Sergamumas cukriniu diabetu...................................................................................................</w:t>
      </w:r>
      <w:r w:rsidR="0037737F">
        <w:rPr>
          <w:rFonts w:eastAsiaTheme="minorHAnsi"/>
        </w:rPr>
        <w:t>.....</w:t>
      </w:r>
      <w:r w:rsidRPr="002E1F23">
        <w:rPr>
          <w:rFonts w:eastAsiaTheme="minorHAnsi"/>
        </w:rPr>
        <w:t>....10</w:t>
      </w:r>
    </w:p>
    <w:p w:rsidR="002E1F23" w:rsidRPr="002E1F23" w:rsidRDefault="002E1F23" w:rsidP="002E1F23">
      <w:pPr>
        <w:jc w:val="both"/>
        <w:rPr>
          <w:rFonts w:eastAsiaTheme="minorHAnsi"/>
        </w:rPr>
      </w:pPr>
      <w:r w:rsidRPr="002E1F23">
        <w:rPr>
          <w:rFonts w:eastAsiaTheme="minorHAnsi"/>
        </w:rPr>
        <w:t>Tyrimai, atlikti 2019 metais Klaipėdos miesto savivaldybėje..........................................</w:t>
      </w:r>
      <w:r w:rsidR="0037737F">
        <w:rPr>
          <w:rFonts w:eastAsiaTheme="minorHAnsi"/>
        </w:rPr>
        <w:t>..............</w:t>
      </w:r>
      <w:r w:rsidRPr="002E1F23">
        <w:rPr>
          <w:rFonts w:eastAsiaTheme="minorHAnsi"/>
        </w:rPr>
        <w:t>....12</w:t>
      </w:r>
    </w:p>
    <w:p w:rsidR="002E1F23" w:rsidRPr="002E1F23" w:rsidRDefault="002E1F23" w:rsidP="002E1F23">
      <w:pPr>
        <w:jc w:val="both"/>
        <w:rPr>
          <w:rFonts w:eastAsiaTheme="minorHAnsi"/>
        </w:rPr>
      </w:pPr>
      <w:r w:rsidRPr="002E1F23">
        <w:rPr>
          <w:rFonts w:eastAsiaTheme="minorHAnsi"/>
        </w:rPr>
        <w:t>Projekto „Jaunimo planeta – narkomanijos prevencijos programa“ tyrimas dėl psichoaktyvių medžiagų vartojimo............................................................................................................................12</w:t>
      </w:r>
    </w:p>
    <w:p w:rsidR="002E1F23" w:rsidRPr="002E1F23" w:rsidRDefault="002E1F23" w:rsidP="002E1F23">
      <w:pPr>
        <w:jc w:val="both"/>
        <w:rPr>
          <w:rFonts w:eastAsiaTheme="minorHAnsi"/>
        </w:rPr>
      </w:pPr>
      <w:r w:rsidRPr="002E1F23">
        <w:rPr>
          <w:rFonts w:eastAsiaTheme="minorHAnsi"/>
        </w:rPr>
        <w:t>Mokinių kuprinių svėrimo akcija „Ar žinai, kiek sveria tavo kuprinė?“...........</w:t>
      </w:r>
      <w:r w:rsidR="0037737F">
        <w:rPr>
          <w:rFonts w:eastAsiaTheme="minorHAnsi"/>
        </w:rPr>
        <w:t>..............................</w:t>
      </w:r>
      <w:r w:rsidRPr="002E1F23">
        <w:rPr>
          <w:rFonts w:eastAsiaTheme="minorHAnsi"/>
        </w:rPr>
        <w:t>...13</w:t>
      </w:r>
    </w:p>
    <w:p w:rsidR="002E1F23" w:rsidRPr="002E1F23" w:rsidRDefault="002E1F23" w:rsidP="002E1F23">
      <w:pPr>
        <w:jc w:val="both"/>
        <w:rPr>
          <w:rFonts w:eastAsiaTheme="minorHAnsi"/>
        </w:rPr>
      </w:pPr>
      <w:r w:rsidRPr="002E1F23">
        <w:rPr>
          <w:rFonts w:eastAsiaTheme="minorHAnsi"/>
        </w:rPr>
        <w:t>APIBENDRINIMAS..........................................................................................................................14</w:t>
      </w:r>
    </w:p>
    <w:p w:rsidR="002E1F23" w:rsidRPr="002E1F23" w:rsidRDefault="002E1F23" w:rsidP="002E1F23">
      <w:pPr>
        <w:jc w:val="both"/>
        <w:rPr>
          <w:rFonts w:eastAsiaTheme="minorHAnsi"/>
        </w:rPr>
      </w:pPr>
      <w:r w:rsidRPr="002E1F23">
        <w:rPr>
          <w:rFonts w:eastAsiaTheme="minorHAnsi"/>
        </w:rPr>
        <w:t>REKOMENDACIJOS........................................................................................................................16</w:t>
      </w:r>
    </w:p>
    <w:p w:rsidR="002E1F23" w:rsidRPr="002E1F23" w:rsidRDefault="002E1F23" w:rsidP="002E1F23">
      <w:pPr>
        <w:jc w:val="both"/>
        <w:rPr>
          <w:rFonts w:eastAsiaTheme="minorHAnsi"/>
        </w:rPr>
      </w:pPr>
      <w:r w:rsidRPr="002E1F23">
        <w:rPr>
          <w:rFonts w:eastAsiaTheme="minorHAnsi"/>
        </w:rPr>
        <w:t>ŠALTINIAI........................................................................................................................................17</w:t>
      </w:r>
    </w:p>
    <w:p w:rsidR="002E1F23" w:rsidRPr="002E1F23" w:rsidRDefault="002E1F23" w:rsidP="002E1F23">
      <w:pPr>
        <w:jc w:val="center"/>
        <w:rPr>
          <w:rFonts w:eastAsiaTheme="minorHAnsi"/>
        </w:rPr>
      </w:pPr>
    </w:p>
    <w:p w:rsidR="002E1F23" w:rsidRPr="002E1F23" w:rsidRDefault="002E1F23" w:rsidP="002E1F23">
      <w:pPr>
        <w:jc w:val="center"/>
        <w:rPr>
          <w:rFonts w:eastAsiaTheme="minorHAnsi"/>
          <w:b/>
          <w:sz w:val="22"/>
          <w:szCs w:val="22"/>
        </w:rPr>
      </w:pPr>
      <w:r w:rsidRPr="002E1F23">
        <w:rPr>
          <w:rFonts w:eastAsiaTheme="minorHAnsi"/>
          <w:b/>
          <w:sz w:val="22"/>
          <w:szCs w:val="22"/>
        </w:rPr>
        <w:br w:type="page"/>
      </w:r>
      <w:r w:rsidRPr="002E1F23">
        <w:rPr>
          <w:b/>
        </w:rPr>
        <w:lastRenderedPageBreak/>
        <w:t>ĮVADAS</w:t>
      </w:r>
    </w:p>
    <w:p w:rsidR="002E1F23" w:rsidRPr="002E1F23" w:rsidRDefault="002E1F23" w:rsidP="002E1F23">
      <w:pPr>
        <w:jc w:val="center"/>
        <w:rPr>
          <w:rFonts w:eastAsiaTheme="minorHAnsi"/>
          <w:sz w:val="22"/>
          <w:szCs w:val="22"/>
        </w:rPr>
      </w:pPr>
    </w:p>
    <w:p w:rsidR="002E1F23" w:rsidRPr="002E1F23" w:rsidRDefault="002E1F23" w:rsidP="002E1F23">
      <w:pPr>
        <w:ind w:firstLine="709"/>
        <w:jc w:val="both"/>
        <w:rPr>
          <w:rFonts w:eastAsiaTheme="minorHAnsi"/>
        </w:rPr>
      </w:pPr>
      <w:r w:rsidRPr="002E1F23">
        <w:rPr>
          <w:rFonts w:eastAsiaTheme="minorHAnsi"/>
        </w:rPr>
        <w:t>Visuomenės sveikatos stebėsena Klaipėdos miesto</w:t>
      </w:r>
      <w:r w:rsidRPr="002E1F23">
        <w:rPr>
          <w:rFonts w:eastAsiaTheme="minorHAnsi"/>
          <w:i/>
          <w:iCs/>
        </w:rPr>
        <w:t xml:space="preserve"> </w:t>
      </w:r>
      <w:r w:rsidRPr="002E1F23">
        <w:rPr>
          <w:rFonts w:eastAsiaTheme="minorHAnsi"/>
        </w:rPr>
        <w:t>savivaldybėje vykdoma remiantis Bendraisiais savivaldybių visuomenės sveikatos stebėsenos nuostatais, patvirtintais Lietuvos Respublikos sveikatos apsaugos ministro 2003 m. rugpjūčio 11 d. įsakymu Nr. V-488 „Dėl Bendrųjų savivaldybių visuomenės sveikatos stebėsenos nuostatų patvirtinimo“.</w:t>
      </w:r>
    </w:p>
    <w:p w:rsidR="002E1F23" w:rsidRPr="002E1F23" w:rsidRDefault="002E1F23" w:rsidP="002E1F23">
      <w:pPr>
        <w:ind w:firstLine="709"/>
        <w:jc w:val="both"/>
        <w:rPr>
          <w:rFonts w:eastAsiaTheme="minorHAnsi"/>
        </w:rPr>
      </w:pPr>
      <w:r w:rsidRPr="002E1F23">
        <w:rPr>
          <w:rFonts w:eastAsiaTheme="minorHAnsi"/>
        </w:rPr>
        <w:t xml:space="preserve">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w:t>
      </w:r>
    </w:p>
    <w:p w:rsidR="002E1F23" w:rsidRPr="002E1F23" w:rsidRDefault="002E1F23" w:rsidP="002E1F23">
      <w:pPr>
        <w:ind w:firstLine="709"/>
        <w:jc w:val="both"/>
        <w:rPr>
          <w:rFonts w:eastAsiaTheme="minorHAnsi"/>
        </w:rPr>
      </w:pPr>
      <w:r w:rsidRPr="002E1F23">
        <w:rPr>
          <w:rFonts w:eastAsiaTheme="minorHAnsi"/>
        </w:rPr>
        <w:t xml:space="preserve">2014 m. birželį Lietuvos Respublikos Seimas patvirtino Lietuvos sveikatos 2014–2025 metų strategiją, kuri nustato nacionalinio sveikatinimo veiklos tikslus ir uždavinius, siekiamus sveikatos lygio rodiklius. Sveikatos strategijos strateginis tikslas – pasiekti, kad 2025 m. šalies gyventojai būtų sveikesni, pailgėtų jų gyvenimo trukmė, pagerėtų gyventojų sveikata ir sumažėtų sveikatos netolygumai. Sveikatos strategijos nustatyti šie 4 tikslai: </w:t>
      </w:r>
    </w:p>
    <w:p w:rsidR="002E1F23" w:rsidRPr="002E1F23" w:rsidRDefault="002E1F23" w:rsidP="002E1F23">
      <w:pPr>
        <w:ind w:firstLine="709"/>
        <w:jc w:val="both"/>
        <w:rPr>
          <w:rFonts w:eastAsiaTheme="minorHAnsi"/>
        </w:rPr>
      </w:pPr>
      <w:r w:rsidRPr="002E1F23">
        <w:rPr>
          <w:rFonts w:eastAsiaTheme="minorHAnsi"/>
        </w:rPr>
        <w:t xml:space="preserve">1. Sukurti saugesnę socialinę aplinką, mažinti sveikatos netolygumus ir socialinę atskirtį; </w:t>
      </w:r>
    </w:p>
    <w:p w:rsidR="002E1F23" w:rsidRPr="002E1F23" w:rsidRDefault="002E1F23" w:rsidP="002E1F23">
      <w:pPr>
        <w:ind w:firstLine="709"/>
        <w:jc w:val="both"/>
        <w:rPr>
          <w:rFonts w:eastAsiaTheme="minorHAnsi"/>
        </w:rPr>
      </w:pPr>
      <w:r w:rsidRPr="002E1F23">
        <w:rPr>
          <w:rFonts w:eastAsiaTheme="minorHAnsi"/>
        </w:rPr>
        <w:t xml:space="preserve">2. Sukurti sveikatai palankią fizinę darbo ir gyvenamąją aplinką; </w:t>
      </w:r>
    </w:p>
    <w:p w:rsidR="002E1F23" w:rsidRPr="002E1F23" w:rsidRDefault="002E1F23" w:rsidP="002E1F23">
      <w:pPr>
        <w:ind w:firstLine="709"/>
        <w:jc w:val="both"/>
        <w:rPr>
          <w:rFonts w:eastAsiaTheme="minorHAnsi"/>
        </w:rPr>
      </w:pPr>
      <w:r w:rsidRPr="002E1F23">
        <w:rPr>
          <w:rFonts w:eastAsiaTheme="minorHAnsi"/>
        </w:rPr>
        <w:t xml:space="preserve">3. Formuoti sveiką gyvenseną ir jos kultūrą; </w:t>
      </w:r>
    </w:p>
    <w:p w:rsidR="002E1F23" w:rsidRPr="002E1F23" w:rsidRDefault="002E1F23" w:rsidP="002E1F23">
      <w:pPr>
        <w:ind w:firstLine="709"/>
        <w:jc w:val="both"/>
        <w:rPr>
          <w:rFonts w:eastAsiaTheme="minorHAnsi"/>
        </w:rPr>
      </w:pPr>
      <w:r w:rsidRPr="002E1F23">
        <w:rPr>
          <w:rFonts w:eastAsiaTheme="minorHAnsi"/>
        </w:rPr>
        <w:t>4. Užtikrinti kokybišką ir efektyvią sveikatos priežiūrą, orientuotą į gyventojų poreikius.</w:t>
      </w:r>
    </w:p>
    <w:p w:rsidR="002E1F23" w:rsidRPr="002E1F23" w:rsidRDefault="002E1F23" w:rsidP="002E1F23">
      <w:pPr>
        <w:ind w:firstLine="709"/>
        <w:jc w:val="both"/>
        <w:rPr>
          <w:rFonts w:eastAsiaTheme="minorHAnsi"/>
        </w:rPr>
      </w:pPr>
      <w:r w:rsidRPr="002E1F23">
        <w:rPr>
          <w:rFonts w:eastAsiaTheme="minorHAnsi"/>
        </w:rPr>
        <w:t xml:space="preserve">Savivaldybių institucijos Lietuvos sveikatos strategijoje (toliau – LSS) numatytus tikslus ir uždavinius įgyvendina per savivaldybės strateginį plėtros ir strateginį veiklos planus, atsižvelgdamos į savivaldybės gyventojų sveikatos būklę ir jai įtaką darančių veiksnių paplitimą (Lietuvos Respublikos visuomenės sveikatos priežiūros įstatymo 10 straipsnis). </w:t>
      </w:r>
    </w:p>
    <w:p w:rsidR="002E1F23" w:rsidRPr="002E1F23" w:rsidRDefault="002E1F23" w:rsidP="002E1F23">
      <w:pPr>
        <w:ind w:firstLine="709"/>
        <w:jc w:val="both"/>
        <w:rPr>
          <w:rFonts w:eastAsiaTheme="minorHAnsi"/>
        </w:rPr>
      </w:pPr>
      <w:r w:rsidRPr="002E1F23">
        <w:rPr>
          <w:rFonts w:eastAsiaTheme="minorHAnsi"/>
        </w:rPr>
        <w:t>Visuomenės sveikatos stebėsenos ataskaitoje pateikti visuomenės sveikatai reikšmingi rodikliai, kurie susieti su tam tikru Lietuvos sveikatos strategijos tikslu ir uždaviniu.</w:t>
      </w:r>
    </w:p>
    <w:p w:rsidR="002E1F23" w:rsidRPr="002E1F23" w:rsidRDefault="002E1F23" w:rsidP="002E1F23">
      <w:pPr>
        <w:jc w:val="center"/>
        <w:rPr>
          <w:rFonts w:eastAsiaTheme="minorHAnsi"/>
          <w:b/>
        </w:rPr>
      </w:pPr>
      <w:r w:rsidRPr="002E1F23">
        <w:rPr>
          <w:rFonts w:eastAsiaTheme="minorHAnsi"/>
        </w:rPr>
        <w:br w:type="page"/>
      </w:r>
    </w:p>
    <w:p w:rsidR="002E1F23" w:rsidRPr="002E1F23" w:rsidRDefault="002E1F23" w:rsidP="002E1F23">
      <w:pPr>
        <w:jc w:val="center"/>
        <w:rPr>
          <w:b/>
        </w:rPr>
      </w:pPr>
      <w:r w:rsidRPr="002E1F23">
        <w:rPr>
          <w:b/>
        </w:rPr>
        <w:lastRenderedPageBreak/>
        <w:t>BENDROJI DALIS</w:t>
      </w:r>
    </w:p>
    <w:p w:rsidR="002E1F23" w:rsidRPr="002E1F23" w:rsidRDefault="002E1F23" w:rsidP="002E1F23">
      <w:pPr>
        <w:tabs>
          <w:tab w:val="left" w:pos="851"/>
        </w:tabs>
        <w:ind w:firstLine="709"/>
        <w:jc w:val="center"/>
        <w:rPr>
          <w:b/>
        </w:rPr>
      </w:pPr>
    </w:p>
    <w:p w:rsidR="002E1F23" w:rsidRPr="002E1F23" w:rsidRDefault="002E1F23" w:rsidP="004A2AF8">
      <w:pPr>
        <w:tabs>
          <w:tab w:val="left" w:pos="851"/>
        </w:tabs>
        <w:ind w:firstLine="709"/>
        <w:jc w:val="both"/>
        <w:rPr>
          <w:rFonts w:eastAsiaTheme="minorHAnsi"/>
        </w:rPr>
      </w:pPr>
      <w:r w:rsidRPr="002E1F23">
        <w:rPr>
          <w:rFonts w:eastAsiaTheme="minorHAnsi"/>
        </w:rPr>
        <w:t>Rodiklių analizė ir interpretavimas atliekamas palyginant einamųjų metų Klaipėdos miesto savivaldybės (toliau – Klaipėdos m. sav.) rodiklius su Lietuvos rodikliu. Vadovaujantis šviesoforo principu, savivaldybės suskirstytos į grupes:</w:t>
      </w:r>
    </w:p>
    <w:p w:rsidR="002E1F23" w:rsidRPr="002E1F23" w:rsidRDefault="002E1F23" w:rsidP="004A2AF8">
      <w:pPr>
        <w:numPr>
          <w:ilvl w:val="0"/>
          <w:numId w:val="6"/>
        </w:numPr>
        <w:tabs>
          <w:tab w:val="left" w:pos="851"/>
        </w:tabs>
        <w:spacing w:after="200" w:line="276" w:lineRule="auto"/>
        <w:ind w:left="0" w:firstLine="709"/>
        <w:contextualSpacing/>
        <w:jc w:val="both"/>
        <w:rPr>
          <w:rFonts w:eastAsiaTheme="minorHAnsi"/>
        </w:rPr>
      </w:pPr>
      <w:r w:rsidRPr="002E1F23">
        <w:rPr>
          <w:rFonts w:eastAsiaTheme="minorHAnsi"/>
        </w:rPr>
        <w:t xml:space="preserve">12 savivaldybių, kuriose stebimas rodiklis atspindi geriausią situaciją, priskiriamos savivaldybių su geriausiais rodikliais grupei ir žymimos žalia spalva; </w:t>
      </w:r>
    </w:p>
    <w:p w:rsidR="002E1F23" w:rsidRPr="002E1F23" w:rsidRDefault="002E1F23" w:rsidP="004A2AF8">
      <w:pPr>
        <w:numPr>
          <w:ilvl w:val="0"/>
          <w:numId w:val="6"/>
        </w:numPr>
        <w:tabs>
          <w:tab w:val="left" w:pos="851"/>
        </w:tabs>
        <w:spacing w:after="200" w:line="276" w:lineRule="auto"/>
        <w:ind w:left="0" w:firstLine="709"/>
        <w:contextualSpacing/>
        <w:jc w:val="both"/>
        <w:rPr>
          <w:rFonts w:eastAsiaTheme="minorHAnsi"/>
        </w:rPr>
      </w:pPr>
      <w:r w:rsidRPr="002E1F23">
        <w:rPr>
          <w:rFonts w:eastAsiaTheme="minorHAnsi"/>
        </w:rPr>
        <w:t xml:space="preserve">12 savivaldybių, kuriose stebimas rodiklis – prasčiausias, priskiriamos savivaldybių su prasčiausiais rodikliais grupei ir žymimos raudona spalva; </w:t>
      </w:r>
    </w:p>
    <w:p w:rsidR="002E1F23" w:rsidRPr="002E1F23" w:rsidRDefault="002E1F23" w:rsidP="004A2AF8">
      <w:pPr>
        <w:numPr>
          <w:ilvl w:val="0"/>
          <w:numId w:val="6"/>
        </w:numPr>
        <w:tabs>
          <w:tab w:val="left" w:pos="851"/>
        </w:tabs>
        <w:spacing w:after="200" w:line="276" w:lineRule="auto"/>
        <w:ind w:left="0" w:firstLine="709"/>
        <w:contextualSpacing/>
        <w:jc w:val="both"/>
        <w:rPr>
          <w:rFonts w:eastAsiaTheme="minorHAnsi"/>
        </w:rPr>
      </w:pPr>
      <w:r w:rsidRPr="002E1F23">
        <w:rPr>
          <w:rFonts w:eastAsiaTheme="minorHAnsi"/>
        </w:rPr>
        <w:t xml:space="preserve">likusių 36 savivaldybių rodiklio reikšmės žymimos geltona spalva. Šių savivaldybių rodikliai interpretuojami kaip atitinkantys Lietuvos rodiklį. </w:t>
      </w:r>
    </w:p>
    <w:p w:rsidR="002E1F23" w:rsidRPr="002E1F23" w:rsidRDefault="002E1F23" w:rsidP="002E1F23">
      <w:pPr>
        <w:tabs>
          <w:tab w:val="left" w:pos="851"/>
        </w:tabs>
        <w:ind w:firstLine="709"/>
        <w:jc w:val="both"/>
        <w:rPr>
          <w:rFonts w:eastAsiaTheme="minorHAnsi"/>
        </w:rPr>
      </w:pPr>
      <w:r w:rsidRPr="002E1F23">
        <w:rPr>
          <w:rFonts w:eastAsiaTheme="minorHAnsi"/>
        </w:rPr>
        <w:t>Rodiklių analizės tikslas yra įvertinti esamą gyventojų sveikatos ir sveikatą lemiančių veiksnių situaciją Klaipėdos m. sav., vertinant ją Lietuvos sveikatos strategijos tikslų ir uždavinių įgyvendinimo kontekste ir remiantis šia objektyvia informacija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detalesnė analizė ir vertinimas (žr. skyrių „Specialioji dalis“).</w:t>
      </w:r>
    </w:p>
    <w:p w:rsidR="002E1F23" w:rsidRPr="002E1F23" w:rsidRDefault="002E1F23" w:rsidP="002E1F23">
      <w:pPr>
        <w:ind w:firstLine="794"/>
        <w:jc w:val="both"/>
        <w:rPr>
          <w:rFonts w:eastAsiaTheme="minorHAnsi"/>
        </w:rPr>
      </w:pPr>
    </w:p>
    <w:p w:rsidR="002E1F23" w:rsidRPr="002E1F23" w:rsidRDefault="002E1F23" w:rsidP="002E1F23">
      <w:pPr>
        <w:keepNext/>
        <w:keepLines/>
        <w:jc w:val="center"/>
        <w:outlineLvl w:val="1"/>
        <w:rPr>
          <w:rFonts w:eastAsiaTheme="majorEastAsia"/>
          <w:b/>
          <w:bCs/>
        </w:rPr>
      </w:pPr>
      <w:r w:rsidRPr="002E1F23">
        <w:rPr>
          <w:rFonts w:eastAsiaTheme="majorEastAsia"/>
          <w:b/>
          <w:bCs/>
        </w:rPr>
        <w:t>Demografinė situacija</w:t>
      </w:r>
    </w:p>
    <w:p w:rsidR="002E1F23" w:rsidRPr="002E1F23" w:rsidRDefault="002E1F23" w:rsidP="002E1F23">
      <w:pPr>
        <w:ind w:firstLine="709"/>
        <w:jc w:val="both"/>
        <w:rPr>
          <w:rFonts w:eastAsiaTheme="minorHAnsi"/>
        </w:rPr>
      </w:pPr>
    </w:p>
    <w:p w:rsidR="002E1F23" w:rsidRPr="002E1F23" w:rsidRDefault="002E1F23" w:rsidP="002E1F23">
      <w:pPr>
        <w:ind w:firstLine="709"/>
        <w:jc w:val="both"/>
        <w:rPr>
          <w:rFonts w:eastAsiaTheme="minorHAnsi"/>
        </w:rPr>
      </w:pPr>
      <w:r w:rsidRPr="002E1F23">
        <w:rPr>
          <w:rFonts w:eastAsiaTheme="minorHAnsi"/>
        </w:rPr>
        <w:t>Gyventojų skaičius Klaipėdoje kasmet mažėjo iki 2020 metų. 2020 metų pradžioje Klaipėdoje gyveno 149 116 gyventojų – 1 224, arba 0,8 proc., daugiau gyventojų nei 2019 metų pradžioje. 2020 metų pradžioje moterų buvo 13 142 daugiau nei vyrų (atitinkamai 81 129 ir 67 987) ir jos sudarė 54,4 proc. visų Klaipėdos miesto gyventojų.</w:t>
      </w:r>
    </w:p>
    <w:p w:rsidR="002E1F23" w:rsidRPr="002E1F23" w:rsidRDefault="002E1F23" w:rsidP="002E1F23">
      <w:pPr>
        <w:ind w:firstLine="709"/>
        <w:jc w:val="both"/>
        <w:rPr>
          <w:rFonts w:eastAsiaTheme="minorHAnsi"/>
          <w:highlight w:val="yellow"/>
        </w:rPr>
      </w:pPr>
      <w:r w:rsidRPr="002E1F23">
        <w:rPr>
          <w:rFonts w:eastAsiaTheme="minorHAnsi"/>
        </w:rPr>
        <w:t>2020 metų pradžioje Klaipėdos mieste didžiąją gyventojų dalį sudarė darbingo amžiaus gyventojai (89 928, arba 60,3 proc.). Klaipėdos m. sav. gyvena daugiau pensinio amžiaus žmonių nei vaikų iki 15 metų amžiaus (atitinkamai 33 008, arba 22,1 proc., ir 26 180, arba 17,6 proc.), tai reiškia, kad Klaipėdos miesto gyventojai senėja. 2020 metų pradžioje vidutinis Klaipėdos miesto gyventojų amžius buvo 42 metai: vyrų – 38 metai, moterų – 46 metai.</w:t>
      </w:r>
    </w:p>
    <w:p w:rsidR="002E1F23" w:rsidRPr="002E1F23" w:rsidRDefault="002E1F23" w:rsidP="002E1F23">
      <w:pPr>
        <w:ind w:firstLine="709"/>
        <w:jc w:val="both"/>
        <w:rPr>
          <w:rFonts w:eastAsiaTheme="minorHAnsi"/>
        </w:rPr>
      </w:pPr>
      <w:bookmarkStart w:id="3" w:name="_Hlk23768422"/>
      <w:r w:rsidRPr="002E1F23">
        <w:rPr>
          <w:rFonts w:eastAsiaTheme="minorHAnsi"/>
        </w:rPr>
        <w:t>2019 metais Klaipėdoje natūralios gyventojų kaitos rodiklis buvo neigiamas (-370 asmenų). Per metus gimė 1 657 kūdikiai (854 berniukai ir 803 mergaitės), tai sudarė 6 proc. visų Lietuvoje gimusių vaikų. Gimstamumo rodiklis 1000-iui gyventojų buvo 11,2 (Lietuvoje – 9,8). Per metus Klaipėdoje mirė 2 027 asmenys (990 vyrų ir 1 037 moterys), tai 68 asmenimis, arba 3,5 proc., daugiau nei 2018 metais (2018 metais mirė 1 959 asmenys). Mirtingumo rodiklis 1000-iui gyventojų Klaipėdos mieste – 13,6, o Lietuvoje – 13,7. 2019 metais Klaipėdoje mirę asmenys sudarė 5,3 proc. visoje Lietuvoje mirusių asmenų.</w:t>
      </w:r>
    </w:p>
    <w:p w:rsidR="002E1F23" w:rsidRPr="002E1F23" w:rsidRDefault="002E1F23" w:rsidP="002E1F23">
      <w:pPr>
        <w:ind w:firstLine="709"/>
        <w:jc w:val="both"/>
        <w:rPr>
          <w:rFonts w:eastAsiaTheme="minorHAnsi"/>
          <w:highlight w:val="yellow"/>
        </w:rPr>
      </w:pPr>
      <w:r w:rsidRPr="002E1F23">
        <w:rPr>
          <w:rFonts w:eastAsiaTheme="minorHAnsi"/>
        </w:rPr>
        <w:t>2019 metais Klaipėdoje vidaus migracijos neto rodiklis buvo teigiamas (1 594 asmenys). Tai rodo, kad per metus į Klaipėdą iš kitų Lietuvos vietovių atvyko daugiau gyventojų nei iš jos išvyko.</w:t>
      </w:r>
    </w:p>
    <w:p w:rsidR="002E1F23" w:rsidRPr="002E1F23" w:rsidRDefault="002E1F23" w:rsidP="002E1F23">
      <w:pPr>
        <w:ind w:firstLine="709"/>
        <w:jc w:val="both"/>
        <w:rPr>
          <w:rFonts w:eastAsiaTheme="minorHAnsi"/>
        </w:rPr>
      </w:pPr>
      <w:r w:rsidRPr="002E1F23">
        <w:rPr>
          <w:rFonts w:eastAsiaTheme="minorHAnsi"/>
        </w:rPr>
        <w:t>Klaipėdos mieste aktualus gyventojų senėjimo klausimas, demografinę situaciją patogu stebėti pasitelkiant demografinio medžio grafiką, kuriame pateikiamas savivaldybės gyventojų pasiskirstymas pagal lytį ir amžiaus grupes 2007 ir 2020 metų pradžioje (1 pav.). Klaipėdos mieste žymiai išaugo (2 kartus) vyresnių nei 80 metų amžiaus moterų ir vyrų skaičius, lyginant su 2007 metais, o 2 kartus sumažėjo 15–24 metų amžiaus vyrų dalis.</w:t>
      </w:r>
    </w:p>
    <w:p w:rsidR="002E1F23" w:rsidRPr="002E1F23" w:rsidRDefault="002E1F23" w:rsidP="002E1F23">
      <w:pPr>
        <w:ind w:firstLine="794"/>
        <w:jc w:val="both"/>
        <w:rPr>
          <w:rFonts w:eastAsiaTheme="minorHAnsi"/>
        </w:rPr>
      </w:pPr>
      <w:r w:rsidRPr="002E1F23">
        <w:rPr>
          <w:rFonts w:asciiTheme="minorHAnsi" w:eastAsiaTheme="minorHAnsi" w:hAnsiTheme="minorHAnsi" w:cstheme="minorBidi"/>
          <w:noProof/>
          <w:sz w:val="22"/>
          <w:szCs w:val="22"/>
          <w:lang w:eastAsia="lt-LT"/>
        </w:rPr>
        <w:lastRenderedPageBreak/>
        <w:drawing>
          <wp:inline distT="0" distB="0" distL="0" distR="0" wp14:anchorId="0E996233" wp14:editId="2D58F620">
            <wp:extent cx="2895600" cy="3623945"/>
            <wp:effectExtent l="0" t="0" r="0" b="0"/>
            <wp:docPr id="5" name="Chart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CC3DF64-12C4-46BB-9BB4-AE5A1992F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E1F23">
        <w:rPr>
          <w:rFonts w:asciiTheme="minorHAnsi" w:eastAsiaTheme="minorHAnsi" w:hAnsiTheme="minorHAnsi" w:cstheme="minorBidi"/>
          <w:noProof/>
          <w:sz w:val="22"/>
          <w:szCs w:val="22"/>
          <w:lang w:eastAsia="lt-LT"/>
        </w:rPr>
        <w:drawing>
          <wp:inline distT="0" distB="0" distL="0" distR="0" wp14:anchorId="48E6FAEC" wp14:editId="60350CA5">
            <wp:extent cx="2657475" cy="3623945"/>
            <wp:effectExtent l="0" t="0" r="9525" b="0"/>
            <wp:docPr id="12" name="Chart 1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65DB065-554C-4278-A585-ADB3F2A41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3"/>
    <w:p w:rsidR="002E1F23" w:rsidRPr="002E1F23" w:rsidRDefault="002E1F23" w:rsidP="002E1F23">
      <w:pPr>
        <w:tabs>
          <w:tab w:val="left" w:pos="709"/>
          <w:tab w:val="left" w:pos="1134"/>
        </w:tabs>
        <w:jc w:val="center"/>
        <w:rPr>
          <w:rFonts w:eastAsiaTheme="minorHAnsi"/>
          <w:sz w:val="22"/>
          <w:szCs w:val="22"/>
        </w:rPr>
      </w:pPr>
      <w:r w:rsidRPr="002E1F23">
        <w:rPr>
          <w:rFonts w:eastAsiaTheme="minorHAnsi"/>
          <w:i/>
          <w:sz w:val="22"/>
          <w:szCs w:val="22"/>
        </w:rPr>
        <w:t>1 pav.</w:t>
      </w:r>
      <w:r w:rsidRPr="002E1F23">
        <w:rPr>
          <w:rFonts w:eastAsiaTheme="minorHAnsi"/>
          <w:b/>
          <w:sz w:val="22"/>
          <w:szCs w:val="22"/>
        </w:rPr>
        <w:t xml:space="preserve"> Klaipėdos m. sav. demografinis medis, 2007 ir 2020 metai</w:t>
      </w:r>
    </w:p>
    <w:p w:rsidR="002E1F23" w:rsidRPr="002E1F23" w:rsidRDefault="002E1F23" w:rsidP="002E1F23">
      <w:pPr>
        <w:tabs>
          <w:tab w:val="left" w:pos="709"/>
          <w:tab w:val="left" w:pos="1134"/>
        </w:tabs>
        <w:jc w:val="center"/>
        <w:rPr>
          <w:rFonts w:eastAsiaTheme="minorHAnsi"/>
          <w:sz w:val="20"/>
          <w:szCs w:val="20"/>
        </w:rPr>
      </w:pPr>
      <w:r w:rsidRPr="002E1F23">
        <w:rPr>
          <w:rFonts w:eastAsiaTheme="minorHAnsi"/>
          <w:sz w:val="20"/>
          <w:szCs w:val="20"/>
        </w:rPr>
        <w:t>Šaltinis: Lietuvos statistikos departamentas</w:t>
      </w:r>
    </w:p>
    <w:p w:rsidR="002E1F23" w:rsidRPr="002E1F23" w:rsidRDefault="002E1F23" w:rsidP="002E1F23">
      <w:pPr>
        <w:tabs>
          <w:tab w:val="left" w:pos="709"/>
          <w:tab w:val="left" w:pos="1134"/>
        </w:tabs>
        <w:jc w:val="both"/>
        <w:rPr>
          <w:rFonts w:eastAsiaTheme="minorHAnsi"/>
          <w:color w:val="FF0000"/>
        </w:rPr>
      </w:pPr>
    </w:p>
    <w:p w:rsidR="002E1F23" w:rsidRPr="002E1F23" w:rsidRDefault="002E1F23" w:rsidP="002E1F23">
      <w:pPr>
        <w:keepNext/>
        <w:keepLines/>
        <w:jc w:val="center"/>
        <w:outlineLvl w:val="1"/>
        <w:rPr>
          <w:rFonts w:eastAsiaTheme="majorEastAsia"/>
          <w:b/>
          <w:bCs/>
        </w:rPr>
      </w:pPr>
      <w:bookmarkStart w:id="4" w:name="_Toc496874349"/>
      <w:r w:rsidRPr="002E1F23">
        <w:rPr>
          <w:rFonts w:eastAsiaTheme="majorEastAsia"/>
          <w:b/>
          <w:bCs/>
        </w:rPr>
        <w:t>Strateginio tikslo siekimas</w:t>
      </w:r>
      <w:bookmarkEnd w:id="4"/>
    </w:p>
    <w:p w:rsidR="002E1F23" w:rsidRPr="002E1F23" w:rsidRDefault="002E1F23" w:rsidP="002E1F23">
      <w:pPr>
        <w:keepNext/>
        <w:keepLines/>
        <w:ind w:firstLine="709"/>
        <w:jc w:val="center"/>
        <w:outlineLvl w:val="1"/>
        <w:rPr>
          <w:rFonts w:eastAsiaTheme="majorEastAsia"/>
          <w:b/>
          <w:bCs/>
        </w:rPr>
      </w:pPr>
    </w:p>
    <w:p w:rsidR="002E1F23" w:rsidRPr="002E1F23" w:rsidRDefault="002E1F23" w:rsidP="002E1F23">
      <w:pPr>
        <w:ind w:firstLine="709"/>
        <w:jc w:val="both"/>
        <w:rPr>
          <w:rFonts w:eastAsiaTheme="minorHAnsi"/>
        </w:rPr>
      </w:pPr>
      <w:r w:rsidRPr="002E1F23">
        <w:rPr>
          <w:rFonts w:eastAsiaTheme="minorHAnsi"/>
        </w:rPr>
        <w:t xml:space="preserve">LSS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rsidR="002E1F23" w:rsidRPr="002E1F23" w:rsidRDefault="002E1F23" w:rsidP="002E1F23">
      <w:pPr>
        <w:ind w:firstLine="709"/>
        <w:jc w:val="both"/>
        <w:rPr>
          <w:rFonts w:eastAsiaTheme="minorHAnsi"/>
        </w:rPr>
      </w:pPr>
      <w:r w:rsidRPr="002E1F23">
        <w:rPr>
          <w:rFonts w:eastAsiaTheme="minorHAnsi"/>
        </w:rPr>
        <w:t xml:space="preserve">2019 metais Klaipėdos m. sav. vidutinė tikėtina gyvenimo trukmė buvo 76,3 metai, tai atitiko Lietuvos rodiklį – 76,5 metai. </w:t>
      </w:r>
    </w:p>
    <w:p w:rsidR="002E1F23" w:rsidRPr="002E1F23" w:rsidRDefault="002E1F23" w:rsidP="002E1F23">
      <w:pPr>
        <w:ind w:firstLine="709"/>
        <w:jc w:val="both"/>
        <w:rPr>
          <w:rFonts w:eastAsiaTheme="minorHAnsi"/>
        </w:rPr>
      </w:pPr>
      <w:r w:rsidRPr="002E1F23">
        <w:rPr>
          <w:rFonts w:eastAsiaTheme="minorHAnsi"/>
        </w:rPr>
        <w:t>Išvengiamo mirtingumo rodiklis – tai mirtingumas, nulemtas ligų (ar būklių), kurių galima išvengti, taikant žinomas efektyvias prevencines, diagnostikos ir gydymo priemones. 2019 metais Klaipėdos m. sav. išvengiamo mirtingumo rodiklis (28,1 proc.) buvo geresnis už Lietuvos rodiklį (31,7 proc.), todėl savivaldybė patenka į geriausių rodiklių grupę (žalioji zona).</w:t>
      </w:r>
    </w:p>
    <w:p w:rsidR="002E1F23" w:rsidRPr="002E1F23" w:rsidRDefault="002E1F23" w:rsidP="002E1F23">
      <w:pPr>
        <w:ind w:firstLine="794"/>
        <w:jc w:val="both"/>
        <w:rPr>
          <w:rFonts w:eastAsiaTheme="minorHAnsi"/>
        </w:rPr>
      </w:pPr>
    </w:p>
    <w:p w:rsidR="002E1F23" w:rsidRPr="002E1F23" w:rsidRDefault="002E1F23" w:rsidP="002E1F23">
      <w:pPr>
        <w:keepNext/>
        <w:keepLines/>
        <w:jc w:val="center"/>
        <w:outlineLvl w:val="1"/>
        <w:rPr>
          <w:rFonts w:eastAsiaTheme="majorEastAsia"/>
          <w:b/>
          <w:bCs/>
        </w:rPr>
      </w:pPr>
      <w:r w:rsidRPr="002E1F23">
        <w:rPr>
          <w:rFonts w:eastAsiaTheme="majorEastAsia"/>
          <w:b/>
          <w:bCs/>
        </w:rPr>
        <w:t>1 tikslas – sukurti saugesnę socialinę aplinką, mažinti sveikatos netolygumus ir socialinę atskirtį</w:t>
      </w:r>
    </w:p>
    <w:p w:rsidR="002E1F23" w:rsidRPr="002E1F23" w:rsidRDefault="002E1F23" w:rsidP="002E1F23">
      <w:pPr>
        <w:rPr>
          <w:rFonts w:eastAsiaTheme="minorHAnsi"/>
          <w:sz w:val="22"/>
          <w:szCs w:val="22"/>
        </w:rPr>
      </w:pPr>
    </w:p>
    <w:p w:rsidR="002E1F23" w:rsidRPr="002E1F23" w:rsidRDefault="002E1F23" w:rsidP="002E1F23">
      <w:pPr>
        <w:ind w:firstLine="709"/>
        <w:jc w:val="both"/>
        <w:rPr>
          <w:rFonts w:eastAsiaTheme="minorHAnsi"/>
        </w:rPr>
      </w:pPr>
      <w:r w:rsidRPr="002E1F23">
        <w:rPr>
          <w:rFonts w:eastAsiaTheme="minorHAnsi"/>
        </w:rPr>
        <w:t xml:space="preserve">Atsižvelgiant į LSS iškeltus uždavinius tikslams pasiekti bei remiantis priedo lentelėje „Klaipėdos miesto savivaldybės sveikatos ir su sveikata susijusių rodiklių profilis“ pateiktomis rodiklių reikšmėmis, matoma, kad: </w:t>
      </w:r>
    </w:p>
    <w:p w:rsidR="002E1F23" w:rsidRPr="002E1F23" w:rsidRDefault="002E1F23" w:rsidP="002E1F23">
      <w:pPr>
        <w:ind w:firstLine="709"/>
        <w:jc w:val="both"/>
        <w:rPr>
          <w:rFonts w:eastAsiaTheme="minorHAnsi"/>
        </w:rPr>
      </w:pPr>
      <w:r w:rsidRPr="002E1F23">
        <w:rPr>
          <w:rFonts w:eastAsiaTheme="minorHAnsi"/>
        </w:rPr>
        <w:t xml:space="preserve">1.1. Uždavinio „sumažinti skurdo lygį ir nedarbą“ rodikliai Klaipėdos m. sav. daugeliu atvejų yra geresni už Lietuvos vidurkį. </w:t>
      </w:r>
    </w:p>
    <w:p w:rsidR="002E1F23" w:rsidRPr="002E1F23" w:rsidRDefault="002E1F23" w:rsidP="002E1F23">
      <w:pPr>
        <w:ind w:firstLine="709"/>
        <w:jc w:val="both"/>
        <w:rPr>
          <w:rFonts w:eastAsiaTheme="minorHAnsi"/>
        </w:rPr>
      </w:pPr>
      <w:r w:rsidRPr="002E1F23">
        <w:rPr>
          <w:rFonts w:eastAsiaTheme="minorHAnsi"/>
        </w:rPr>
        <w:t>1.2. Uždavinio „sumažinti socialinę ekonominę gyventojų diferenciaciją šalies ir bendruomenių lygiu“ rodikliai atitinka Lietuvos vidurkį arba yra geresni už jį.</w:t>
      </w:r>
    </w:p>
    <w:p w:rsidR="002E1F23" w:rsidRPr="002E1F23" w:rsidRDefault="002E1F23" w:rsidP="002E1F23">
      <w:pPr>
        <w:ind w:firstLine="1298"/>
        <w:jc w:val="both"/>
        <w:rPr>
          <w:lang w:eastAsia="lt-LT"/>
        </w:rPr>
      </w:pPr>
    </w:p>
    <w:p w:rsidR="002E1F23" w:rsidRPr="002E1F23" w:rsidRDefault="002E1F23" w:rsidP="002E1F23">
      <w:pPr>
        <w:jc w:val="center"/>
        <w:rPr>
          <w:rFonts w:eastAsiaTheme="minorHAnsi"/>
          <w:b/>
        </w:rPr>
      </w:pPr>
      <w:r w:rsidRPr="002E1F23">
        <w:rPr>
          <w:rFonts w:eastAsiaTheme="minorHAnsi"/>
          <w:b/>
        </w:rPr>
        <w:t>2 tikslas – sukurti sveikatai palankią fizinę darbo ir gyvenamąją aplinką</w:t>
      </w:r>
    </w:p>
    <w:p w:rsidR="002E1F23" w:rsidRPr="002E1F23" w:rsidRDefault="002E1F23" w:rsidP="002E1F23">
      <w:pPr>
        <w:ind w:firstLine="360"/>
        <w:jc w:val="both"/>
        <w:rPr>
          <w:lang w:eastAsia="lt-LT"/>
        </w:rPr>
      </w:pPr>
    </w:p>
    <w:p w:rsidR="002E1F23" w:rsidRPr="002E1F23" w:rsidRDefault="002E1F23" w:rsidP="002E1F23">
      <w:pPr>
        <w:ind w:firstLine="709"/>
        <w:jc w:val="both"/>
        <w:rPr>
          <w:lang w:eastAsia="lt-LT"/>
        </w:rPr>
      </w:pPr>
      <w:r w:rsidRPr="002E1F23">
        <w:rPr>
          <w:lang w:eastAsia="lt-LT"/>
        </w:rPr>
        <w:t xml:space="preserve">Atsižvelgiant į LSS iškeltus uždavinius tikslams pasiekti bei remiantis priedo lentelėje pateiktomis rodiklių reikšmėmis, matoma, kad: </w:t>
      </w:r>
    </w:p>
    <w:p w:rsidR="002E1F23" w:rsidRPr="002E1F23" w:rsidRDefault="002E1F23" w:rsidP="002E1F23">
      <w:pPr>
        <w:ind w:firstLine="709"/>
        <w:jc w:val="both"/>
        <w:rPr>
          <w:lang w:eastAsia="lt-LT"/>
        </w:rPr>
      </w:pPr>
      <w:r w:rsidRPr="002E1F23">
        <w:rPr>
          <w:lang w:eastAsia="lt-LT"/>
        </w:rPr>
        <w:lastRenderedPageBreak/>
        <w:t>2.1. Uždavinio ,,kurti saugias darbo ir sveikas buities sąlygas, didinti prekių ir paslaugų vartotojų saugumą“ rodikliai Klaipėdos m. sav. daugeliu atvejų atitinka Lietuvos vidurkį.</w:t>
      </w:r>
    </w:p>
    <w:p w:rsidR="002E1F23" w:rsidRPr="002E1F23" w:rsidRDefault="002E1F23" w:rsidP="002E1F23">
      <w:pPr>
        <w:ind w:firstLine="709"/>
        <w:jc w:val="both"/>
        <w:rPr>
          <w:lang w:eastAsia="lt-LT"/>
        </w:rPr>
      </w:pPr>
      <w:r w:rsidRPr="002E1F23">
        <w:rPr>
          <w:lang w:eastAsia="lt-LT"/>
        </w:rPr>
        <w:t xml:space="preserve">2.2. </w:t>
      </w:r>
      <w:r w:rsidRPr="002E1F23">
        <w:rPr>
          <w:rFonts w:eastAsiaTheme="minorHAnsi"/>
        </w:rPr>
        <w:t>Uždavinio „kurti palankias sąlygas saugiai leisti laisvalaikį“ rodikliai Klaipėdos m. sav. atitinka Lietuvos vidurkį.</w:t>
      </w:r>
    </w:p>
    <w:p w:rsidR="002E1F23" w:rsidRPr="002E1F23" w:rsidRDefault="002E1F23" w:rsidP="002E1F23">
      <w:pPr>
        <w:ind w:firstLine="709"/>
        <w:jc w:val="both"/>
        <w:rPr>
          <w:rFonts w:eastAsiaTheme="minorHAnsi"/>
        </w:rPr>
      </w:pPr>
      <w:r w:rsidRPr="002E1F23">
        <w:rPr>
          <w:rFonts w:eastAsiaTheme="minorHAnsi"/>
        </w:rPr>
        <w:t>2.3. Uždavinio „mažinti avaringumą ir traumų kelių eismo įvykiuose skaičių“ rodikliai Klaipėdos m. sav. daugeliu atvejų atitinka Lietuvos vidurkį, tačiau išsiskiria didesnis transporto įvykiuose patirtų traumų rodiklis.</w:t>
      </w:r>
    </w:p>
    <w:p w:rsidR="002E1F23" w:rsidRPr="002E1F23" w:rsidRDefault="002E1F23" w:rsidP="002E1F23">
      <w:pPr>
        <w:ind w:firstLine="709"/>
        <w:jc w:val="both"/>
        <w:rPr>
          <w:rFonts w:eastAsiaTheme="minorHAnsi"/>
        </w:rPr>
      </w:pPr>
      <w:r w:rsidRPr="002E1F23">
        <w:rPr>
          <w:rFonts w:eastAsiaTheme="minorHAnsi"/>
        </w:rPr>
        <w:t>2.4. Uždavinio „mažinti oro, vandens ir dirvožemio užterštumą, triukšmą“ į atmosferą iš stacionarių taršos šaltinių išmestų teršalų kiekio rodiklis Klaipėdos m. sav. viršija Lietuvos vidurkį. Taip pat šis rodiklis buvo blogesnis ir kitose savivaldybėse, kuriose išvystyta pramonė: Panevėžio m., Kauno m., Šiaulių m., Vilniaus m. ir kt. Klaipėdos mieste, kaip Vakarų Lietuvos pramonės centre, sukuriama apie 12 proc. šalies bendrojo vidaus produkto (BVP) ir beveik 80 proc. Vakarų Lietuvos BVP. Klaipėdos miesto savivaldybės aplinkos monitoringo 2017–2021 metų programoje teigiama, kad Klaipėdos mieste iš stacionarių taršos šaltinių miesto orą labiausiai teršia energetikos, laivų statybos ir remonto, baldų gamybos, medienos apdirbimo, statybinių medžiagų gamybos, maisto pramonės įmonės bei uoste vykdomi krovos darbai. Klaipėdos m. sav. teritorijoje pagrindiniai stacionarūs taršos šaltiniai yra įmonės, kurioms yra išduotas taršos integruotos prevencijos kontrolės (TIPK) leidimas (su aplinkos oro taršos valdymu). Aplinkos apsaugos agentūros duomenimis, 2019 metais taršos leidimai buvo išduoti šešioms Klaipėdos miesto teritorijoje veikiančioms įmonėms: UAB „Demeksa“, UAB „Metruna“, UAB „Vygrida“, UAB „Harvest House“, VĮ Klaipėdos valstybinio jūrų uosto direkcijos užteršto grunto nusausinimo, saugojimo ir tvarkymo aikštelei, UAB „Baltic Trade Line“.</w:t>
      </w:r>
    </w:p>
    <w:p w:rsidR="002E1F23" w:rsidRPr="002E1F23" w:rsidRDefault="002E1F23" w:rsidP="002E1F23">
      <w:pPr>
        <w:keepNext/>
        <w:keepLines/>
        <w:outlineLvl w:val="1"/>
        <w:rPr>
          <w:b/>
          <w:bCs/>
          <w:lang w:eastAsia="lt-LT"/>
        </w:rPr>
      </w:pPr>
    </w:p>
    <w:p w:rsidR="002E1F23" w:rsidRPr="002E1F23" w:rsidRDefault="002E1F23" w:rsidP="002E1F23">
      <w:pPr>
        <w:keepNext/>
        <w:keepLines/>
        <w:jc w:val="center"/>
        <w:outlineLvl w:val="1"/>
        <w:rPr>
          <w:b/>
          <w:bCs/>
          <w:lang w:eastAsia="lt-LT"/>
        </w:rPr>
      </w:pPr>
      <w:bookmarkStart w:id="5" w:name="_Toc496874350"/>
      <w:r w:rsidRPr="002E1F23">
        <w:rPr>
          <w:b/>
          <w:bCs/>
          <w:lang w:eastAsia="lt-LT"/>
        </w:rPr>
        <w:t>3 tikslas – formuoti sveiką gyvenseną ir jos kultūrą</w:t>
      </w:r>
      <w:bookmarkEnd w:id="5"/>
    </w:p>
    <w:p w:rsidR="002E1F23" w:rsidRPr="002E1F23" w:rsidRDefault="002E1F23" w:rsidP="002E1F23">
      <w:pPr>
        <w:ind w:firstLine="1298"/>
        <w:jc w:val="both"/>
        <w:rPr>
          <w:rFonts w:eastAsiaTheme="minorHAnsi"/>
        </w:rPr>
      </w:pPr>
    </w:p>
    <w:p w:rsidR="002E1F23" w:rsidRPr="002E1F23" w:rsidRDefault="002E1F23" w:rsidP="002E1F23">
      <w:pPr>
        <w:ind w:firstLine="709"/>
        <w:jc w:val="both"/>
        <w:rPr>
          <w:rFonts w:eastAsiaTheme="minorHAnsi"/>
        </w:rPr>
      </w:pPr>
      <w:r w:rsidRPr="002E1F23">
        <w:rPr>
          <w:rFonts w:eastAsiaTheme="minorHAnsi"/>
        </w:rPr>
        <w:t xml:space="preserve">Atsižvelgiant į LSS iškeltus uždavinius tikslams pasiekti bei remiantis priedo lentelėje pateiktomis rodiklių reikšmėmis, matoma, kad: </w:t>
      </w:r>
    </w:p>
    <w:p w:rsidR="002E1F23" w:rsidRPr="002E1F23" w:rsidRDefault="002E1F23" w:rsidP="002E1F23">
      <w:pPr>
        <w:ind w:firstLine="709"/>
        <w:jc w:val="both"/>
        <w:rPr>
          <w:rFonts w:eastAsiaTheme="minorHAnsi"/>
        </w:rPr>
      </w:pPr>
      <w:r w:rsidRPr="002E1F23">
        <w:rPr>
          <w:rFonts w:eastAsiaTheme="minorHAnsi"/>
        </w:rPr>
        <w:t>3.1. Uždavinio „sumažinti alkoholinių gėrimų, tabako vartojimą, neteisėtą narkotinių ir psichotropinių medžiagų vartojimą ir prieinamumą“ rodikliai Klaipėdos m. sav. daugeliu atvejų atitinka Lietuvos vidurkį, tačiau išsiskiria mirtingumas dėl priežasčių, susijusių su narkotikų vartojimu, bei nusikalstamos veikos, susijusios su disponavimu narkotinėmis medžiagomis.</w:t>
      </w:r>
    </w:p>
    <w:p w:rsidR="002E1F23" w:rsidRPr="002E1F23" w:rsidRDefault="002E1F23" w:rsidP="002E1F23">
      <w:pPr>
        <w:ind w:firstLine="709"/>
        <w:jc w:val="both"/>
        <w:rPr>
          <w:rFonts w:eastAsiaTheme="minorHAnsi"/>
        </w:rPr>
      </w:pPr>
      <w:r w:rsidRPr="002E1F23">
        <w:rPr>
          <w:rFonts w:eastAsiaTheme="minorHAnsi"/>
        </w:rPr>
        <w:t>3.2. Uždavinio „skatinti sveikos mitybos įpročius“ rodiklis Klaipėdos m. sav. atitinka Lietuvos vidurkį.</w:t>
      </w:r>
    </w:p>
    <w:p w:rsidR="002E1F23" w:rsidRPr="002E1F23" w:rsidRDefault="002E1F23" w:rsidP="002E1F23">
      <w:pPr>
        <w:ind w:firstLine="794"/>
        <w:jc w:val="both"/>
        <w:rPr>
          <w:rFonts w:eastAsiaTheme="minorHAnsi"/>
          <w:sz w:val="22"/>
          <w:szCs w:val="22"/>
        </w:rPr>
      </w:pPr>
    </w:p>
    <w:p w:rsidR="002E1F23" w:rsidRPr="002E1F23" w:rsidRDefault="002E1F23" w:rsidP="002E1F23">
      <w:pPr>
        <w:keepNext/>
        <w:keepLines/>
        <w:jc w:val="center"/>
        <w:outlineLvl w:val="1"/>
        <w:rPr>
          <w:b/>
          <w:bCs/>
          <w:lang w:eastAsia="lt-LT"/>
        </w:rPr>
      </w:pPr>
      <w:bookmarkStart w:id="6" w:name="_Toc496874351"/>
      <w:r w:rsidRPr="002E1F23">
        <w:rPr>
          <w:b/>
          <w:bCs/>
          <w:lang w:eastAsia="lt-LT"/>
        </w:rPr>
        <w:t>4 tikslas – užtikrinti kokybišką ir efektyvią sveikatos priežiūrą, orientuotą į gyventojų poreikius</w:t>
      </w:r>
      <w:bookmarkEnd w:id="6"/>
    </w:p>
    <w:p w:rsidR="002E1F23" w:rsidRPr="002E1F23" w:rsidRDefault="002E1F23" w:rsidP="002E1F23">
      <w:pPr>
        <w:rPr>
          <w:rFonts w:eastAsiaTheme="minorHAnsi"/>
          <w:sz w:val="22"/>
          <w:szCs w:val="22"/>
          <w:lang w:eastAsia="lt-LT"/>
        </w:rPr>
      </w:pPr>
    </w:p>
    <w:p w:rsidR="002E1F23" w:rsidRPr="002E1F23" w:rsidRDefault="002E1F23" w:rsidP="002E1F23">
      <w:pPr>
        <w:ind w:firstLine="709"/>
        <w:jc w:val="both"/>
        <w:rPr>
          <w:rFonts w:eastAsiaTheme="minorHAnsi"/>
        </w:rPr>
      </w:pPr>
      <w:r w:rsidRPr="002E1F23">
        <w:rPr>
          <w:rFonts w:eastAsiaTheme="minorHAnsi"/>
        </w:rPr>
        <w:t>Atsižvelgiant į LSS iškeltus uždavinius tikslams pasiekti bei remiantis priedo lentelėje pateiktomis rodiklių reikšmėmis, matoma, kad:</w:t>
      </w:r>
    </w:p>
    <w:p w:rsidR="002E1F23" w:rsidRPr="002E1F23" w:rsidRDefault="002E1F23" w:rsidP="002E1F23">
      <w:pPr>
        <w:ind w:firstLine="709"/>
        <w:jc w:val="both"/>
        <w:rPr>
          <w:rFonts w:eastAsiaTheme="minorHAnsi"/>
        </w:rPr>
      </w:pPr>
      <w:r w:rsidRPr="002E1F23">
        <w:rPr>
          <w:rFonts w:eastAsiaTheme="minorHAnsi"/>
        </w:rPr>
        <w:t>4.1. Uždavinio „užtikrinti sveikatos sistemos tvarumą ir kokybę, plėtojant sveikatos technologijas, kurių efektyvumas pagrįstas mokslo įrodymais“ rodikliai Klaipėdos m. sav.</w:t>
      </w:r>
      <w:r w:rsidRPr="002E1F23">
        <w:rPr>
          <w:rFonts w:asciiTheme="minorHAnsi" w:eastAsiaTheme="minorHAnsi" w:hAnsiTheme="minorHAnsi" w:cstheme="minorBidi"/>
          <w:sz w:val="22"/>
          <w:szCs w:val="22"/>
        </w:rPr>
        <w:t xml:space="preserve"> </w:t>
      </w:r>
      <w:r w:rsidRPr="002E1F23">
        <w:rPr>
          <w:rFonts w:eastAsiaTheme="minorHAnsi"/>
        </w:rPr>
        <w:t>atitinka Lietuvos vidurkį arba yra geresni už jį.</w:t>
      </w:r>
    </w:p>
    <w:p w:rsidR="002E1F23" w:rsidRPr="002E1F23" w:rsidRDefault="002E1F23" w:rsidP="002E1F23">
      <w:pPr>
        <w:ind w:firstLine="709"/>
        <w:jc w:val="both"/>
        <w:rPr>
          <w:rFonts w:eastAsiaTheme="minorHAnsi"/>
          <w:bCs/>
        </w:rPr>
      </w:pPr>
      <w:r w:rsidRPr="002E1F23">
        <w:rPr>
          <w:rFonts w:eastAsiaTheme="minorHAnsi"/>
        </w:rPr>
        <w:t>4.2. Uždavinio „plėtoti sveikatos infrastruktūrą ir gerinti sveikatos priežiūros paslaugų kokybę, saugą, prieinamumą ir į pacientą orientuotą sveikatos priežiūrą“ rodikliai Klaipėdos m. sav. daugeliu atvejų atitinka Lietuvos vidurkį arba yra geresni už jį.</w:t>
      </w:r>
    </w:p>
    <w:p w:rsidR="002E1F23" w:rsidRPr="002E1F23" w:rsidRDefault="002E1F23" w:rsidP="002E1F23">
      <w:pPr>
        <w:ind w:firstLine="709"/>
        <w:jc w:val="both"/>
        <w:rPr>
          <w:rFonts w:eastAsiaTheme="minorHAnsi"/>
        </w:rPr>
      </w:pPr>
      <w:r w:rsidRPr="002E1F23">
        <w:rPr>
          <w:rFonts w:eastAsiaTheme="minorHAnsi"/>
        </w:rPr>
        <w:t>4.3. Uždavinio „pagerinti motinos ir vaiko sveikatą“ dalis Klaipėdos m. sav. rodiklių atitinka Lietuvos vidurkį, bet išsiskiria 1 ir 2 metų amžiaus vaikų skiepijimo apimčių rodikliai ir 6–14 metų amžiaus vaikų krūminių dantų dengimo silantinėmis medžiagomis rodiklis.</w:t>
      </w:r>
    </w:p>
    <w:p w:rsidR="002E1F23" w:rsidRPr="002E1F23" w:rsidRDefault="002E1F23" w:rsidP="002E1F23">
      <w:pPr>
        <w:ind w:firstLine="709"/>
        <w:jc w:val="both"/>
        <w:rPr>
          <w:rFonts w:eastAsiaTheme="minorHAnsi"/>
        </w:rPr>
      </w:pPr>
      <w:r w:rsidRPr="002E1F23">
        <w:rPr>
          <w:rFonts w:eastAsiaTheme="minorHAnsi"/>
        </w:rPr>
        <w:t>4.4. Uždavinio „stiprinti lėtinių neinfekcinių ligų prevenciją ir kontrolę“ rodikliai Klaipėdos m. sav. atitinka Lietuvos vidurkį arba yra geresni už jį, bet išsiskiria sergamumas II tipo cukriniu diabetu.</w:t>
      </w:r>
      <w:bookmarkStart w:id="7" w:name="_Toc496874353"/>
    </w:p>
    <w:p w:rsidR="002E1F23" w:rsidRPr="002E1F23" w:rsidRDefault="002E1F23" w:rsidP="002E1F23">
      <w:pPr>
        <w:ind w:firstLine="794"/>
        <w:jc w:val="both"/>
        <w:rPr>
          <w:rFonts w:eastAsiaTheme="minorHAnsi"/>
        </w:rPr>
      </w:pPr>
    </w:p>
    <w:p w:rsidR="002E1F23" w:rsidRPr="002E1F23" w:rsidRDefault="002E1F23" w:rsidP="002E1F23">
      <w:pPr>
        <w:jc w:val="center"/>
        <w:rPr>
          <w:b/>
        </w:rPr>
      </w:pPr>
      <w:r w:rsidRPr="002E1F23">
        <w:rPr>
          <w:b/>
        </w:rPr>
        <w:lastRenderedPageBreak/>
        <w:t>SPECIALIOJI DALIS</w:t>
      </w:r>
      <w:bookmarkEnd w:id="7"/>
    </w:p>
    <w:p w:rsidR="002E1F23" w:rsidRPr="002E1F23" w:rsidRDefault="002E1F23" w:rsidP="002E1F23">
      <w:pPr>
        <w:keepNext/>
        <w:keepLines/>
        <w:ind w:firstLine="709"/>
        <w:contextualSpacing/>
        <w:outlineLvl w:val="1"/>
        <w:rPr>
          <w:rFonts w:eastAsiaTheme="majorEastAsia"/>
          <w:b/>
          <w:bCs/>
        </w:rPr>
      </w:pPr>
    </w:p>
    <w:p w:rsidR="002E1F23" w:rsidRPr="002E1F23" w:rsidRDefault="002E1F23" w:rsidP="002E1F23">
      <w:pPr>
        <w:jc w:val="center"/>
        <w:rPr>
          <w:b/>
        </w:rPr>
      </w:pPr>
      <w:bookmarkStart w:id="8" w:name="_Toc496874354"/>
      <w:r w:rsidRPr="002E1F23">
        <w:rPr>
          <w:b/>
        </w:rPr>
        <w:t>Prioritetinių sričių identifikavimas</w:t>
      </w:r>
      <w:bookmarkEnd w:id="8"/>
    </w:p>
    <w:p w:rsidR="002E1F23" w:rsidRPr="002E1F23" w:rsidRDefault="002E1F23" w:rsidP="002E1F23">
      <w:pPr>
        <w:ind w:firstLine="1298"/>
        <w:contextualSpacing/>
        <w:jc w:val="both"/>
        <w:rPr>
          <w:rFonts w:eastAsiaTheme="minorHAnsi"/>
        </w:rPr>
      </w:pPr>
    </w:p>
    <w:p w:rsidR="002E1F23" w:rsidRPr="002E1F23" w:rsidRDefault="002E1F23" w:rsidP="002E1F23">
      <w:pPr>
        <w:tabs>
          <w:tab w:val="left" w:pos="993"/>
        </w:tabs>
        <w:ind w:firstLine="709"/>
        <w:jc w:val="both"/>
        <w:rPr>
          <w:rFonts w:eastAsiaTheme="minorHAnsi"/>
        </w:rPr>
      </w:pPr>
      <w:r w:rsidRPr="002E1F23">
        <w:rPr>
          <w:rFonts w:eastAsiaTheme="minorHAnsi"/>
        </w:rPr>
        <w:t>Remiantis priedo lentelėje „Klaipėdos miesto savivaldybės sveikatos ir su sveikata susijusių rodiklių profilis“ pateiktais rodikliais ir įvertinus savivaldybės rodiklio santykį su Lietuvos vidurkiu, matoma, kad:</w:t>
      </w:r>
    </w:p>
    <w:p w:rsidR="002E1F23" w:rsidRPr="002E1F23" w:rsidRDefault="002E1F23" w:rsidP="005334BB">
      <w:pPr>
        <w:numPr>
          <w:ilvl w:val="0"/>
          <w:numId w:val="1"/>
        </w:numPr>
        <w:tabs>
          <w:tab w:val="left" w:pos="0"/>
          <w:tab w:val="left" w:pos="993"/>
        </w:tabs>
        <w:spacing w:after="200" w:line="276" w:lineRule="auto"/>
        <w:ind w:left="0" w:firstLine="709"/>
        <w:contextualSpacing/>
        <w:jc w:val="both"/>
        <w:rPr>
          <w:lang w:eastAsia="lt-LT"/>
        </w:rPr>
      </w:pPr>
      <w:r w:rsidRPr="002E1F23">
        <w:rPr>
          <w:lang w:eastAsia="lt-LT"/>
        </w:rPr>
        <w:t>14 rodiklių reikšmės yra geresnės už Lietuvos vidurkį (</w:t>
      </w:r>
      <w:r w:rsidRPr="002E1F23">
        <w:rPr>
          <w:color w:val="00B050"/>
          <w:lang w:eastAsia="lt-LT"/>
        </w:rPr>
        <w:t>žalioji zona</w:t>
      </w:r>
      <w:r w:rsidRPr="002E1F23">
        <w:rPr>
          <w:lang w:eastAsia="lt-LT"/>
        </w:rPr>
        <w:t>):</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Išvengiamas mirtingumas (proc.);</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Mirtingumas dėl savižudybių (X60–X84)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Ilgalaikio nedarbo lygis (proc.);</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Gyventojų skaičiaus pokytis 1 000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Mokinių, gaunančių nemokamą maitinimą mokyklose, skaičius 1 000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Socialinės pašalpos gavėjų skaičius 1 000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Darbingo amžiaus asmenų, pirmą kartą pripažintų neįgaliais, skaičius 10 000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Išvengiamų hospitalizacijų skaičius 1 000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Šeimos medicinos paslaugas teikiančių gydytojų skaičius 10 000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Apsilankymų pas gydytojus skaičius, tenkantis vienam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Mirtingumo nuo kraujotakos sistemos ligų  (I00–I99) rodiklis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Tikslinės populiacijos dalis (proc.), dalyvavusi atrankinės mamografinės patikros dėl krūties vėžio finansavimo programoje 2018–2019 m.;</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Tikslinės populiacijos dalis (proc.), dalyvavusi storosios žarnos vėžio ankstyvosios diagnostikos finansavimo programoje 2018–2019 m.;</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Tikslinės populiacijos dalis (proc.), dalyvavusi asmenų, priskirtinų širdies ir kraujagyslių ligų didelės rizikos grupei, atrankos ir prevencijos priemonių finansavimo programoje 2019 m.</w:t>
      </w:r>
    </w:p>
    <w:p w:rsidR="002E1F23" w:rsidRPr="002E1F23" w:rsidRDefault="002E1F23" w:rsidP="005334BB">
      <w:pPr>
        <w:numPr>
          <w:ilvl w:val="0"/>
          <w:numId w:val="1"/>
        </w:numPr>
        <w:tabs>
          <w:tab w:val="left" w:pos="0"/>
          <w:tab w:val="left" w:pos="993"/>
        </w:tabs>
        <w:spacing w:after="200" w:line="276" w:lineRule="auto"/>
        <w:ind w:left="0" w:firstLine="709"/>
        <w:contextualSpacing/>
        <w:jc w:val="both"/>
        <w:rPr>
          <w:lang w:eastAsia="lt-LT"/>
        </w:rPr>
      </w:pPr>
      <w:r w:rsidRPr="002E1F23">
        <w:rPr>
          <w:lang w:eastAsia="lt-LT"/>
        </w:rPr>
        <w:t>28 rodiklių reikšmės patenka į Lietuvos vidurkį atitinkančią kvintilių grupę (</w:t>
      </w:r>
      <w:r w:rsidRPr="002E1F23">
        <w:rPr>
          <w:color w:val="FFFF00"/>
          <w:lang w:eastAsia="lt-LT"/>
        </w:rPr>
        <w:t>geltonoji zona</w:t>
      </w:r>
      <w:r w:rsidRPr="002E1F23">
        <w:rPr>
          <w:lang w:eastAsia="lt-LT"/>
        </w:rPr>
        <w:t>):</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Vidutinė tikėtina gyvenimo trukmė (metais);</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Bandymų žudytis skaičius (X60–X64, X66–X84)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Mokyklinio amžiaus vaikų, nesimokančių mokyklose, skaičius 1 000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Mirtingumas dėl išorinių priežasčių (V01–Y98)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Užregistruoti nauji TB atvejai  (A15–A19)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Sergamumas (nauji atvejai ir recidyvai) tuberkulioze (A15–A19)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Asmenų, žuvusių ar sunkiai sužalotų dėl nelaimingų atsitikimų darbe, skaičius 10 000 darbingo amžiaus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Susižalojimai dėl nukritimų (W00–W19) 65+ m. amžiaus grupėje 10 000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Sergamumas žarnyno infekcinėmis ligomis (A00–A08) 10 000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Mirtingumas dėl atsitiktinių paskendimų (W65–W74)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Mirtingumas dėl nukritimų (W00–W19)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bookmarkStart w:id="9" w:name="_Hlk54188424"/>
      <w:r w:rsidRPr="002E1F23">
        <w:rPr>
          <w:lang w:eastAsia="lt-LT"/>
        </w:rPr>
        <w:t>Mirtingumas dėl transporto įvykių  (V00–V99) 100 000 gyv.;</w:t>
      </w:r>
    </w:p>
    <w:bookmarkEnd w:id="9"/>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Pėsčiųjų mirtingumas dėl transporto įvykių (V00–V09)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Mirtingumas dėl priežasčių, susijusių su alkoholio vartojimu (E24.4, F10, G31.2, G40.5, G62.1, G72.1, I42.6, K29.2, K70, K85.2, K86.0, P04.3, X45, X65, Y15),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Gyventojų skaičius, tenkantis vienai licencijai verstis mažmenine prekyba tabako gaminiais;</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lastRenderedPageBreak/>
        <w:t>Gyventojų skaičius, tenkantis vienai licencijai verstis mažmenine prekyba alkoholiniais gėrimais;</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Kūdikių, išimtinai žindytų iki 6 mėn. amžiaus, dalis (proc.);</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Išvengiamų hospitalizacijų dėl diabeto ir jo komplikacijų skaičius 1 000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Slaugytojų, tenkančių vienam gydytojui, skaičius;</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Užregistruoti nauji daugeliui vaistų atsparios tuberkuliozės atvejai (A15–A19)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Užregistruoti daugeliui vaistų atsparios tuberkuliozės atvejai (visos TB atvejų registracijos kategorijos) (A15–A19)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Sergamumas ŽIV ir lytiškai plintančiomis ligomis B20–B22, B23 (B23.0–B23.2, B23.8), B24, Z21, A50 (A50.0–A50.7, A50.9), A51–A53, A54 (A54.0–A54.6, A54.8, A54.9), A56 (A56.0–A56.4, A56.8) 10 000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Kūdikių (vaikų iki 1 m. amžiaus) mirtingumas 1 000 gyvų gimusių kūdikių;</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Vaikų, neturinčių ėduonies pažeistų, plombuotų ir išrautų dantų, dalis (proc.);</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Paauglių (15–17 m.) gimdymų skaičius 1 000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Mirtingumo nuo piktybinių navikų rodiklis (C00-C97) 100 000 gyv.;</w:t>
      </w:r>
    </w:p>
    <w:p w:rsidR="002E1F23" w:rsidRPr="002E1F23" w:rsidRDefault="002E1F23" w:rsidP="005334BB">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Mirtingumo nuo cerebrovaskulinių ligų rodiklis (I60-I69) 100 000 gyv.;</w:t>
      </w:r>
    </w:p>
    <w:p w:rsidR="002E1F23" w:rsidRPr="002E1F23" w:rsidRDefault="002E1F23" w:rsidP="00912486">
      <w:pPr>
        <w:numPr>
          <w:ilvl w:val="0"/>
          <w:numId w:val="5"/>
        </w:numPr>
        <w:tabs>
          <w:tab w:val="left" w:pos="0"/>
          <w:tab w:val="left" w:pos="993"/>
        </w:tabs>
        <w:ind w:left="0" w:firstLine="709"/>
        <w:contextualSpacing/>
        <w:jc w:val="both"/>
        <w:rPr>
          <w:lang w:eastAsia="lt-LT"/>
        </w:rPr>
      </w:pPr>
      <w:r w:rsidRPr="002E1F23">
        <w:rPr>
          <w:lang w:eastAsia="lt-LT"/>
        </w:rPr>
        <w:t>Tikslinės populiacijos dalis (proc.), dalyvavusi gimdos kaklelio piktybinių navikų prevencinių priemonių, apmokamų iš Privalomojo sveikatos draudimo biudžeto lėšų, finansavimo programoje 2017-2019 m.</w:t>
      </w:r>
    </w:p>
    <w:p w:rsidR="002E1F23" w:rsidRPr="002E1F23" w:rsidRDefault="002E1F23" w:rsidP="00912486">
      <w:pPr>
        <w:numPr>
          <w:ilvl w:val="0"/>
          <w:numId w:val="1"/>
        </w:numPr>
        <w:tabs>
          <w:tab w:val="left" w:pos="0"/>
          <w:tab w:val="left" w:pos="993"/>
        </w:tabs>
        <w:ind w:left="0" w:firstLine="709"/>
        <w:contextualSpacing/>
        <w:jc w:val="both"/>
        <w:rPr>
          <w:lang w:eastAsia="lt-LT"/>
        </w:rPr>
      </w:pPr>
      <w:r w:rsidRPr="002E1F23">
        <w:rPr>
          <w:lang w:eastAsia="lt-LT"/>
        </w:rPr>
        <w:t>8 rodiklių reikšmės yra prastesnės nei Lietuvos vidurkis (</w:t>
      </w:r>
      <w:r w:rsidRPr="002E1F23">
        <w:rPr>
          <w:color w:val="FF0000"/>
          <w:lang w:eastAsia="lt-LT"/>
        </w:rPr>
        <w:t>raudonoji zona</w:t>
      </w:r>
      <w:r w:rsidRPr="002E1F23">
        <w:rPr>
          <w:lang w:eastAsia="lt-LT"/>
        </w:rPr>
        <w:t>):</w:t>
      </w:r>
    </w:p>
    <w:p w:rsidR="002E1F23" w:rsidRPr="002E1F23" w:rsidRDefault="002E1F23" w:rsidP="00912486">
      <w:pPr>
        <w:numPr>
          <w:ilvl w:val="0"/>
          <w:numId w:val="5"/>
        </w:numPr>
        <w:tabs>
          <w:tab w:val="left" w:pos="0"/>
          <w:tab w:val="left" w:pos="993"/>
        </w:tabs>
        <w:ind w:left="0" w:firstLine="709"/>
        <w:contextualSpacing/>
        <w:jc w:val="both"/>
        <w:rPr>
          <w:lang w:eastAsia="lt-LT"/>
        </w:rPr>
      </w:pPr>
      <w:r w:rsidRPr="002E1F23">
        <w:rPr>
          <w:lang w:eastAsia="lt-LT"/>
        </w:rPr>
        <w:t>Transporto įvykiuose patirtos traumos (V00–V99) 100 000 gyv.;</w:t>
      </w:r>
    </w:p>
    <w:p w:rsidR="002E1F23" w:rsidRPr="002E1F23" w:rsidRDefault="002E1F23" w:rsidP="00912486">
      <w:pPr>
        <w:numPr>
          <w:ilvl w:val="0"/>
          <w:numId w:val="5"/>
        </w:numPr>
        <w:tabs>
          <w:tab w:val="left" w:pos="993"/>
        </w:tabs>
        <w:ind w:left="0" w:firstLine="709"/>
        <w:jc w:val="both"/>
      </w:pPr>
      <w:r w:rsidRPr="002E1F23">
        <w:t>Į atmosferą iš stacionarių taršos šaltinių išmestų teršalų kiekis, tenkantis 1 kvadratiniam kilometrui;</w:t>
      </w:r>
    </w:p>
    <w:p w:rsidR="002E1F23" w:rsidRPr="002E1F23" w:rsidRDefault="002E1F23" w:rsidP="00912486">
      <w:pPr>
        <w:numPr>
          <w:ilvl w:val="0"/>
          <w:numId w:val="5"/>
        </w:numPr>
        <w:tabs>
          <w:tab w:val="left" w:pos="993"/>
        </w:tabs>
        <w:ind w:left="0" w:firstLine="709"/>
        <w:jc w:val="both"/>
      </w:pPr>
      <w:r w:rsidRPr="002E1F23">
        <w:t>Mirtingumas dėl priežasčių, susijusių su narkotikų vartojimu (F11, F12, F14, F15, F16, F19, X41, X42, X61, X62, Y11, Y12) 100 000 gyv.;</w:t>
      </w:r>
    </w:p>
    <w:p w:rsidR="002E1F23" w:rsidRPr="002E1F23" w:rsidRDefault="002E1F23" w:rsidP="00912486">
      <w:pPr>
        <w:numPr>
          <w:ilvl w:val="0"/>
          <w:numId w:val="5"/>
        </w:numPr>
        <w:tabs>
          <w:tab w:val="left" w:pos="993"/>
        </w:tabs>
        <w:ind w:left="0" w:firstLine="709"/>
        <w:jc w:val="both"/>
      </w:pPr>
      <w:r w:rsidRPr="002E1F23">
        <w:t>Nusikalstamos veikos, susijusios su disponavimu narkotinėmis medžiagomis ir jų kontrabanda (nusikaltimai) 100 000 gyv.;</w:t>
      </w:r>
    </w:p>
    <w:p w:rsidR="002E1F23" w:rsidRPr="002E1F23" w:rsidRDefault="002E1F23" w:rsidP="00912486">
      <w:pPr>
        <w:numPr>
          <w:ilvl w:val="0"/>
          <w:numId w:val="5"/>
        </w:numPr>
        <w:tabs>
          <w:tab w:val="left" w:pos="993"/>
        </w:tabs>
        <w:ind w:left="0" w:firstLine="709"/>
        <w:jc w:val="both"/>
      </w:pPr>
      <w:r w:rsidRPr="002E1F23">
        <w:t>2 metų amžiaus vaikų MMR1 (tymų, epideminio parotito, raudonukės vakcina, 1 dozė) skiepijimo apimtys, proc.;</w:t>
      </w:r>
    </w:p>
    <w:p w:rsidR="002E1F23" w:rsidRPr="002E1F23" w:rsidRDefault="002E1F23" w:rsidP="00912486">
      <w:pPr>
        <w:numPr>
          <w:ilvl w:val="0"/>
          <w:numId w:val="5"/>
        </w:numPr>
        <w:tabs>
          <w:tab w:val="left" w:pos="993"/>
        </w:tabs>
        <w:ind w:left="0" w:firstLine="709"/>
        <w:jc w:val="both"/>
      </w:pPr>
      <w:r w:rsidRPr="002E1F23">
        <w:t xml:space="preserve">1 metų amžiaus vaikų DTP3 (difterijos, stabligės, kokliušo vakcina), poliomielito ir B tipo </w:t>
      </w:r>
      <w:r w:rsidRPr="002E1F23">
        <w:rPr>
          <w:i/>
          <w:iCs/>
        </w:rPr>
        <w:t>Haemophilus influenzae</w:t>
      </w:r>
      <w:r w:rsidRPr="002E1F23">
        <w:t xml:space="preserve"> infekcijos skiepijimo apimtys (3 dozės), proc.;</w:t>
      </w:r>
    </w:p>
    <w:p w:rsidR="002E1F23" w:rsidRPr="002E1F23" w:rsidRDefault="002E1F23" w:rsidP="00912486">
      <w:pPr>
        <w:numPr>
          <w:ilvl w:val="0"/>
          <w:numId w:val="5"/>
        </w:numPr>
        <w:tabs>
          <w:tab w:val="left" w:pos="993"/>
        </w:tabs>
        <w:ind w:left="0" w:firstLine="709"/>
        <w:jc w:val="both"/>
      </w:pPr>
      <w:r w:rsidRPr="002E1F23">
        <w:t>Tikslinės populiacijos (6–14 m.) dalis, dalyvavusi vaikų krūminių dantų dengimo silantinėmis medžiagomis programoje, proc.;</w:t>
      </w:r>
    </w:p>
    <w:p w:rsidR="002E1F23" w:rsidRPr="002E1F23" w:rsidRDefault="002E1F23" w:rsidP="00912486">
      <w:pPr>
        <w:numPr>
          <w:ilvl w:val="0"/>
          <w:numId w:val="5"/>
        </w:numPr>
        <w:tabs>
          <w:tab w:val="left" w:pos="993"/>
        </w:tabs>
        <w:ind w:left="0" w:firstLine="709"/>
        <w:jc w:val="both"/>
      </w:pPr>
      <w:r w:rsidRPr="002E1F23">
        <w:t>Sergamumas II tipo cukriniu diabetu 10 000 gyv.</w:t>
      </w:r>
    </w:p>
    <w:p w:rsidR="002E1F23" w:rsidRPr="002E1F23" w:rsidRDefault="002E1F23" w:rsidP="00912486">
      <w:pPr>
        <w:tabs>
          <w:tab w:val="left" w:pos="993"/>
        </w:tabs>
        <w:ind w:firstLine="709"/>
        <w:jc w:val="both"/>
        <w:rPr>
          <w:rFonts w:eastAsiaTheme="minorHAnsi"/>
        </w:rPr>
      </w:pPr>
      <w:r w:rsidRPr="002E1F23">
        <w:rPr>
          <w:rFonts w:eastAsiaTheme="minorHAnsi"/>
        </w:rPr>
        <w:t>Klaipėdos m. sav. Bendruomenės sveikatos taryba išrinko 3 prioritetinius visuomenės sveikatos stebėsenos rodiklius:</w:t>
      </w:r>
    </w:p>
    <w:p w:rsidR="002E1F23" w:rsidRPr="002E1F23" w:rsidRDefault="002E1F23" w:rsidP="00912486">
      <w:pPr>
        <w:numPr>
          <w:ilvl w:val="0"/>
          <w:numId w:val="5"/>
        </w:numPr>
        <w:tabs>
          <w:tab w:val="left" w:pos="993"/>
        </w:tabs>
        <w:ind w:left="0" w:firstLine="709"/>
        <w:jc w:val="both"/>
      </w:pPr>
      <w:bookmarkStart w:id="10" w:name="_Hlk54187849"/>
      <w:bookmarkStart w:id="11" w:name="_Hlk23769411"/>
      <w:r w:rsidRPr="002E1F23">
        <w:t>Transporto įvykiuose patirtos traumos (V00–V99) 100 000 gyv.;</w:t>
      </w:r>
    </w:p>
    <w:bookmarkEnd w:id="10"/>
    <w:p w:rsidR="002E1F23" w:rsidRPr="002E1F23" w:rsidRDefault="002E1F23" w:rsidP="00912486">
      <w:pPr>
        <w:numPr>
          <w:ilvl w:val="0"/>
          <w:numId w:val="5"/>
        </w:numPr>
        <w:tabs>
          <w:tab w:val="left" w:pos="993"/>
        </w:tabs>
        <w:ind w:left="0" w:firstLine="709"/>
        <w:jc w:val="both"/>
      </w:pPr>
      <w:r w:rsidRPr="002E1F23">
        <w:t>Tikslinės populiacijos (6–14 m.) dalis, dalyvavusi vaikų krūminių dantų dengimo silantinėmis medžiagomis programoje, proc.;</w:t>
      </w:r>
    </w:p>
    <w:p w:rsidR="002E1F23" w:rsidRPr="002E1F23" w:rsidRDefault="002E1F23" w:rsidP="005334BB">
      <w:pPr>
        <w:numPr>
          <w:ilvl w:val="0"/>
          <w:numId w:val="5"/>
        </w:numPr>
        <w:tabs>
          <w:tab w:val="left" w:pos="993"/>
        </w:tabs>
        <w:spacing w:after="200" w:line="276" w:lineRule="auto"/>
        <w:ind w:left="0" w:firstLine="709"/>
        <w:jc w:val="both"/>
      </w:pPr>
      <w:r w:rsidRPr="002E1F23">
        <w:t>Sergamumas II tipo cukriniu diabetu (E11) 10 000 gyventojų</w:t>
      </w:r>
      <w:bookmarkEnd w:id="11"/>
      <w:r w:rsidRPr="002E1F23">
        <w:t>.</w:t>
      </w:r>
    </w:p>
    <w:p w:rsidR="002E1F23" w:rsidRPr="002E1F23" w:rsidRDefault="002E1F23" w:rsidP="002E1F23">
      <w:pPr>
        <w:ind w:firstLine="851"/>
        <w:contextualSpacing/>
        <w:jc w:val="both"/>
        <w:rPr>
          <w:color w:val="000000"/>
          <w:lang w:eastAsia="lt-LT"/>
        </w:rPr>
      </w:pPr>
    </w:p>
    <w:p w:rsidR="002E1F23" w:rsidRPr="002E1F23" w:rsidRDefault="002E1F23" w:rsidP="002E1F23">
      <w:pPr>
        <w:jc w:val="center"/>
        <w:rPr>
          <w:rFonts w:eastAsiaTheme="majorEastAsia"/>
          <w:b/>
          <w:bCs/>
        </w:rPr>
      </w:pPr>
      <w:bookmarkStart w:id="12" w:name="_Toc496874357"/>
      <w:r w:rsidRPr="002E1F23">
        <w:rPr>
          <w:rFonts w:eastAsiaTheme="majorEastAsia"/>
          <w:b/>
          <w:bCs/>
        </w:rPr>
        <w:t>Transporto įvykiuose patirtos traumos</w:t>
      </w:r>
    </w:p>
    <w:p w:rsidR="002E1F23" w:rsidRPr="002E1F23" w:rsidRDefault="002E1F23" w:rsidP="002E1F23">
      <w:pPr>
        <w:ind w:firstLine="851"/>
        <w:jc w:val="both"/>
        <w:rPr>
          <w:rFonts w:eastAsiaTheme="majorEastAsia"/>
          <w:b/>
          <w:bCs/>
        </w:rPr>
      </w:pPr>
    </w:p>
    <w:p w:rsidR="002E1F23" w:rsidRPr="002E1F23" w:rsidRDefault="002E1F23" w:rsidP="002E1F23">
      <w:pPr>
        <w:ind w:firstLine="709"/>
        <w:jc w:val="both"/>
        <w:rPr>
          <w:rFonts w:eastAsiaTheme="minorHAnsi"/>
        </w:rPr>
      </w:pPr>
      <w:r w:rsidRPr="002E1F23">
        <w:rPr>
          <w:rFonts w:eastAsiaTheme="minorHAnsi"/>
        </w:rPr>
        <w:t xml:space="preserve">Nors Lietuvoje ir skiriamas nemažas dėmesys avaringumui keliuose mažinti, 2019 metais visoje Lietuvoje užregistruoti 1 864 ligoniai, patyrę traumą kelyje, tai yra 213 traumų daugiau nei 2018 metais. Taip pat pastebima, kad žuvusiųjų dėl traumų keliuose 2019 metais buvo 8,7 kartų mažiau – 214 asmenų, palyginti su tuo pačiu metu patyrusiųjų traumas statistika. </w:t>
      </w:r>
    </w:p>
    <w:p w:rsidR="002E1F23" w:rsidRPr="002E1F23" w:rsidRDefault="002E1F23" w:rsidP="002E1F23">
      <w:pPr>
        <w:ind w:firstLine="709"/>
        <w:jc w:val="both"/>
        <w:rPr>
          <w:rFonts w:eastAsiaTheme="minorHAnsi"/>
        </w:rPr>
      </w:pPr>
      <w:r w:rsidRPr="002E1F23">
        <w:rPr>
          <w:rFonts w:eastAsiaTheme="minorHAnsi"/>
        </w:rPr>
        <w:lastRenderedPageBreak/>
        <w:t>Daugiausiai transporto įvykiuose patirtų traumų (V00–V99) 2019 metais užregistruota didžiųjų šalies savivaldybių gyventojams (Vilniaus m. sav. – 239, Kauno m. sav. – 180, Klaipėdos m. sav. – 128). Tai lėmė didesni ir intensyvesni transporto priemonių srautai didžiuosiuose šalies mietuose.</w:t>
      </w:r>
    </w:p>
    <w:p w:rsidR="002E1F23" w:rsidRPr="002E1F23" w:rsidRDefault="002E1F23" w:rsidP="002E1F23">
      <w:pPr>
        <w:ind w:firstLine="709"/>
        <w:jc w:val="both"/>
        <w:rPr>
          <w:rFonts w:eastAsiaTheme="minorHAnsi"/>
        </w:rPr>
      </w:pPr>
      <w:r w:rsidRPr="002E1F23">
        <w:rPr>
          <w:rFonts w:eastAsiaTheme="minorHAnsi"/>
        </w:rPr>
        <w:t>Transporto įvykiuose patirtų traumų rodiklis nuo 2014 iki 2019 metų Klaipėdoje išaugo 1,8 karto, o Lietuvoje – sumažėjo 8,5 proc. Klaipėdos m. sav. traumų rodiklis išlieka aukštesnis už Lietuvos rodiklį bei stebima didėjimo tendencija (2 pav.).</w:t>
      </w:r>
    </w:p>
    <w:p w:rsidR="002E1F23" w:rsidRPr="002E1F23" w:rsidRDefault="002E1F23" w:rsidP="002E1F23">
      <w:pPr>
        <w:jc w:val="center"/>
        <w:rPr>
          <w:rFonts w:eastAsiaTheme="minorHAnsi"/>
        </w:rPr>
      </w:pPr>
      <w:bookmarkStart w:id="13" w:name="_Hlk54188219"/>
      <w:r w:rsidRPr="002E1F23">
        <w:rPr>
          <w:rFonts w:eastAsiaTheme="minorHAnsi"/>
          <w:noProof/>
          <w:lang w:eastAsia="lt-LT"/>
        </w:rPr>
        <w:drawing>
          <wp:inline distT="0" distB="0" distL="0" distR="0" wp14:anchorId="6E32F8C5" wp14:editId="347E8DCF">
            <wp:extent cx="4662170" cy="1969770"/>
            <wp:effectExtent l="0" t="0" r="5080" b="11430"/>
            <wp:docPr id="1"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E32F45E-2DFF-481D-82BC-30631075B9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1F23" w:rsidRPr="002E1F23" w:rsidRDefault="002E1F23" w:rsidP="002E1F23">
      <w:pPr>
        <w:ind w:left="720"/>
        <w:jc w:val="center"/>
        <w:rPr>
          <w:rFonts w:eastAsiaTheme="minorHAnsi"/>
          <w:b/>
          <w:sz w:val="22"/>
          <w:szCs w:val="22"/>
          <w:lang w:eastAsia="lt-LT"/>
        </w:rPr>
      </w:pPr>
      <w:r w:rsidRPr="002E1F23">
        <w:rPr>
          <w:rFonts w:eastAsiaTheme="minorHAnsi"/>
          <w:i/>
          <w:sz w:val="22"/>
          <w:szCs w:val="22"/>
        </w:rPr>
        <w:t>2 pav.</w:t>
      </w:r>
      <w:r w:rsidRPr="002E1F23">
        <w:rPr>
          <w:rFonts w:eastAsiaTheme="minorHAnsi"/>
          <w:b/>
          <w:sz w:val="22"/>
          <w:szCs w:val="22"/>
          <w:lang w:eastAsia="lt-LT"/>
        </w:rPr>
        <w:t xml:space="preserve"> Transporto įvykiuose patirtos traumos (V00–V99) Lietuvoje ir Klaipėdos m. sav. </w:t>
      </w:r>
    </w:p>
    <w:p w:rsidR="002E1F23" w:rsidRPr="002E1F23" w:rsidRDefault="002E1F23" w:rsidP="002E1F23">
      <w:pPr>
        <w:ind w:left="720"/>
        <w:jc w:val="center"/>
        <w:rPr>
          <w:rFonts w:eastAsiaTheme="minorHAnsi"/>
          <w:b/>
          <w:sz w:val="22"/>
          <w:szCs w:val="22"/>
          <w:lang w:eastAsia="lt-LT"/>
        </w:rPr>
      </w:pPr>
      <w:r w:rsidRPr="002E1F23">
        <w:rPr>
          <w:rFonts w:eastAsiaTheme="minorHAnsi"/>
          <w:b/>
          <w:sz w:val="22"/>
          <w:szCs w:val="22"/>
          <w:lang w:eastAsia="lt-LT"/>
        </w:rPr>
        <w:t>2014-2019 m. (100 000 gyv.)</w:t>
      </w:r>
    </w:p>
    <w:p w:rsidR="002E1F23" w:rsidRPr="002E1F23" w:rsidRDefault="002E1F23" w:rsidP="002E1F23">
      <w:pPr>
        <w:jc w:val="center"/>
        <w:rPr>
          <w:rFonts w:eastAsiaTheme="minorHAnsi"/>
          <w:sz w:val="20"/>
          <w:szCs w:val="20"/>
          <w:lang w:eastAsia="lt-LT"/>
        </w:rPr>
      </w:pPr>
      <w:r w:rsidRPr="002E1F23">
        <w:rPr>
          <w:rFonts w:eastAsiaTheme="minorHAnsi"/>
          <w:sz w:val="20"/>
          <w:szCs w:val="20"/>
          <w:lang w:eastAsia="lt-LT"/>
        </w:rPr>
        <w:t>Šaltinis: Higienos institutas</w:t>
      </w:r>
    </w:p>
    <w:bookmarkEnd w:id="13"/>
    <w:p w:rsidR="002E1F23" w:rsidRPr="002E1F23" w:rsidRDefault="002E1F23" w:rsidP="002E1F23">
      <w:pPr>
        <w:ind w:firstLine="794"/>
        <w:jc w:val="both"/>
        <w:rPr>
          <w:rFonts w:eastAsiaTheme="minorHAnsi"/>
        </w:rPr>
      </w:pPr>
    </w:p>
    <w:p w:rsidR="002E1F23" w:rsidRPr="002E1F23" w:rsidRDefault="002E1F23" w:rsidP="002E1F23">
      <w:pPr>
        <w:ind w:firstLine="709"/>
        <w:jc w:val="both"/>
        <w:rPr>
          <w:rFonts w:eastAsiaTheme="minorHAnsi"/>
        </w:rPr>
      </w:pPr>
      <w:r w:rsidRPr="002E1F23">
        <w:rPr>
          <w:rFonts w:eastAsiaTheme="minorHAnsi"/>
        </w:rPr>
        <w:t>Su transporto įvykiuose patirtų traumų rodikliu siejasi mirtingumo dėl transporto įvykių rodiklis, kuris nuo 2014 iki 2019 metų Klaipėdos mieste sumažėjo 1,6 karto ir neviršija Lietuvos vidurkio (3 pav.).</w:t>
      </w:r>
    </w:p>
    <w:p w:rsidR="002E1F23" w:rsidRPr="002E1F23" w:rsidRDefault="002E1F23" w:rsidP="002E1F23">
      <w:pPr>
        <w:ind w:firstLine="794"/>
        <w:jc w:val="both"/>
        <w:rPr>
          <w:rFonts w:eastAsiaTheme="minorHAnsi"/>
        </w:rPr>
      </w:pPr>
    </w:p>
    <w:p w:rsidR="002E1F23" w:rsidRPr="002E1F23" w:rsidRDefault="002E1F23" w:rsidP="002E1F23">
      <w:pPr>
        <w:jc w:val="center"/>
        <w:rPr>
          <w:rFonts w:eastAsiaTheme="minorHAnsi"/>
        </w:rPr>
      </w:pPr>
      <w:r w:rsidRPr="002E1F23">
        <w:rPr>
          <w:rFonts w:eastAsiaTheme="minorHAnsi"/>
          <w:noProof/>
          <w:lang w:eastAsia="lt-LT"/>
        </w:rPr>
        <w:drawing>
          <wp:inline distT="0" distB="0" distL="0" distR="0" wp14:anchorId="76131BEE" wp14:editId="56238294">
            <wp:extent cx="4662170" cy="1931670"/>
            <wp:effectExtent l="0" t="0" r="5080" b="11430"/>
            <wp:docPr id="2" name="Chart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E32F45E-2DFF-481D-82BC-30631075B9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1F23" w:rsidRPr="002E1F23" w:rsidRDefault="002E1F23" w:rsidP="002E1F23">
      <w:pPr>
        <w:ind w:left="720"/>
        <w:jc w:val="center"/>
        <w:rPr>
          <w:rFonts w:eastAsiaTheme="minorHAnsi"/>
          <w:b/>
          <w:sz w:val="22"/>
          <w:szCs w:val="22"/>
          <w:lang w:eastAsia="lt-LT"/>
        </w:rPr>
      </w:pPr>
      <w:r w:rsidRPr="002E1F23">
        <w:rPr>
          <w:rFonts w:eastAsiaTheme="minorHAnsi"/>
          <w:i/>
          <w:sz w:val="22"/>
          <w:szCs w:val="22"/>
        </w:rPr>
        <w:t xml:space="preserve">3 pav. </w:t>
      </w:r>
      <w:r w:rsidRPr="002E1F23">
        <w:rPr>
          <w:rFonts w:eastAsiaTheme="minorHAnsi"/>
          <w:b/>
          <w:sz w:val="22"/>
          <w:szCs w:val="22"/>
          <w:lang w:eastAsia="lt-LT"/>
        </w:rPr>
        <w:t xml:space="preserve">Mirtingumas dėl transporto įvykių (V00–V99) Lietuvoje ir Klaipėdos m. sav. </w:t>
      </w:r>
    </w:p>
    <w:p w:rsidR="002E1F23" w:rsidRPr="002E1F23" w:rsidRDefault="002E1F23" w:rsidP="002E1F23">
      <w:pPr>
        <w:ind w:left="720"/>
        <w:jc w:val="center"/>
        <w:rPr>
          <w:rFonts w:eastAsiaTheme="minorHAnsi"/>
          <w:b/>
          <w:sz w:val="22"/>
          <w:szCs w:val="22"/>
          <w:lang w:eastAsia="lt-LT"/>
        </w:rPr>
      </w:pPr>
      <w:r w:rsidRPr="002E1F23">
        <w:rPr>
          <w:rFonts w:eastAsiaTheme="minorHAnsi"/>
          <w:b/>
          <w:sz w:val="22"/>
          <w:szCs w:val="22"/>
          <w:lang w:eastAsia="lt-LT"/>
        </w:rPr>
        <w:t>2014–2019 m. (100 000 gyv.)</w:t>
      </w:r>
    </w:p>
    <w:p w:rsidR="002E1F23" w:rsidRPr="002E1F23" w:rsidRDefault="002E1F23" w:rsidP="002E1F23">
      <w:pPr>
        <w:jc w:val="center"/>
        <w:rPr>
          <w:rFonts w:eastAsiaTheme="minorHAnsi"/>
          <w:sz w:val="20"/>
          <w:szCs w:val="20"/>
          <w:lang w:eastAsia="lt-LT"/>
        </w:rPr>
      </w:pPr>
      <w:r w:rsidRPr="002E1F23">
        <w:rPr>
          <w:rFonts w:eastAsiaTheme="minorHAnsi"/>
          <w:sz w:val="20"/>
          <w:szCs w:val="20"/>
          <w:lang w:eastAsia="lt-LT"/>
        </w:rPr>
        <w:t>Šaltinis: Higienos institutas</w:t>
      </w:r>
    </w:p>
    <w:p w:rsidR="002E1F23" w:rsidRPr="002E1F23" w:rsidRDefault="002E1F23" w:rsidP="002E1F23">
      <w:pPr>
        <w:jc w:val="both"/>
        <w:rPr>
          <w:rFonts w:eastAsiaTheme="majorEastAsia"/>
          <w:b/>
          <w:bCs/>
        </w:rPr>
      </w:pPr>
    </w:p>
    <w:p w:rsidR="002E1F23" w:rsidRPr="002E1F23" w:rsidRDefault="002E1F23" w:rsidP="002E1F23">
      <w:pPr>
        <w:jc w:val="center"/>
        <w:rPr>
          <w:rFonts w:eastAsiaTheme="minorHAnsi"/>
        </w:rPr>
      </w:pPr>
      <w:r w:rsidRPr="002E1F23">
        <w:rPr>
          <w:rFonts w:eastAsiaTheme="majorEastAsia"/>
          <w:b/>
          <w:bCs/>
        </w:rPr>
        <w:t>Vaikų krūminių dantų dengimo silantinėmis medžiagomis programos vykdymas</w:t>
      </w:r>
    </w:p>
    <w:p w:rsidR="002E1F23" w:rsidRPr="002E1F23" w:rsidRDefault="002E1F23" w:rsidP="002E1F23">
      <w:pPr>
        <w:jc w:val="both"/>
        <w:rPr>
          <w:rFonts w:eastAsiaTheme="minorHAnsi"/>
        </w:rPr>
      </w:pPr>
    </w:p>
    <w:p w:rsidR="002E1F23" w:rsidRPr="002E1F23" w:rsidRDefault="002E1F23" w:rsidP="002E1F23">
      <w:pPr>
        <w:ind w:firstLine="709"/>
        <w:jc w:val="both"/>
        <w:rPr>
          <w:rFonts w:eastAsiaTheme="minorHAnsi"/>
        </w:rPr>
      </w:pPr>
      <w:r w:rsidRPr="002E1F23">
        <w:rPr>
          <w:rFonts w:eastAsiaTheme="minorHAnsi"/>
        </w:rPr>
        <w:t>Nuo 2020 metų įsigaliojo nauja mokinio sveikatos pažymėjimo forma, kuri gydytojų užpildoma elektroniniu būdu ir kurioje pateikiama informacija apie dantų būklę. 2019 metais Klaipėdoje 22,9 proc. mokinių neturėjo ėduonies pažeistų, plombuotų ir išrautų dantų, o Lietuvoje – 20 proc.</w:t>
      </w:r>
    </w:p>
    <w:p w:rsidR="002E1F23" w:rsidRPr="002E1F23" w:rsidRDefault="002E1F23" w:rsidP="002E1F23">
      <w:pPr>
        <w:ind w:firstLine="709"/>
        <w:jc w:val="both"/>
        <w:rPr>
          <w:rFonts w:eastAsiaTheme="minorHAnsi"/>
        </w:rPr>
      </w:pPr>
      <w:r w:rsidRPr="002E1F23">
        <w:rPr>
          <w:rFonts w:eastAsiaTheme="minorHAnsi"/>
        </w:rPr>
        <w:t>Vaikų dantų būklės vertinimui naudojamas dantų ėduonies intensyvumo indeksas (kpi+KPI), kuris išreiškiamas ėduonies pažeistų (kariozinių, plombuotų ir išrautų) dantų skaičiumi, tenkančiu vienam asmeniui; kpi – kariozinių, plombuotų ir dėl ėduonies išrautų pieninių dantų skaičius; KPI – kariozinių, plombuotų bei dėl ėduonies ištrauktų nuolatinių dantų skaičius. Pagal PSO, kai kpi+KPI reikšmė &lt;1,2, tai rodo labai žemą ėduonies intensyvumą; 1,2-2,6 – žemą; 2,7-4,4 – vidutinį; 4,5-6,5 – aukštą; &gt;6,5 – labai aukštą.</w:t>
      </w:r>
    </w:p>
    <w:p w:rsidR="002E1F23" w:rsidRPr="002E1F23" w:rsidRDefault="002E1F23" w:rsidP="002E1F23">
      <w:pPr>
        <w:ind w:firstLine="709"/>
        <w:jc w:val="both"/>
        <w:rPr>
          <w:rFonts w:eastAsiaTheme="minorHAnsi"/>
        </w:rPr>
      </w:pPr>
      <w:r w:rsidRPr="002E1F23">
        <w:rPr>
          <w:rFonts w:eastAsiaTheme="minorHAnsi"/>
        </w:rPr>
        <w:lastRenderedPageBreak/>
        <w:t>Įvertinus mokinių pieninių ir nuolatinių dantų ėduonies intensyvumo indeksą (kpi+KPI) matome, kad 2019 metais Klaipėdos m. sav. vaikų kpi+KPI buvo vidutinis – 3,5, o 2018 metais jis siekė 3,6.</w:t>
      </w:r>
    </w:p>
    <w:p w:rsidR="002E1F23" w:rsidRPr="002E1F23" w:rsidRDefault="002E1F23" w:rsidP="002E1F23">
      <w:pPr>
        <w:ind w:firstLine="709"/>
        <w:jc w:val="both"/>
        <w:rPr>
          <w:rFonts w:eastAsiaTheme="minorHAnsi"/>
        </w:rPr>
      </w:pPr>
      <w:r w:rsidRPr="002E1F23">
        <w:rPr>
          <w:rFonts w:eastAsiaTheme="minorHAnsi"/>
        </w:rPr>
        <w:t>2019 metais 8,2 proc. sveikatą pasitikrinusių Klaipėdos mokinių turėjo per aukštą kpi+KPI indeksą. Ėduonies intensyvumo rodiklis aukščiausias buvo 12-os klasės mokinių (4,9),  žemiausias – 6-os klasės mokinių (2,2) (4 pav.).</w:t>
      </w:r>
    </w:p>
    <w:p w:rsidR="002E1F23" w:rsidRPr="002E1F23" w:rsidRDefault="002E1F23" w:rsidP="002E1F23">
      <w:pPr>
        <w:ind w:firstLine="794"/>
        <w:jc w:val="both"/>
        <w:rPr>
          <w:rFonts w:eastAsiaTheme="minorHAnsi"/>
        </w:rPr>
      </w:pPr>
    </w:p>
    <w:p w:rsidR="002E1F23" w:rsidRPr="002E1F23" w:rsidRDefault="002E1F23" w:rsidP="002E1F23">
      <w:pPr>
        <w:jc w:val="center"/>
        <w:rPr>
          <w:rFonts w:eastAsiaTheme="minorHAnsi"/>
          <w:highlight w:val="yellow"/>
        </w:rPr>
      </w:pPr>
      <w:r w:rsidRPr="002E1F23">
        <w:rPr>
          <w:rFonts w:eastAsia="Calibri"/>
          <w:noProof/>
          <w:lang w:eastAsia="lt-LT"/>
        </w:rPr>
        <w:drawing>
          <wp:inline distT="0" distB="0" distL="0" distR="0" wp14:anchorId="2B555131" wp14:editId="03188E16">
            <wp:extent cx="5320030" cy="1842770"/>
            <wp:effectExtent l="0" t="0" r="13970" b="5080"/>
            <wp:docPr id="24"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1F23" w:rsidRPr="002E1F23" w:rsidRDefault="002E1F23" w:rsidP="002E1F23">
      <w:pPr>
        <w:jc w:val="center"/>
        <w:rPr>
          <w:rFonts w:eastAsiaTheme="minorHAnsi"/>
          <w:b/>
          <w:bCs/>
          <w:sz w:val="22"/>
          <w:szCs w:val="22"/>
        </w:rPr>
      </w:pPr>
      <w:r w:rsidRPr="002E1F23">
        <w:rPr>
          <w:rFonts w:eastAsiaTheme="minorHAnsi"/>
          <w:i/>
          <w:iCs/>
          <w:sz w:val="22"/>
          <w:szCs w:val="22"/>
        </w:rPr>
        <w:t>4 pav.</w:t>
      </w:r>
      <w:r w:rsidRPr="002E1F23">
        <w:rPr>
          <w:rFonts w:eastAsiaTheme="minorHAnsi"/>
          <w:sz w:val="22"/>
          <w:szCs w:val="22"/>
        </w:rPr>
        <w:t xml:space="preserve"> </w:t>
      </w:r>
      <w:r w:rsidRPr="002E1F23">
        <w:rPr>
          <w:rFonts w:eastAsiaTheme="minorHAnsi"/>
          <w:b/>
          <w:bCs/>
          <w:sz w:val="22"/>
          <w:szCs w:val="22"/>
        </w:rPr>
        <w:t>Dantų ėduonies intensyvumo indeksas pagal klases Klaipėdos m. sav. 2019 m.</w:t>
      </w:r>
    </w:p>
    <w:p w:rsidR="002E1F23" w:rsidRPr="002E1F23" w:rsidRDefault="002E1F23" w:rsidP="002E1F23">
      <w:pPr>
        <w:ind w:firstLine="1298"/>
        <w:jc w:val="center"/>
        <w:rPr>
          <w:rFonts w:eastAsiaTheme="minorHAnsi"/>
          <w:sz w:val="20"/>
          <w:szCs w:val="20"/>
        </w:rPr>
      </w:pPr>
      <w:r w:rsidRPr="002E1F23">
        <w:rPr>
          <w:rFonts w:eastAsiaTheme="minorHAnsi"/>
          <w:sz w:val="20"/>
          <w:szCs w:val="20"/>
        </w:rPr>
        <w:t>Šaltinis: Higienos instituto Vaikų sveikatos stebėsenos informacinė sistema</w:t>
      </w:r>
    </w:p>
    <w:p w:rsidR="002E1F23" w:rsidRPr="002E1F23" w:rsidRDefault="002E1F23" w:rsidP="002E1F23">
      <w:pPr>
        <w:ind w:firstLine="1298"/>
        <w:jc w:val="both"/>
        <w:rPr>
          <w:rFonts w:eastAsiaTheme="minorHAnsi"/>
          <w:highlight w:val="yellow"/>
        </w:rPr>
      </w:pPr>
    </w:p>
    <w:p w:rsidR="002E1F23" w:rsidRPr="002E1F23" w:rsidRDefault="002E1F23" w:rsidP="002E1F23">
      <w:pPr>
        <w:ind w:firstLine="709"/>
        <w:jc w:val="both"/>
        <w:rPr>
          <w:rFonts w:eastAsiaTheme="minorHAnsi"/>
        </w:rPr>
      </w:pPr>
      <w:r w:rsidRPr="002E1F23">
        <w:rPr>
          <w:rFonts w:eastAsiaTheme="minorHAnsi"/>
        </w:rPr>
        <w:t>Viena iš priemonių, padedančių išvengti dantų ėduonies, yra vaikų (6–14 metų amžiaus) krūminių dantų dengimas silantinėmis medžiagomis programa. Higienos instituto duomenimis, 2019 metais Klaipėdos m. sav. tik 6,4 proc. tikslinės grupės vaikams krūminiai dantys buvo padengti silantinėmis medžiagomis, o Lietuvoje – 15 proc. Šios programos įgyvendinimas savivaldybėje prastėja, nes nuo 2017 metų ši programa nebe prevencinė, o skatinamoji (5 pav.).</w:t>
      </w:r>
    </w:p>
    <w:p w:rsidR="002E1F23" w:rsidRPr="002E1F23" w:rsidRDefault="002E1F23" w:rsidP="002E1F23">
      <w:pPr>
        <w:ind w:firstLine="1298"/>
        <w:jc w:val="both"/>
        <w:rPr>
          <w:rFonts w:eastAsiaTheme="minorHAnsi"/>
        </w:rPr>
      </w:pPr>
    </w:p>
    <w:p w:rsidR="002E1F23" w:rsidRPr="002E1F23" w:rsidRDefault="002E1F23" w:rsidP="002E1F23">
      <w:pPr>
        <w:ind w:firstLine="1298"/>
        <w:jc w:val="both"/>
        <w:rPr>
          <w:rFonts w:eastAsiaTheme="minorHAnsi"/>
        </w:rPr>
      </w:pPr>
      <w:r w:rsidRPr="002E1F23">
        <w:rPr>
          <w:rFonts w:eastAsiaTheme="minorHAnsi"/>
        </w:rPr>
        <w:t xml:space="preserve"> </w:t>
      </w:r>
      <w:r w:rsidRPr="002E1F23">
        <w:rPr>
          <w:rFonts w:eastAsiaTheme="minorHAnsi"/>
          <w:noProof/>
          <w:sz w:val="22"/>
          <w:szCs w:val="22"/>
          <w:lang w:eastAsia="lt-LT"/>
        </w:rPr>
        <w:drawing>
          <wp:inline distT="0" distB="0" distL="0" distR="0" wp14:anchorId="600F87D4" wp14:editId="4EDAC5CE">
            <wp:extent cx="4515485" cy="1952625"/>
            <wp:effectExtent l="0" t="0" r="1841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E1F23" w:rsidRPr="002E1F23" w:rsidRDefault="002E1F23" w:rsidP="002E1F23">
      <w:pPr>
        <w:ind w:firstLine="1298"/>
        <w:jc w:val="center"/>
        <w:rPr>
          <w:rFonts w:eastAsiaTheme="minorHAnsi"/>
        </w:rPr>
      </w:pPr>
      <w:r w:rsidRPr="002E1F23">
        <w:rPr>
          <w:rFonts w:eastAsiaTheme="minorHAnsi"/>
          <w:i/>
          <w:iCs/>
          <w:sz w:val="22"/>
          <w:szCs w:val="22"/>
        </w:rPr>
        <w:t>5 pav.</w:t>
      </w:r>
      <w:r w:rsidRPr="002E1F23">
        <w:rPr>
          <w:rFonts w:eastAsiaTheme="minorHAnsi"/>
        </w:rPr>
        <w:t xml:space="preserve"> </w:t>
      </w:r>
      <w:r w:rsidRPr="002E1F23">
        <w:rPr>
          <w:rFonts w:eastAsiaTheme="minorHAnsi"/>
          <w:b/>
          <w:bCs/>
          <w:sz w:val="22"/>
          <w:szCs w:val="22"/>
        </w:rPr>
        <w:t>Vaikų, kuriems krūminiai dantys buvo padengti silantinėmis medžiagomis, dalis procentais Klaipėdos m. sav. 2014–2019 m.</w:t>
      </w:r>
    </w:p>
    <w:p w:rsidR="002E1F23" w:rsidRPr="002E1F23" w:rsidRDefault="002E1F23" w:rsidP="002E1F23">
      <w:pPr>
        <w:ind w:firstLine="1298"/>
        <w:jc w:val="center"/>
        <w:rPr>
          <w:rFonts w:eastAsiaTheme="minorHAnsi"/>
        </w:rPr>
      </w:pPr>
      <w:r w:rsidRPr="002E1F23">
        <w:rPr>
          <w:rFonts w:eastAsiaTheme="minorHAnsi"/>
          <w:sz w:val="20"/>
          <w:szCs w:val="20"/>
        </w:rPr>
        <w:t>Šaltinis: Higienos institutas</w:t>
      </w:r>
    </w:p>
    <w:p w:rsidR="002E1F23" w:rsidRPr="002E1F23" w:rsidRDefault="002E1F23" w:rsidP="002E1F23">
      <w:pPr>
        <w:ind w:firstLine="1298"/>
        <w:jc w:val="both"/>
        <w:rPr>
          <w:rFonts w:eastAsiaTheme="minorHAnsi"/>
          <w:highlight w:val="yellow"/>
        </w:rPr>
      </w:pPr>
    </w:p>
    <w:p w:rsidR="002E1F23" w:rsidRPr="002E1F23" w:rsidRDefault="002E1F23" w:rsidP="002E1F23">
      <w:pPr>
        <w:ind w:firstLine="709"/>
        <w:jc w:val="both"/>
        <w:rPr>
          <w:rFonts w:eastAsiaTheme="minorHAnsi"/>
        </w:rPr>
      </w:pPr>
      <w:r w:rsidRPr="002E1F23">
        <w:rPr>
          <w:rFonts w:eastAsiaTheme="minorHAnsi"/>
        </w:rPr>
        <w:t>Siekiant išsaugoti gerus vaikų dantis, kartu turi dirbti gydytojai odontologai, burnos higienistai, visuomenės sveikatos specialistai ir vaikų tėvai. Vaikų burnos sveikatos būklė priklauso ir nuo vaikų tėvų pastangų.</w:t>
      </w:r>
    </w:p>
    <w:p w:rsidR="002E1F23" w:rsidRPr="002E1F23" w:rsidRDefault="002E1F23" w:rsidP="002E1F23">
      <w:pPr>
        <w:jc w:val="both"/>
        <w:rPr>
          <w:rFonts w:eastAsiaTheme="minorHAnsi"/>
        </w:rPr>
      </w:pPr>
    </w:p>
    <w:p w:rsidR="002E1F23" w:rsidRPr="002E1F23" w:rsidRDefault="002E1F23" w:rsidP="002E1F23">
      <w:pPr>
        <w:keepNext/>
        <w:keepLines/>
        <w:jc w:val="center"/>
        <w:outlineLvl w:val="2"/>
        <w:rPr>
          <w:rFonts w:eastAsiaTheme="majorEastAsia"/>
          <w:b/>
          <w:bCs/>
        </w:rPr>
      </w:pPr>
      <w:bookmarkStart w:id="14" w:name="_Hlk528660389"/>
      <w:r w:rsidRPr="002E1F23">
        <w:rPr>
          <w:rFonts w:eastAsiaTheme="majorEastAsia"/>
          <w:b/>
          <w:bCs/>
        </w:rPr>
        <w:t>Sergamumas cukriniu diabetu</w:t>
      </w:r>
      <w:bookmarkEnd w:id="12"/>
    </w:p>
    <w:bookmarkEnd w:id="14"/>
    <w:p w:rsidR="002E1F23" w:rsidRPr="002E1F23" w:rsidRDefault="002E1F23" w:rsidP="002E1F23">
      <w:pPr>
        <w:ind w:firstLine="794"/>
        <w:jc w:val="both"/>
        <w:rPr>
          <w:rFonts w:eastAsiaTheme="minorHAnsi"/>
        </w:rPr>
      </w:pPr>
    </w:p>
    <w:p w:rsidR="002E1F23" w:rsidRPr="002E1F23" w:rsidRDefault="002E1F23" w:rsidP="002E1F23">
      <w:pPr>
        <w:ind w:firstLine="709"/>
        <w:jc w:val="both"/>
        <w:rPr>
          <w:rFonts w:eastAsiaTheme="minorHAnsi"/>
        </w:rPr>
      </w:pPr>
      <w:r w:rsidRPr="002E1F23">
        <w:rPr>
          <w:rFonts w:eastAsiaTheme="minorHAnsi"/>
        </w:rPr>
        <w:t>Higienos instituto duomenimis, 2010–2017 metais buvo registruotas ryškus naujų cukrinio diabeto atvejų augimas tiek Lietuvoje, tiek ir Klaipėdoje. Per šį laikotarpį Klaipėdoje cukrinio diabeto atvejų skaičius išaugo 3,2 karto – nuo 302,09 iki 971,3/100 000 gyv.</w:t>
      </w:r>
    </w:p>
    <w:p w:rsidR="002E1F23" w:rsidRPr="002E1F23" w:rsidRDefault="002E1F23" w:rsidP="002E1F23">
      <w:pPr>
        <w:ind w:firstLine="709"/>
        <w:jc w:val="both"/>
        <w:rPr>
          <w:rFonts w:eastAsiaTheme="minorHAnsi"/>
        </w:rPr>
      </w:pPr>
      <w:r w:rsidRPr="002E1F23">
        <w:rPr>
          <w:rFonts w:eastAsiaTheme="minorHAnsi"/>
        </w:rPr>
        <w:lastRenderedPageBreak/>
        <w:t xml:space="preserve">Nuo 2010 iki 2019 metų sergamumas cukriniu debetu Klaipėdos mieste išaugo 3,3 karto (2010 metais </w:t>
      </w:r>
      <w:r w:rsidRPr="002E1F23">
        <w:rPr>
          <w:rFonts w:eastAsiaTheme="minorHAnsi"/>
        </w:rPr>
        <w:softHyphen/>
        <w:t>– 302,09/100 000 gyv., 2019 metais – 1 009,4/100 000 gyv.) ir viršija Lietuvos vidurkį (6 pav.).</w:t>
      </w:r>
    </w:p>
    <w:p w:rsidR="002E1F23" w:rsidRPr="002E1F23" w:rsidRDefault="002E1F23" w:rsidP="002E1F23">
      <w:pPr>
        <w:jc w:val="both"/>
        <w:rPr>
          <w:rFonts w:eastAsiaTheme="minorHAnsi"/>
          <w:highlight w:val="yellow"/>
        </w:rPr>
      </w:pPr>
    </w:p>
    <w:p w:rsidR="002E1F23" w:rsidRPr="002E1F23" w:rsidRDefault="002E1F23" w:rsidP="002E1F23">
      <w:pPr>
        <w:jc w:val="center"/>
        <w:rPr>
          <w:rFonts w:eastAsiaTheme="minorHAnsi"/>
        </w:rPr>
      </w:pPr>
      <w:r w:rsidRPr="002E1F23">
        <w:rPr>
          <w:rFonts w:eastAsiaTheme="minorHAnsi"/>
          <w:noProof/>
          <w:lang w:eastAsia="lt-LT"/>
        </w:rPr>
        <w:drawing>
          <wp:inline distT="0" distB="0" distL="0" distR="0" wp14:anchorId="39E34EFF" wp14:editId="605A5A56">
            <wp:extent cx="5867400" cy="21431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E1F23" w:rsidRPr="002E1F23" w:rsidRDefault="002E1F23" w:rsidP="002E1F23">
      <w:pPr>
        <w:jc w:val="center"/>
        <w:rPr>
          <w:rFonts w:eastAsiaTheme="minorHAnsi"/>
        </w:rPr>
      </w:pPr>
      <w:r w:rsidRPr="002E1F23">
        <w:rPr>
          <w:rFonts w:eastAsiaTheme="minorHAnsi"/>
          <w:i/>
          <w:sz w:val="22"/>
          <w:szCs w:val="22"/>
        </w:rPr>
        <w:t>6 pav.</w:t>
      </w:r>
      <w:r w:rsidRPr="002E1F23">
        <w:rPr>
          <w:rFonts w:eastAsiaTheme="minorHAnsi"/>
          <w:b/>
          <w:sz w:val="22"/>
          <w:szCs w:val="22"/>
          <w:lang w:eastAsia="lt-LT"/>
        </w:rPr>
        <w:t xml:space="preserve"> Sergamumas cukriniu diabetu (E10–E14) Lietuvoje ir Klaipėdos m. sav.</w:t>
      </w:r>
    </w:p>
    <w:p w:rsidR="002E1F23" w:rsidRPr="002E1F23" w:rsidRDefault="002E1F23" w:rsidP="002E1F23">
      <w:pPr>
        <w:jc w:val="center"/>
        <w:rPr>
          <w:rFonts w:eastAsiaTheme="minorHAnsi"/>
          <w:b/>
          <w:sz w:val="22"/>
          <w:szCs w:val="22"/>
          <w:lang w:eastAsia="lt-LT"/>
        </w:rPr>
      </w:pPr>
      <w:r w:rsidRPr="002E1F23">
        <w:rPr>
          <w:rFonts w:eastAsiaTheme="minorHAnsi"/>
          <w:b/>
          <w:sz w:val="22"/>
          <w:szCs w:val="22"/>
          <w:lang w:eastAsia="lt-LT"/>
        </w:rPr>
        <w:t>2010–2019 m. (100 000 gyv.).</w:t>
      </w:r>
    </w:p>
    <w:p w:rsidR="002E1F23" w:rsidRPr="002E1F23" w:rsidRDefault="002E1F23" w:rsidP="002E1F23">
      <w:pPr>
        <w:jc w:val="center"/>
        <w:rPr>
          <w:rFonts w:eastAsiaTheme="minorHAnsi"/>
          <w:sz w:val="20"/>
          <w:szCs w:val="20"/>
          <w:lang w:eastAsia="lt-LT"/>
        </w:rPr>
      </w:pPr>
      <w:bookmarkStart w:id="15" w:name="_Hlk23422053"/>
      <w:r w:rsidRPr="002E1F23">
        <w:rPr>
          <w:rFonts w:eastAsiaTheme="minorHAnsi"/>
          <w:sz w:val="20"/>
          <w:szCs w:val="20"/>
          <w:lang w:eastAsia="lt-LT"/>
        </w:rPr>
        <w:t>Šaltinis: Higienos institutas</w:t>
      </w:r>
    </w:p>
    <w:bookmarkEnd w:id="15"/>
    <w:p w:rsidR="002E1F23" w:rsidRPr="002E1F23" w:rsidRDefault="002E1F23" w:rsidP="002E1F23">
      <w:pPr>
        <w:jc w:val="both"/>
        <w:rPr>
          <w:rFonts w:eastAsiaTheme="minorHAnsi"/>
          <w:highlight w:val="yellow"/>
          <w:lang w:eastAsia="lt-LT"/>
        </w:rPr>
      </w:pPr>
    </w:p>
    <w:p w:rsidR="002E1F23" w:rsidRPr="002E1F23" w:rsidRDefault="002E1F23" w:rsidP="002E1F23">
      <w:pPr>
        <w:ind w:firstLine="709"/>
        <w:jc w:val="both"/>
        <w:rPr>
          <w:rFonts w:eastAsiaTheme="minorHAnsi"/>
          <w:highlight w:val="yellow"/>
        </w:rPr>
      </w:pPr>
      <w:r w:rsidRPr="002E1F23">
        <w:rPr>
          <w:rFonts w:eastAsiaTheme="minorHAnsi"/>
        </w:rPr>
        <w:t>Higienos instituto duomenimis, daugiausia naujų cukrinio diabeto atvejų diagnozuota vyresniems nei 65 metų amžiaus asmenims. Nuo 2010 iki 2019 metų šioje amžiaus grupėje sergamumas cukriniu diabetu Klaipėdos mieste išaugo 3,9 karto: 2010 metais 100 000 gyventojų teko 692,7 diabeto atvejo, o 2019 metais – 2 693,79 atvejo. 2019 metais Klaipėdoje sergamumas cukriniu diabetu šioje amžiaus grupėje viršijo Lietuvos vidurkį 1,7 karto ir stebima didėjimo tendencija (7 pav.).</w:t>
      </w:r>
    </w:p>
    <w:p w:rsidR="002E1F23" w:rsidRPr="002E1F23" w:rsidRDefault="002E1F23" w:rsidP="002E1F23">
      <w:pPr>
        <w:ind w:firstLine="1296"/>
        <w:jc w:val="both"/>
        <w:rPr>
          <w:rFonts w:eastAsiaTheme="minorHAnsi"/>
          <w:highlight w:val="yellow"/>
        </w:rPr>
      </w:pPr>
    </w:p>
    <w:p w:rsidR="002E1F23" w:rsidRPr="002E1F23" w:rsidRDefault="002E1F23" w:rsidP="002E1F23">
      <w:pPr>
        <w:jc w:val="center"/>
        <w:rPr>
          <w:rFonts w:eastAsiaTheme="minorHAnsi"/>
        </w:rPr>
      </w:pPr>
      <w:r w:rsidRPr="002E1F23">
        <w:rPr>
          <w:rFonts w:eastAsiaTheme="minorHAnsi"/>
          <w:noProof/>
          <w:lang w:eastAsia="lt-LT"/>
        </w:rPr>
        <w:drawing>
          <wp:inline distT="0" distB="0" distL="0" distR="0" wp14:anchorId="05487CF2" wp14:editId="48EE1260">
            <wp:extent cx="5934075" cy="21240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E1F23" w:rsidRPr="002E1F23" w:rsidRDefault="002E1F23" w:rsidP="002E1F23">
      <w:pPr>
        <w:jc w:val="center"/>
        <w:rPr>
          <w:rFonts w:eastAsiaTheme="minorHAnsi"/>
        </w:rPr>
      </w:pPr>
      <w:r w:rsidRPr="002E1F23">
        <w:rPr>
          <w:rFonts w:eastAsiaTheme="minorHAnsi"/>
          <w:i/>
          <w:sz w:val="22"/>
          <w:szCs w:val="22"/>
        </w:rPr>
        <w:t>7 pav.</w:t>
      </w:r>
      <w:r w:rsidRPr="002E1F23">
        <w:rPr>
          <w:rFonts w:eastAsiaTheme="minorHAnsi"/>
          <w:b/>
          <w:sz w:val="22"/>
          <w:szCs w:val="22"/>
        </w:rPr>
        <w:t xml:space="preserve"> </w:t>
      </w:r>
      <w:r w:rsidRPr="002E1F23">
        <w:rPr>
          <w:rFonts w:eastAsiaTheme="minorHAnsi"/>
          <w:b/>
          <w:sz w:val="22"/>
          <w:szCs w:val="22"/>
          <w:lang w:eastAsia="lt-LT"/>
        </w:rPr>
        <w:t>Sergamumas cukriniu diabetu (E10–E14) vyresnių nei 65 m. amžiaus grupėje Lietuvoje ir Klaipėdos m. sav.</w:t>
      </w:r>
      <w:r w:rsidRPr="002E1F23">
        <w:rPr>
          <w:rFonts w:eastAsiaTheme="minorHAnsi"/>
        </w:rPr>
        <w:t xml:space="preserve"> </w:t>
      </w:r>
      <w:r w:rsidRPr="002E1F23">
        <w:rPr>
          <w:rFonts w:eastAsiaTheme="minorHAnsi"/>
          <w:b/>
          <w:sz w:val="22"/>
          <w:szCs w:val="22"/>
          <w:lang w:eastAsia="lt-LT"/>
        </w:rPr>
        <w:t>2010–2019 m. (100 000 gyv.).</w:t>
      </w:r>
    </w:p>
    <w:p w:rsidR="002E1F23" w:rsidRPr="002E1F23" w:rsidRDefault="002E1F23" w:rsidP="002E1F23">
      <w:pPr>
        <w:jc w:val="center"/>
        <w:rPr>
          <w:rFonts w:eastAsiaTheme="minorHAnsi"/>
          <w:sz w:val="20"/>
          <w:szCs w:val="20"/>
          <w:lang w:eastAsia="lt-LT"/>
        </w:rPr>
      </w:pPr>
      <w:r w:rsidRPr="002E1F23">
        <w:rPr>
          <w:rFonts w:eastAsiaTheme="minorHAnsi"/>
          <w:sz w:val="20"/>
          <w:szCs w:val="20"/>
          <w:lang w:eastAsia="lt-LT"/>
        </w:rPr>
        <w:t>Šaltinis: Higienos institutas</w:t>
      </w:r>
    </w:p>
    <w:p w:rsidR="002E1F23" w:rsidRPr="002E1F23" w:rsidRDefault="002E1F23" w:rsidP="002E1F23">
      <w:pPr>
        <w:jc w:val="center"/>
        <w:rPr>
          <w:rFonts w:eastAsiaTheme="minorHAnsi"/>
          <w:sz w:val="20"/>
          <w:szCs w:val="20"/>
          <w:highlight w:val="yellow"/>
          <w:lang w:eastAsia="lt-LT"/>
        </w:rPr>
      </w:pPr>
    </w:p>
    <w:p w:rsidR="002E1F23" w:rsidRPr="002E1F23" w:rsidRDefault="002E1F23" w:rsidP="002E1F23">
      <w:pPr>
        <w:ind w:firstLine="709"/>
        <w:jc w:val="both"/>
        <w:rPr>
          <w:rFonts w:eastAsiaTheme="minorHAnsi"/>
        </w:rPr>
      </w:pPr>
      <w:r w:rsidRPr="002E1F23">
        <w:rPr>
          <w:rFonts w:eastAsiaTheme="minorHAnsi"/>
        </w:rPr>
        <w:t>Daugiausia cukrinio diabeto atvejų sudaro II tipo cukrinis diabetas (nuo insulino nepriklausomas diabetas). Higienos instituto duomenimis, ši liga 2019 metais Lietuvoje buvo nustatyta 17 106 asmenims, Klaipėdos mieste – 1 390 asmenų. 2019 metais sergamumas šia liga Klaipėdoje buvo 93,6/10 000 gyv., o Lietuvoje – 61,2/10 000 gyv. Didžiausias sergamumo rodiklis nustatytas Lazdijų r. sav. (124,3/10 000 gyv.), mažiausias – Ignalinos r. sav. gyventojams (30/10 000 gyv.).</w:t>
      </w:r>
    </w:p>
    <w:p w:rsidR="002E1F23" w:rsidRPr="002E1F23" w:rsidRDefault="002E1F23" w:rsidP="002E1F23">
      <w:pPr>
        <w:ind w:firstLine="709"/>
        <w:jc w:val="both"/>
        <w:rPr>
          <w:rFonts w:eastAsiaTheme="minorHAnsi"/>
        </w:rPr>
      </w:pPr>
      <w:r w:rsidRPr="002E1F23">
        <w:rPr>
          <w:rFonts w:eastAsiaTheme="minorHAnsi"/>
        </w:rPr>
        <w:t xml:space="preserve">Sergamumas II tipo cukriniu diabetu nuo 2010 iki 2019 metų Klaipėdoje išaugo 3,4 karto, o Lietuvoje – 2,3 karto. Klaipėdos m. sav. sergamumo II tipo cukriniu diabetu rodiklis išlieka aukštesnis už Lietuvos rodiklį bei stebima didėjimo tendencija (8 pav.). </w:t>
      </w:r>
    </w:p>
    <w:p w:rsidR="002E1F23" w:rsidRPr="002E1F23" w:rsidRDefault="002E1F23" w:rsidP="002E1F23">
      <w:pPr>
        <w:ind w:firstLine="794"/>
        <w:jc w:val="both"/>
        <w:rPr>
          <w:rFonts w:eastAsiaTheme="minorHAnsi"/>
          <w:sz w:val="20"/>
          <w:szCs w:val="20"/>
          <w:highlight w:val="yellow"/>
        </w:rPr>
      </w:pPr>
    </w:p>
    <w:p w:rsidR="002E1F23" w:rsidRPr="002E1F23" w:rsidRDefault="002E1F23" w:rsidP="002E1F23">
      <w:pPr>
        <w:jc w:val="center"/>
        <w:rPr>
          <w:rFonts w:eastAsiaTheme="minorHAnsi"/>
          <w:lang w:eastAsia="lt-LT"/>
        </w:rPr>
      </w:pPr>
      <w:r w:rsidRPr="002E1F23">
        <w:rPr>
          <w:rFonts w:eastAsiaTheme="minorHAnsi"/>
          <w:noProof/>
          <w:lang w:eastAsia="lt-LT"/>
        </w:rPr>
        <w:lastRenderedPageBreak/>
        <w:drawing>
          <wp:inline distT="0" distB="0" distL="0" distR="0" wp14:anchorId="7043CB22" wp14:editId="73D4C485">
            <wp:extent cx="5524500" cy="2200275"/>
            <wp:effectExtent l="0" t="0" r="0"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E1F23" w:rsidRPr="002E1F23" w:rsidRDefault="002E1F23" w:rsidP="002E1F23">
      <w:pPr>
        <w:jc w:val="center"/>
        <w:rPr>
          <w:rFonts w:eastAsiaTheme="minorHAnsi"/>
          <w:b/>
          <w:sz w:val="22"/>
          <w:szCs w:val="22"/>
          <w:lang w:eastAsia="lt-LT"/>
        </w:rPr>
      </w:pPr>
      <w:bookmarkStart w:id="16" w:name="_Hlk528748995"/>
      <w:r w:rsidRPr="002E1F23">
        <w:rPr>
          <w:rFonts w:eastAsiaTheme="minorHAnsi"/>
          <w:i/>
          <w:sz w:val="22"/>
          <w:szCs w:val="22"/>
        </w:rPr>
        <w:t>8 pav.</w:t>
      </w:r>
      <w:r w:rsidRPr="002E1F23">
        <w:rPr>
          <w:rFonts w:eastAsiaTheme="minorHAnsi"/>
          <w:b/>
          <w:sz w:val="22"/>
          <w:szCs w:val="22"/>
          <w:lang w:eastAsia="lt-LT"/>
        </w:rPr>
        <w:t xml:space="preserve"> Sergamumas II tipo cukriniu diabetu (E11) Lietuvoje ir Klaipėdos m. sav. </w:t>
      </w:r>
    </w:p>
    <w:p w:rsidR="002E1F23" w:rsidRPr="002E1F23" w:rsidRDefault="002E1F23" w:rsidP="002E1F23">
      <w:pPr>
        <w:jc w:val="center"/>
        <w:rPr>
          <w:rFonts w:eastAsiaTheme="minorHAnsi"/>
          <w:b/>
          <w:sz w:val="22"/>
          <w:szCs w:val="22"/>
          <w:lang w:eastAsia="lt-LT"/>
        </w:rPr>
      </w:pPr>
      <w:r w:rsidRPr="002E1F23">
        <w:rPr>
          <w:rFonts w:eastAsiaTheme="minorHAnsi"/>
          <w:b/>
          <w:sz w:val="22"/>
          <w:szCs w:val="22"/>
          <w:lang w:eastAsia="lt-LT"/>
        </w:rPr>
        <w:t>2010–2019 m. (10 000 gyv.).</w:t>
      </w:r>
    </w:p>
    <w:p w:rsidR="002E1F23" w:rsidRPr="002E1F23" w:rsidRDefault="002E1F23" w:rsidP="002E1F23">
      <w:pPr>
        <w:jc w:val="center"/>
        <w:rPr>
          <w:rFonts w:eastAsiaTheme="minorHAnsi"/>
          <w:sz w:val="20"/>
          <w:szCs w:val="20"/>
          <w:lang w:eastAsia="lt-LT"/>
        </w:rPr>
      </w:pPr>
      <w:r w:rsidRPr="002E1F23">
        <w:rPr>
          <w:rFonts w:eastAsiaTheme="minorHAnsi"/>
          <w:sz w:val="20"/>
          <w:szCs w:val="20"/>
          <w:lang w:eastAsia="lt-LT"/>
        </w:rPr>
        <w:t>Šaltinis: Higienos institutas</w:t>
      </w:r>
    </w:p>
    <w:bookmarkEnd w:id="16"/>
    <w:p w:rsidR="002E1F23" w:rsidRPr="002E1F23" w:rsidRDefault="002E1F23" w:rsidP="002E1F23">
      <w:pPr>
        <w:jc w:val="both"/>
        <w:rPr>
          <w:rFonts w:eastAsiaTheme="minorHAnsi"/>
          <w:highlight w:val="yellow"/>
        </w:rPr>
      </w:pPr>
    </w:p>
    <w:p w:rsidR="002E1F23" w:rsidRPr="002E1F23" w:rsidRDefault="002E1F23" w:rsidP="002E1F23">
      <w:pPr>
        <w:ind w:firstLine="709"/>
        <w:jc w:val="both"/>
        <w:rPr>
          <w:rFonts w:eastAsiaTheme="minorHAnsi"/>
        </w:rPr>
      </w:pPr>
      <w:r w:rsidRPr="002E1F23">
        <w:rPr>
          <w:rFonts w:eastAsiaTheme="minorHAnsi"/>
        </w:rPr>
        <w:t>Klaipėdos miesto visuomenės sveikatos biuro duomenimis, nuo 2010 iki 2019 metų stebėtas mokyklinio amžiaus vaikų, turinčių antsvorį bei nutukimą, skaičiaus augimas. Nuo 2010 iki 2019 metų antsvorį turinčių vaikų skaičius padidėjo nuo 5,5 iki 14,6 proc., nutukusių vaikų dalis – nuo 1,7 iki 5,6 proc.</w:t>
      </w:r>
    </w:p>
    <w:p w:rsidR="002E1F23" w:rsidRPr="002E1F23" w:rsidRDefault="002E1F23" w:rsidP="002E1F23">
      <w:pPr>
        <w:contextualSpacing/>
        <w:rPr>
          <w:rFonts w:eastAsiaTheme="minorHAnsi"/>
          <w:b/>
        </w:rPr>
      </w:pPr>
    </w:p>
    <w:p w:rsidR="002E1F23" w:rsidRPr="002E1F23" w:rsidRDefault="002E1F23" w:rsidP="002E1F23">
      <w:pPr>
        <w:contextualSpacing/>
        <w:jc w:val="center"/>
        <w:rPr>
          <w:rFonts w:eastAsiaTheme="minorHAnsi"/>
          <w:b/>
        </w:rPr>
      </w:pPr>
      <w:r w:rsidRPr="002E1F23">
        <w:rPr>
          <w:rFonts w:eastAsiaTheme="minorHAnsi"/>
          <w:b/>
        </w:rPr>
        <w:t>Tyrimai, atlikti 2019 metais Klaipėdos miesto savivaldybėje</w:t>
      </w:r>
    </w:p>
    <w:p w:rsidR="002E1F23" w:rsidRPr="002E1F23" w:rsidRDefault="002E1F23" w:rsidP="002E1F23">
      <w:pPr>
        <w:contextualSpacing/>
        <w:rPr>
          <w:rFonts w:eastAsiaTheme="minorHAnsi"/>
          <w:b/>
          <w:lang w:eastAsia="lt-LT"/>
        </w:rPr>
      </w:pPr>
      <w:bookmarkStart w:id="17" w:name="_Toc496874358"/>
    </w:p>
    <w:p w:rsidR="002E1F23" w:rsidRPr="002E1F23" w:rsidRDefault="002E1F23" w:rsidP="002E1F23">
      <w:pPr>
        <w:contextualSpacing/>
        <w:jc w:val="center"/>
        <w:rPr>
          <w:rFonts w:eastAsiaTheme="minorHAnsi"/>
          <w:b/>
          <w:lang w:eastAsia="lt-LT"/>
        </w:rPr>
      </w:pPr>
      <w:bookmarkStart w:id="18" w:name="_Hlk54259125"/>
      <w:bookmarkEnd w:id="17"/>
      <w:r w:rsidRPr="002E1F23">
        <w:rPr>
          <w:rFonts w:eastAsiaTheme="minorHAnsi"/>
          <w:b/>
          <w:lang w:eastAsia="lt-LT"/>
        </w:rPr>
        <w:t>Projekto „Jaunimo planeta – narkomanijos prevencijos programa“ tyrimas dėl psichoaktyvių medžiagų vartojimo</w:t>
      </w:r>
    </w:p>
    <w:bookmarkEnd w:id="18"/>
    <w:p w:rsidR="002E1F23" w:rsidRPr="002E1F23" w:rsidRDefault="002E1F23" w:rsidP="002E1F23">
      <w:pPr>
        <w:jc w:val="both"/>
        <w:rPr>
          <w:rFonts w:eastAsiaTheme="minorHAnsi"/>
        </w:rPr>
      </w:pPr>
    </w:p>
    <w:p w:rsidR="002E1F23" w:rsidRPr="002E1F23" w:rsidRDefault="002E1F23" w:rsidP="002E1F23">
      <w:pPr>
        <w:ind w:firstLine="709"/>
        <w:jc w:val="both"/>
        <w:rPr>
          <w:rFonts w:eastAsiaTheme="majorEastAsia"/>
          <w:color w:val="000000" w:themeColor="text1"/>
          <w:kern w:val="24"/>
          <w:sz w:val="20"/>
          <w:szCs w:val="20"/>
        </w:rPr>
      </w:pPr>
      <w:r w:rsidRPr="002E1F23">
        <w:rPr>
          <w:rFonts w:eastAsiaTheme="minorHAnsi"/>
          <w:b/>
          <w:i/>
        </w:rPr>
        <w:t xml:space="preserve">Tyrimo tikslas – </w:t>
      </w:r>
      <w:r w:rsidRPr="002E1F23">
        <w:rPr>
          <w:rFonts w:eastAsiaTheme="minorHAnsi"/>
        </w:rPr>
        <w:t>ištirti socialinės aplinkos poveikį 15–16 metų Klaipėdos miesto mokiniams, sužinoti jų požiūrį apie psichoaktyvių medžiagų vartojimą.</w:t>
      </w:r>
    </w:p>
    <w:p w:rsidR="002E1F23" w:rsidRPr="002E1F23" w:rsidRDefault="002E1F23" w:rsidP="002E1F23">
      <w:pPr>
        <w:ind w:firstLine="709"/>
        <w:jc w:val="both"/>
        <w:rPr>
          <w:rFonts w:eastAsiaTheme="minorHAnsi"/>
        </w:rPr>
      </w:pPr>
      <w:r w:rsidRPr="002E1F23">
        <w:rPr>
          <w:rFonts w:eastAsiaTheme="minorHAnsi"/>
          <w:b/>
          <w:i/>
        </w:rPr>
        <w:t xml:space="preserve">Tyrimo medžiaga ir metodai: </w:t>
      </w:r>
      <w:r w:rsidRPr="002E1F23">
        <w:rPr>
          <w:rFonts w:eastAsiaTheme="minorHAnsi"/>
        </w:rPr>
        <w:t>tyrimas vyko 2019 metų vasario mėn. Klaipėdos miesto bendrojo ugdymo ir profesinių mokyklų 10-tų klasių mokiniai elektroniniu būdu pildė tyrimo klausimyną. Dalyvavo 906 mokiniai. Tyrimo metodinis vadovas – Islandijos socialinių tyrimų ir analizės centras (ICSRA).</w:t>
      </w:r>
      <w:r w:rsidRPr="002E1F23">
        <w:rPr>
          <w:rFonts w:asciiTheme="minorHAnsi" w:eastAsiaTheme="minorHAnsi" w:hAnsiTheme="minorHAnsi" w:cstheme="minorBidi"/>
          <w:sz w:val="22"/>
          <w:szCs w:val="22"/>
        </w:rPr>
        <w:t xml:space="preserve"> </w:t>
      </w:r>
      <w:r w:rsidRPr="002E1F23">
        <w:rPr>
          <w:rFonts w:eastAsiaTheme="minorHAnsi"/>
        </w:rPr>
        <w:t>Klausimyne buvo įtraukti klausimai apie psichoaktyvių medžiagų vartojimą (pastaruoju metu, per visą gyvenimą) bei daugelį socialinių veiksnių, lemiančių psichiką veikiančių medžiagų vartojimą. Klaipėdos miesto rodikliai buvo lyginami su kitų Europos miestų rodikliais.</w:t>
      </w:r>
    </w:p>
    <w:p w:rsidR="002E1F23" w:rsidRPr="002E1F23" w:rsidRDefault="002E1F23" w:rsidP="002E1F23">
      <w:pPr>
        <w:ind w:firstLine="709"/>
        <w:jc w:val="both"/>
        <w:rPr>
          <w:rFonts w:eastAsiaTheme="minorHAnsi"/>
        </w:rPr>
      </w:pPr>
      <w:r w:rsidRPr="002E1F23">
        <w:rPr>
          <w:rFonts w:eastAsiaTheme="minorHAnsi"/>
          <w:b/>
          <w:i/>
        </w:rPr>
        <w:t>Tyrimo rezultatai:</w:t>
      </w:r>
      <w:r w:rsidRPr="002E1F23">
        <w:rPr>
          <w:rFonts w:eastAsiaTheme="minorHAnsi"/>
        </w:rPr>
        <w:t xml:space="preserve"> 2019 metais reguliariai rūkė 10,3 proc. Klaipėdos ir 14 proc. kitų Europos miestų 15–16 metų mokinių, Klaipėdoje daugiau berniukų, o kituose miestuose – mergaičių. Bent kartą gyvenime kanapių vartojo 21,3 proc. Klaipėdos ir 19,2 proc. kitų miestų paauglių. Tiek Klaipėdoje, tiek Europos miestuose 15 metų yra dažniausias amžius, kai paaugliai pirmą kartą savo gyvenime paragauja alkoholio, apsvaigsta nuo alkoholio, pabando kanapių, pradeda reguliariai rūkyti, o pirmą cigaretę surūko būdami 14 metų amžiaus.</w:t>
      </w:r>
      <w:r w:rsidRPr="002E1F23">
        <w:rPr>
          <w:rFonts w:asciiTheme="minorHAnsi" w:eastAsiaTheme="minorHAnsi" w:hAnsiTheme="minorHAnsi" w:cstheme="minorBidi"/>
          <w:sz w:val="22"/>
          <w:szCs w:val="22"/>
        </w:rPr>
        <w:t xml:space="preserve"> </w:t>
      </w:r>
      <w:r w:rsidRPr="002E1F23">
        <w:rPr>
          <w:rFonts w:eastAsiaTheme="minorHAnsi"/>
        </w:rPr>
        <w:t>Laisvalaikį savaitgaliais kartu su tėvais leidžia trečdalis Klaipėdos, o kituose miestuose – beveik pusė 15–16 metų mokinių. Darbo dienomis laisvą laiką kartu su tėvais leidžia tik ketvirtadalis Klaipėdos, o kituose miestuose – trečdalis paauglių. 17,1 proc. Klaipėdos ir 18,4 proc. Europos miestų tėvų nepažįsta vaikų draugų bei apie 10 proc. tiek Klaipėdos, tiek kitų miestų tėvų nežino, kur jų atžalos būna vakarais. 13 proc. Klaipėdos paauglių nurodė, kad jiems trūksta tėvų rūpesčio ir paramos, o Europos miestuose tai pažymėjo 9,7 proc. paauglių. Nustatytas tiesioginis ryšys tarp 15–16 metų paauglių psichoaktyvių medžiagų vartojimo ir santykių su tėvais. Jei vaikai gauna pakankamai tėvų rūpesčio ir paramos, tėvai domisi, kur jų atžalos leidžia laisvalaikį, mažesnė tikimybė, kad vaikai pradės rūkyti ar svaigintis alkoholiu.</w:t>
      </w:r>
    </w:p>
    <w:p w:rsidR="002E1F23" w:rsidRPr="002E1F23" w:rsidRDefault="002E1F23" w:rsidP="002E1F23">
      <w:pPr>
        <w:ind w:firstLine="709"/>
        <w:jc w:val="both"/>
        <w:rPr>
          <w:rFonts w:eastAsiaTheme="minorHAnsi"/>
        </w:rPr>
      </w:pPr>
    </w:p>
    <w:p w:rsidR="002E1F23" w:rsidRPr="002E1F23" w:rsidRDefault="002E1F23" w:rsidP="002E1F23">
      <w:pPr>
        <w:contextualSpacing/>
        <w:jc w:val="center"/>
        <w:rPr>
          <w:rFonts w:eastAsiaTheme="minorHAnsi"/>
          <w:b/>
          <w:lang w:eastAsia="lt-LT"/>
        </w:rPr>
      </w:pPr>
      <w:r w:rsidRPr="002E1F23">
        <w:rPr>
          <w:rFonts w:eastAsiaTheme="minorHAnsi"/>
          <w:b/>
        </w:rPr>
        <w:br w:type="page"/>
      </w:r>
      <w:bookmarkStart w:id="19" w:name="_Hlk54257701"/>
      <w:r w:rsidRPr="002E1F23">
        <w:rPr>
          <w:rFonts w:eastAsiaTheme="minorHAnsi"/>
          <w:b/>
          <w:lang w:eastAsia="lt-LT"/>
        </w:rPr>
        <w:lastRenderedPageBreak/>
        <w:t>Mokinių kuprinių svėrimo akcija „Ar žinai, kiek sveria tavo kuprinė?“</w:t>
      </w:r>
    </w:p>
    <w:bookmarkEnd w:id="19"/>
    <w:p w:rsidR="002E1F23" w:rsidRPr="002E1F23" w:rsidRDefault="002E1F23" w:rsidP="002E1F23">
      <w:pPr>
        <w:jc w:val="both"/>
        <w:rPr>
          <w:rFonts w:eastAsiaTheme="minorHAnsi"/>
        </w:rPr>
      </w:pPr>
    </w:p>
    <w:p w:rsidR="002E1F23" w:rsidRPr="002E1F23" w:rsidRDefault="002E1F23" w:rsidP="002E1F23">
      <w:pPr>
        <w:ind w:firstLine="709"/>
        <w:jc w:val="both"/>
        <w:rPr>
          <w:rFonts w:eastAsiaTheme="majorEastAsia"/>
          <w:color w:val="000000" w:themeColor="text1"/>
          <w:kern w:val="24"/>
          <w:sz w:val="20"/>
          <w:szCs w:val="20"/>
        </w:rPr>
      </w:pPr>
      <w:r w:rsidRPr="002E1F23">
        <w:rPr>
          <w:rFonts w:eastAsiaTheme="minorHAnsi"/>
          <w:b/>
          <w:i/>
        </w:rPr>
        <w:t xml:space="preserve">Tyrimo tikslas – </w:t>
      </w:r>
      <w:r w:rsidRPr="002E1F23">
        <w:rPr>
          <w:rFonts w:eastAsiaTheme="minorHAnsi"/>
        </w:rPr>
        <w:t>išsiaiškinti, kokio svorio kuprines nešioja Klaipėdos miesto 1–6 klasių mokiniai, bei atkreipti mokinių ir tėvų dėmesį į mokyklinių kuprinių svorį, turinį bei galimą sunkios kuprinės poveikį vaiko sveikatai.</w:t>
      </w:r>
      <w:r w:rsidRPr="002E1F23">
        <w:rPr>
          <w:rFonts w:eastAsiaTheme="minorEastAsia"/>
          <w:color w:val="000000" w:themeColor="text1"/>
          <w:kern w:val="24"/>
          <w:sz w:val="20"/>
          <w:szCs w:val="20"/>
        </w:rPr>
        <w:t xml:space="preserve"> </w:t>
      </w:r>
    </w:p>
    <w:p w:rsidR="002E1F23" w:rsidRPr="002E1F23" w:rsidRDefault="002E1F23" w:rsidP="002E1F23">
      <w:pPr>
        <w:ind w:firstLine="709"/>
        <w:jc w:val="both"/>
        <w:rPr>
          <w:rFonts w:eastAsiaTheme="minorHAnsi"/>
        </w:rPr>
      </w:pPr>
      <w:bookmarkStart w:id="20" w:name="_Hlk27734059"/>
      <w:r w:rsidRPr="002E1F23">
        <w:rPr>
          <w:rFonts w:eastAsiaTheme="minorHAnsi"/>
          <w:b/>
          <w:i/>
        </w:rPr>
        <w:t xml:space="preserve">Tyrimo medžiaga ir metodai: </w:t>
      </w:r>
      <w:bookmarkEnd w:id="20"/>
      <w:r w:rsidRPr="002E1F23">
        <w:rPr>
          <w:rFonts w:eastAsiaTheme="minorHAnsi"/>
        </w:rPr>
        <w:t xml:space="preserve">tyrimas vyko 2019 metų spalio mėn. Buvo pasverti 1−6 klasių mokiniai ir jų kuprinės, dalyvavo 9 065 mokiniai. </w:t>
      </w:r>
    </w:p>
    <w:p w:rsidR="002E1F23" w:rsidRPr="002E1F23" w:rsidRDefault="002E1F23" w:rsidP="002E1F23">
      <w:pPr>
        <w:ind w:firstLine="709"/>
        <w:jc w:val="both"/>
        <w:rPr>
          <w:rFonts w:eastAsiaTheme="minorHAnsi"/>
        </w:rPr>
      </w:pPr>
      <w:r w:rsidRPr="002E1F23">
        <w:rPr>
          <w:rFonts w:eastAsiaTheme="minorHAnsi"/>
          <w:b/>
          <w:i/>
        </w:rPr>
        <w:t>Tyrimo rezultatai:</w:t>
      </w:r>
      <w:r w:rsidRPr="002E1F23">
        <w:rPr>
          <w:rFonts w:eastAsiaTheme="minorHAnsi"/>
        </w:rPr>
        <w:t xml:space="preserve"> kas antro (50,2 proc.) mokinio kuprinės svoris sudarė iki 10 proc. vaikų svorio t. y.  tiek, kiek rekomenduojama. 8 proc. vaikų kuprinės buvo labai sunkios, t.  y. viršijo 15 proc. mokinio kūno svorio. Daugiausia sunkių kuprinių nešiojo antrų klasių mokiniai. 80,6 proc. mokinių kuprinės turėjo atšvaitus, jų didžiausia dalis buvo tarp pirmokų (96 proc.), o mažiausiai atšvaitų turėjo 6 klasių mokiniai – 61,4 proc. Siekiant įvertinti mokinių nuomonę apie kuprinių svorį, buvo vaikų klausiama ,,Ar tau kuprinė yra sunki?”. Kas aštuntas (12 proc.) mokinys atsakė, kad jo kuprinė yra sunki, didžiausia mokinių dalis, kuriems buvo per sunki kuprinė, buvo tarp šeštokų (13,2 proc.).</w:t>
      </w:r>
    </w:p>
    <w:p w:rsidR="002E1F23" w:rsidRPr="002E1F23" w:rsidRDefault="002E1F23" w:rsidP="002E1F23">
      <w:pPr>
        <w:rPr>
          <w:rFonts w:eastAsiaTheme="minorHAnsi"/>
          <w:b/>
        </w:rPr>
      </w:pPr>
    </w:p>
    <w:p w:rsidR="002E1F23" w:rsidRPr="002E1F23" w:rsidRDefault="002E1F23" w:rsidP="002E1F23">
      <w:pPr>
        <w:rPr>
          <w:rFonts w:eastAsiaTheme="minorHAnsi"/>
          <w:b/>
        </w:rPr>
      </w:pPr>
      <w:r w:rsidRPr="002E1F23">
        <w:rPr>
          <w:rFonts w:eastAsiaTheme="minorHAnsi"/>
          <w:b/>
        </w:rPr>
        <w:br w:type="page"/>
      </w:r>
    </w:p>
    <w:p w:rsidR="002E1F23" w:rsidRPr="002E1F23" w:rsidRDefault="002E1F23" w:rsidP="002E1F23">
      <w:pPr>
        <w:jc w:val="center"/>
        <w:rPr>
          <w:b/>
        </w:rPr>
      </w:pPr>
      <w:r w:rsidRPr="002E1F23">
        <w:rPr>
          <w:b/>
        </w:rPr>
        <w:lastRenderedPageBreak/>
        <w:t>APIBENDRINIMAS</w:t>
      </w:r>
    </w:p>
    <w:p w:rsidR="002E1F23" w:rsidRPr="002E1F23" w:rsidRDefault="002E1F23" w:rsidP="002E1F23">
      <w:pPr>
        <w:jc w:val="center"/>
        <w:rPr>
          <w:b/>
        </w:rPr>
      </w:pPr>
    </w:p>
    <w:p w:rsidR="002E1F23" w:rsidRPr="002E1F23" w:rsidRDefault="002E1F23" w:rsidP="00FE37D4">
      <w:pPr>
        <w:numPr>
          <w:ilvl w:val="0"/>
          <w:numId w:val="3"/>
        </w:numPr>
        <w:tabs>
          <w:tab w:val="left" w:pos="0"/>
          <w:tab w:val="left" w:pos="993"/>
        </w:tabs>
        <w:spacing w:after="200" w:line="276" w:lineRule="auto"/>
        <w:ind w:left="0" w:firstLine="709"/>
        <w:contextualSpacing/>
        <w:jc w:val="both"/>
        <w:rPr>
          <w:rFonts w:eastAsiaTheme="minorHAnsi"/>
        </w:rPr>
      </w:pPr>
      <w:r w:rsidRPr="002E1F23">
        <w:rPr>
          <w:rFonts w:eastAsiaTheme="minorHAnsi"/>
        </w:rPr>
        <w:t>2020 metų pradžioje Klaipėdos mieste išaugo gyventojų skaičius. Klaipėdos m. sav. gyventojai pagal lytį – 54,4 proc. moterų ir 45,6 proc. vyrų. Didžiąją gyventojų dalį (60,3 proc.) sudaro darbingo amžiaus gyventojai. Išlieka gyventojų senėjimo tendencija, nes Klaipėdos m. sav. gyvena daugiau pensinio amžiaus žmonių nei vaikų. 2019 metais Klaipėdos mieste gimusiųjų skaičius sumažėjo, o mirusiųjų – išaugo, natūrali gyventojų kaita buvo neigiama.</w:t>
      </w:r>
    </w:p>
    <w:p w:rsidR="002E1F23" w:rsidRPr="002E1F23" w:rsidRDefault="002E1F23" w:rsidP="00FE37D4">
      <w:pPr>
        <w:numPr>
          <w:ilvl w:val="0"/>
          <w:numId w:val="3"/>
        </w:numPr>
        <w:tabs>
          <w:tab w:val="left" w:pos="0"/>
          <w:tab w:val="left" w:pos="993"/>
        </w:tabs>
        <w:spacing w:after="200" w:line="276" w:lineRule="auto"/>
        <w:ind w:left="0" w:firstLine="709"/>
        <w:contextualSpacing/>
        <w:jc w:val="both"/>
        <w:rPr>
          <w:rFonts w:eastAsiaTheme="minorHAnsi"/>
        </w:rPr>
      </w:pPr>
      <w:r w:rsidRPr="002E1F23">
        <w:rPr>
          <w:rFonts w:eastAsiaTheme="minorHAnsi"/>
        </w:rPr>
        <w:t>2019 metais į geriausių rodiklių grupę (žalioji zona) pateko 14 rodiklių:</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Išvengiamas mirtingumas (proc.);</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Mirtingumas dėl savižudybių (X60–X84) 100 000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Ilgalaikio nedarbo lygis (proc.);</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Gyventojų skaičiaus pokytis 1 000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Mokinių, gaunančių nemokamą maitinimą mokyklose, skaičius 1 000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Socialinės pašalpos gavėjų skaičius 1 000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Darbingo amžiaus asmenų, pirmą kartą pripažintų neįgaliais, skaičius 10 000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Išvengiamų hospitalizacijų skaičius 1 000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Šeimos medicinos paslaugas teikiančių gydytojų skaičius 10 000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Apsilankymų pas gydytojus skaičius, tenkantis vienam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Mirtingumo nuo kraujotakos sistemos ligų  (I00–I99) rodiklis 100 000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Tikslinės populiacijos dalis (proc.), dalyvavusi atrankinės mamografinės patikros dėl krūties vėžio finansavimo programoje 2018–2019 m.;</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Tikslinės populiacijos dalis (proc.), dalyvavusi storosios žarnos vėžio ankstyvosios diagnostikos finansavimo programoje 2018–2019 m.;</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Tikslinės populiacijos dalis (proc.), dalyvavusi asmenų, priskirtinų širdies ir kraujagyslių ligų didelės rizikos grupei, atrankos ir prevencijos priemonių finansavimo programoje 2019 m.</w:t>
      </w:r>
    </w:p>
    <w:p w:rsidR="002E1F23" w:rsidRPr="002E1F23" w:rsidRDefault="002E1F23" w:rsidP="00FE37D4">
      <w:pPr>
        <w:numPr>
          <w:ilvl w:val="0"/>
          <w:numId w:val="3"/>
        </w:numPr>
        <w:tabs>
          <w:tab w:val="left" w:pos="0"/>
          <w:tab w:val="left" w:pos="993"/>
        </w:tabs>
        <w:spacing w:after="200" w:line="276" w:lineRule="auto"/>
        <w:ind w:left="0" w:firstLine="709"/>
        <w:contextualSpacing/>
        <w:jc w:val="both"/>
        <w:rPr>
          <w:rFonts w:eastAsiaTheme="minorHAnsi"/>
        </w:rPr>
      </w:pPr>
      <w:r w:rsidRPr="002E1F23">
        <w:rPr>
          <w:rFonts w:eastAsiaTheme="minorHAnsi"/>
        </w:rPr>
        <w:t xml:space="preserve">2019 metais į blogiausių rodiklių grupę (raudonoji zona) pateko 8 rodikliai: </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Transporto įvykiuose patirtos traumos (V00–V99) 100 000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Į atmosferą iš stacionarių taršos šaltinių išmestų teršalų kiekis, tenkantis 1 kvadratiniam kilometrui;</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Mirtingumas dėl priežasčių, susijusių su narkotikų vartojimu (F11, F12, F14, F15, F16, F19, X41, X42, X61, X62, Y11, Y12) 100 000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Nusikalstamos veikos, susijusios su disponavimu narkotinėmis medžiagomis ir jų kontrabanda (nusikaltimai) 100 000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2 metų amžiaus vaikų MMR1 (tymų, epideminio parotito, raudonukės vakcina, 1 dozė) skiepijimo apimtys, proc.;</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 xml:space="preserve">1 metų amžiaus vaikų DTP3 (difterijos, stabligės, kokliušo vakcina), poliomielito ir B tipo </w:t>
      </w:r>
      <w:r w:rsidRPr="002E1F23">
        <w:rPr>
          <w:i/>
          <w:iCs/>
          <w:lang w:eastAsia="lt-LT"/>
        </w:rPr>
        <w:t>Haemophilus influenzae</w:t>
      </w:r>
      <w:r w:rsidRPr="002E1F23">
        <w:rPr>
          <w:lang w:eastAsia="lt-LT"/>
        </w:rPr>
        <w:t xml:space="preserve"> infekcijos skiepijimo apimtys (3 dozės), proc.;</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Tikslinės populiacijos (6–14 m.) dalis, dalyvavusi vaikų krūminių dantų dengimo silantinėmis medžiagomis programoje, proc.;</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Sergamumas II tipo cukriniu diabetu 10 000 gyv.</w:t>
      </w:r>
    </w:p>
    <w:p w:rsidR="002E1F23" w:rsidRPr="002E1F23" w:rsidRDefault="002E1F23" w:rsidP="00FE37D4">
      <w:pPr>
        <w:numPr>
          <w:ilvl w:val="0"/>
          <w:numId w:val="3"/>
        </w:numPr>
        <w:tabs>
          <w:tab w:val="left" w:pos="0"/>
          <w:tab w:val="left" w:pos="993"/>
        </w:tabs>
        <w:spacing w:after="200" w:line="276" w:lineRule="auto"/>
        <w:ind w:left="0" w:firstLine="709"/>
        <w:contextualSpacing/>
        <w:jc w:val="both"/>
        <w:rPr>
          <w:rFonts w:eastAsiaTheme="minorHAnsi"/>
        </w:rPr>
      </w:pPr>
      <w:r w:rsidRPr="002E1F23">
        <w:rPr>
          <w:rFonts w:eastAsiaTheme="minorHAnsi"/>
        </w:rPr>
        <w:t xml:space="preserve">Buvo išrinktos 3 prioritetinės Klaipėdos m. sav. sritys: </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Transporto įvykiuose patirtos traumos (V00-V99) 100 000 gyv.;</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Tikslinės populiacijos (6–14 m.) dalis, dalyvavusi vaikų krūminių dantų dengimo silantinėmis medžiagomis programoje, proc.;</w:t>
      </w:r>
    </w:p>
    <w:p w:rsidR="002E1F23" w:rsidRPr="002E1F23" w:rsidRDefault="002E1F23" w:rsidP="00FE37D4">
      <w:pPr>
        <w:numPr>
          <w:ilvl w:val="0"/>
          <w:numId w:val="5"/>
        </w:numPr>
        <w:tabs>
          <w:tab w:val="left" w:pos="0"/>
          <w:tab w:val="left" w:pos="993"/>
        </w:tabs>
        <w:spacing w:after="200" w:line="276" w:lineRule="auto"/>
        <w:ind w:left="0" w:firstLine="709"/>
        <w:contextualSpacing/>
        <w:jc w:val="both"/>
        <w:rPr>
          <w:lang w:eastAsia="lt-LT"/>
        </w:rPr>
      </w:pPr>
      <w:r w:rsidRPr="002E1F23">
        <w:rPr>
          <w:lang w:eastAsia="lt-LT"/>
        </w:rPr>
        <w:t>Sergamumas II tipo cukriniu diabetu (E11) 10 000 gyventojų.</w:t>
      </w:r>
    </w:p>
    <w:p w:rsidR="002E1F23" w:rsidRPr="002E1F23" w:rsidRDefault="002E1F23" w:rsidP="00FE37D4">
      <w:pPr>
        <w:numPr>
          <w:ilvl w:val="0"/>
          <w:numId w:val="3"/>
        </w:numPr>
        <w:tabs>
          <w:tab w:val="left" w:pos="0"/>
          <w:tab w:val="left" w:pos="993"/>
        </w:tabs>
        <w:spacing w:after="200" w:line="276" w:lineRule="auto"/>
        <w:ind w:left="0" w:firstLine="709"/>
        <w:contextualSpacing/>
        <w:jc w:val="both"/>
        <w:rPr>
          <w:rFonts w:eastAsiaTheme="minorHAnsi"/>
        </w:rPr>
      </w:pPr>
      <w:r w:rsidRPr="002E1F23">
        <w:rPr>
          <w:lang w:eastAsia="lt-LT"/>
        </w:rPr>
        <w:lastRenderedPageBreak/>
        <w:t xml:space="preserve">2019 metais į prasčiausių rodiklių grupę (raudonoji zona) naujai pateko </w:t>
      </w:r>
      <w:bookmarkStart w:id="21" w:name="_Hlk54191546"/>
      <w:r w:rsidRPr="002E1F23">
        <w:rPr>
          <w:lang w:eastAsia="lt-LT"/>
        </w:rPr>
        <w:t>transporto įvykiuose patirtų traumų</w:t>
      </w:r>
      <w:bookmarkEnd w:id="21"/>
      <w:r w:rsidRPr="002E1F23">
        <w:rPr>
          <w:lang w:eastAsia="lt-LT"/>
        </w:rPr>
        <w:t xml:space="preserve"> rodiklis. Nuo 2014 iki 2019 metų Klaipėdoje transporto įvykiuose patirtų traumų rodiklis išaugo 1,8 karto, o Lietuvoje – sumažėjo 8,5 proc. Klaipėdos m. sav. traumų rodiklis išlieka aukštesnis už Lietuvos rodiklį bei stebima didėjimo tendencija.</w:t>
      </w:r>
    </w:p>
    <w:p w:rsidR="002E1F23" w:rsidRPr="002E1F23" w:rsidRDefault="002E1F23" w:rsidP="00FE37D4">
      <w:pPr>
        <w:numPr>
          <w:ilvl w:val="0"/>
          <w:numId w:val="3"/>
        </w:numPr>
        <w:tabs>
          <w:tab w:val="left" w:pos="0"/>
          <w:tab w:val="left" w:pos="993"/>
        </w:tabs>
        <w:spacing w:after="200" w:line="276" w:lineRule="auto"/>
        <w:ind w:left="0" w:firstLine="709"/>
        <w:contextualSpacing/>
        <w:jc w:val="both"/>
        <w:rPr>
          <w:rFonts w:eastAsiaTheme="minorHAnsi"/>
        </w:rPr>
      </w:pPr>
      <w:r w:rsidRPr="002E1F23">
        <w:rPr>
          <w:rFonts w:eastAsiaTheme="minorHAnsi"/>
        </w:rPr>
        <w:t>2019 metais sergamumas II tipo cukriniu diabetu Klaipėdos m. sav. buvo didesnis už Lietuvos rodiklį (Klaipėdoje – 93,6/10 000 gyventojų, Lietuvoje – 61,2/10 000 gyventojų). Sergamumas II tipo cukriniu diabetu tiek Lietuvoje, tiek Klaipėdoje turi didėjimo tendenciją. Nutukimas tiesiogiai susijęs su II tipo cukrinio diabeto atsiradimu. Klaipėdos mieste nuo 2010 iki 2019 metų antsvorį turinčių vaikų skaičius padidėjo nuo 5,5 iki 14,6 proc., nutukusių vaikų dalis – nuo 1,7 iki 5,6 proc.</w:t>
      </w:r>
    </w:p>
    <w:p w:rsidR="002E1F23" w:rsidRPr="002E1F23" w:rsidRDefault="002E1F23" w:rsidP="00FE37D4">
      <w:pPr>
        <w:numPr>
          <w:ilvl w:val="0"/>
          <w:numId w:val="4"/>
        </w:numPr>
        <w:tabs>
          <w:tab w:val="left" w:pos="0"/>
          <w:tab w:val="left" w:pos="993"/>
        </w:tabs>
        <w:spacing w:after="200" w:line="276" w:lineRule="auto"/>
        <w:ind w:left="0" w:firstLine="709"/>
        <w:contextualSpacing/>
        <w:jc w:val="both"/>
        <w:rPr>
          <w:rFonts w:eastAsiaTheme="minorHAnsi"/>
        </w:rPr>
      </w:pPr>
      <w:r w:rsidRPr="002E1F23">
        <w:rPr>
          <w:rFonts w:eastAsiaTheme="minorHAnsi"/>
        </w:rPr>
        <w:t xml:space="preserve">2019 metais krūminių dantų dengimo silantinėmis medžiagomis programoje Klaipėdoje dalyvavo 6,4 proc., o Lietuvoje – 15 proc. tikslinės populiacijos (6–14 m.) </w:t>
      </w:r>
      <w:bookmarkStart w:id="22" w:name="_Toc496874360"/>
      <w:r w:rsidRPr="002E1F23">
        <w:rPr>
          <w:rFonts w:eastAsiaTheme="minorHAnsi"/>
        </w:rPr>
        <w:t>vaikų. Klaipėdoje stebima stabili šios programos įgyvendinimo tendencija.</w:t>
      </w:r>
    </w:p>
    <w:bookmarkEnd w:id="22"/>
    <w:p w:rsidR="002E1F23" w:rsidRPr="002E1F23" w:rsidRDefault="002E1F23" w:rsidP="002E1F23">
      <w:pPr>
        <w:ind w:firstLine="709"/>
        <w:rPr>
          <w:rFonts w:eastAsiaTheme="minorHAnsi"/>
          <w:strike/>
        </w:rPr>
      </w:pPr>
      <w:r w:rsidRPr="002E1F23">
        <w:rPr>
          <w:rFonts w:eastAsiaTheme="minorHAnsi"/>
          <w:strike/>
        </w:rPr>
        <w:br w:type="page"/>
      </w:r>
    </w:p>
    <w:p w:rsidR="002E1F23" w:rsidRPr="002E1F23" w:rsidRDefault="002E1F23" w:rsidP="002E1F23">
      <w:pPr>
        <w:jc w:val="center"/>
        <w:rPr>
          <w:b/>
        </w:rPr>
      </w:pPr>
      <w:r w:rsidRPr="002E1F23">
        <w:rPr>
          <w:b/>
        </w:rPr>
        <w:lastRenderedPageBreak/>
        <w:t>REKOMENDACIJOS</w:t>
      </w:r>
    </w:p>
    <w:p w:rsidR="002E1F23" w:rsidRPr="002E1F23" w:rsidRDefault="002E1F23" w:rsidP="002E1F23">
      <w:pPr>
        <w:jc w:val="center"/>
        <w:rPr>
          <w:b/>
        </w:rPr>
      </w:pPr>
    </w:p>
    <w:p w:rsidR="002E1F23" w:rsidRPr="002E1F23" w:rsidRDefault="002E1F23" w:rsidP="002E1F23">
      <w:pPr>
        <w:tabs>
          <w:tab w:val="left" w:pos="851"/>
        </w:tabs>
        <w:ind w:firstLine="709"/>
        <w:jc w:val="both"/>
        <w:rPr>
          <w:rFonts w:eastAsiaTheme="minorHAnsi"/>
        </w:rPr>
      </w:pPr>
      <w:r w:rsidRPr="002E1F23">
        <w:rPr>
          <w:rFonts w:eastAsiaTheme="minorHAnsi"/>
        </w:rPr>
        <w:t>Siekiant geresnės Klaipėdos miesto gyventojų sveikatos būklės, mažinant sveikatos netolygumus, mirtingumą nuo išorinių mirties priežasčių ir lėtinių ligų, būtinas bendradarbiavimas tarp visų sektorių.</w:t>
      </w:r>
    </w:p>
    <w:p w:rsidR="002E1F23" w:rsidRPr="002E1F23" w:rsidRDefault="002E1F23" w:rsidP="002E1F23">
      <w:pPr>
        <w:tabs>
          <w:tab w:val="left" w:pos="851"/>
        </w:tabs>
        <w:ind w:firstLine="709"/>
        <w:jc w:val="both"/>
        <w:rPr>
          <w:rFonts w:eastAsiaTheme="minorHAnsi"/>
        </w:rPr>
      </w:pPr>
    </w:p>
    <w:p w:rsidR="002E1F23" w:rsidRPr="002E1F23" w:rsidRDefault="002E1F23" w:rsidP="002E1F23">
      <w:pPr>
        <w:tabs>
          <w:tab w:val="left" w:pos="851"/>
        </w:tabs>
        <w:ind w:firstLine="709"/>
        <w:jc w:val="both"/>
        <w:rPr>
          <w:rFonts w:eastAsiaTheme="minorHAnsi"/>
          <w:b/>
        </w:rPr>
      </w:pPr>
      <w:r w:rsidRPr="002E1F23">
        <w:rPr>
          <w:rFonts w:eastAsiaTheme="minorHAnsi"/>
          <w:b/>
        </w:rPr>
        <w:t xml:space="preserve">Rekomendacijos Klaipėdos miesto savivaldybei ir </w:t>
      </w:r>
      <w:r w:rsidRPr="002E1F23">
        <w:rPr>
          <w:rFonts w:eastAsia="Calibri"/>
          <w:b/>
        </w:rPr>
        <w:t>Klaipėdos miesto visuomenės sveikatos biurui:</w:t>
      </w:r>
    </w:p>
    <w:p w:rsidR="002E1F23" w:rsidRPr="002E1F23" w:rsidRDefault="002E1F23" w:rsidP="002E1F23">
      <w:pPr>
        <w:numPr>
          <w:ilvl w:val="0"/>
          <w:numId w:val="2"/>
        </w:numPr>
        <w:tabs>
          <w:tab w:val="left" w:pos="851"/>
          <w:tab w:val="left" w:pos="993"/>
        </w:tabs>
        <w:spacing w:after="200" w:line="276" w:lineRule="auto"/>
        <w:ind w:firstLine="709"/>
        <w:contextualSpacing/>
        <w:jc w:val="both"/>
        <w:rPr>
          <w:rFonts w:eastAsiaTheme="minorHAnsi"/>
        </w:rPr>
      </w:pPr>
      <w:r w:rsidRPr="002E1F23">
        <w:rPr>
          <w:rFonts w:eastAsia="Calibri"/>
        </w:rPr>
        <w:t>Visuomenės sveikatos biuras turi didinti gyventojų informuotumą sveikatos tematika, skatinti gyventojus aktyviau dalyvauti sveikatinimo veiklose, didesnį dėmesį skirti vaikų burnos ligų profilaktikai, vaikų antsvorio problemai, cukrinio diabeto profilaktikai, konsultuoti gyventojus sveikos gyvensenos klausimais.</w:t>
      </w:r>
    </w:p>
    <w:p w:rsidR="002E1F23" w:rsidRPr="002E1F23" w:rsidRDefault="002E1F23" w:rsidP="002E1F23">
      <w:pPr>
        <w:numPr>
          <w:ilvl w:val="0"/>
          <w:numId w:val="2"/>
        </w:numPr>
        <w:tabs>
          <w:tab w:val="left" w:pos="851"/>
          <w:tab w:val="left" w:pos="993"/>
        </w:tabs>
        <w:spacing w:after="200" w:line="276" w:lineRule="auto"/>
        <w:ind w:firstLine="709"/>
        <w:contextualSpacing/>
        <w:jc w:val="both"/>
        <w:rPr>
          <w:rFonts w:eastAsiaTheme="minorHAnsi"/>
        </w:rPr>
      </w:pPr>
      <w:r w:rsidRPr="002E1F23">
        <w:rPr>
          <w:rFonts w:eastAsiaTheme="minorHAnsi"/>
        </w:rPr>
        <w:t>Skatinti darbuotojų kvalifikacijos kėlimą, prioritetą teikiant sveikatos stiprinimo, ligų prevencijos ir sveikatos netolygumų mažinimo klausimais.</w:t>
      </w:r>
    </w:p>
    <w:p w:rsidR="002E1F23" w:rsidRPr="002E1F23" w:rsidRDefault="002E1F23" w:rsidP="002E1F23">
      <w:pPr>
        <w:numPr>
          <w:ilvl w:val="0"/>
          <w:numId w:val="2"/>
        </w:numPr>
        <w:tabs>
          <w:tab w:val="left" w:pos="851"/>
          <w:tab w:val="left" w:pos="993"/>
        </w:tabs>
        <w:spacing w:after="200" w:line="276" w:lineRule="auto"/>
        <w:ind w:firstLine="709"/>
        <w:contextualSpacing/>
        <w:jc w:val="both"/>
        <w:rPr>
          <w:rFonts w:eastAsiaTheme="minorHAnsi"/>
        </w:rPr>
      </w:pPr>
      <w:r w:rsidRPr="002E1F23">
        <w:rPr>
          <w:rFonts w:eastAsiaTheme="minorHAnsi"/>
        </w:rPr>
        <w:t>Mažinant gyventojų transporto įvykiuose patirtų traumų skaičių būtina stiprinti saugumo priemones avaringiausiose Klaipėdos miesto gatvėse, gyventojams organizuoti saugaus eismo akcijas, socialines reklamas, mokyti gyventojus teikti pirmąją pagalbą.</w:t>
      </w:r>
    </w:p>
    <w:p w:rsidR="002E1F23" w:rsidRPr="002E1F23" w:rsidRDefault="002E1F23" w:rsidP="002E1F23">
      <w:pPr>
        <w:tabs>
          <w:tab w:val="left" w:pos="851"/>
          <w:tab w:val="left" w:pos="993"/>
        </w:tabs>
        <w:ind w:firstLine="709"/>
        <w:contextualSpacing/>
        <w:jc w:val="both"/>
        <w:rPr>
          <w:rFonts w:eastAsiaTheme="minorHAnsi"/>
        </w:rPr>
      </w:pPr>
    </w:p>
    <w:p w:rsidR="002E1F23" w:rsidRPr="002E1F23" w:rsidRDefault="002E1F23" w:rsidP="002E1F23">
      <w:pPr>
        <w:tabs>
          <w:tab w:val="left" w:pos="851"/>
          <w:tab w:val="left" w:pos="993"/>
        </w:tabs>
        <w:ind w:firstLine="709"/>
        <w:jc w:val="both"/>
        <w:rPr>
          <w:rFonts w:eastAsiaTheme="minorHAnsi"/>
          <w:b/>
        </w:rPr>
      </w:pPr>
      <w:r w:rsidRPr="002E1F23">
        <w:rPr>
          <w:rFonts w:eastAsiaTheme="minorHAnsi"/>
          <w:b/>
        </w:rPr>
        <w:t>Rekomendacijos pirminės sveikatos priežiūros įstaigoms:</w:t>
      </w:r>
    </w:p>
    <w:p w:rsidR="002E1F23" w:rsidRPr="002E1F23" w:rsidRDefault="002E1F23" w:rsidP="002E1F23">
      <w:pPr>
        <w:numPr>
          <w:ilvl w:val="0"/>
          <w:numId w:val="2"/>
        </w:numPr>
        <w:tabs>
          <w:tab w:val="left" w:pos="851"/>
          <w:tab w:val="left" w:pos="993"/>
          <w:tab w:val="left" w:pos="1134"/>
          <w:tab w:val="left" w:pos="1985"/>
        </w:tabs>
        <w:spacing w:after="200" w:line="276" w:lineRule="auto"/>
        <w:ind w:firstLine="709"/>
        <w:contextualSpacing/>
        <w:jc w:val="both"/>
        <w:rPr>
          <w:rFonts w:eastAsiaTheme="minorHAnsi"/>
        </w:rPr>
      </w:pPr>
      <w:r w:rsidRPr="002E1F23">
        <w:rPr>
          <w:rFonts w:eastAsiaTheme="minorHAnsi"/>
        </w:rPr>
        <w:t>Gyventojus, turinčius sveikatos rizikos veiksnius (alkoholio ir tabako gaminių vartojimas, nutukimas, mažas fizinis aktyvumas) konsultuoti dėl galimybių ir būdų šiems veiksniams mažinti.</w:t>
      </w:r>
    </w:p>
    <w:p w:rsidR="002E1F23" w:rsidRPr="002E1F23" w:rsidRDefault="002E1F23" w:rsidP="002E1F23">
      <w:pPr>
        <w:numPr>
          <w:ilvl w:val="0"/>
          <w:numId w:val="2"/>
        </w:numPr>
        <w:tabs>
          <w:tab w:val="left" w:pos="851"/>
          <w:tab w:val="left" w:pos="993"/>
          <w:tab w:val="left" w:pos="1134"/>
          <w:tab w:val="left" w:pos="1985"/>
        </w:tabs>
        <w:spacing w:after="200" w:line="276" w:lineRule="auto"/>
        <w:ind w:firstLine="709"/>
        <w:contextualSpacing/>
        <w:jc w:val="both"/>
        <w:rPr>
          <w:rFonts w:eastAsiaTheme="minorHAnsi"/>
        </w:rPr>
      </w:pPr>
      <w:r w:rsidRPr="002E1F23">
        <w:rPr>
          <w:rFonts w:eastAsiaTheme="minorHAnsi"/>
        </w:rPr>
        <w:t>Skatinti asmenis, sergančius širdies ir kraujagyslių ligomis ir (ar) cukriniu diabetu ir (ar) turinčius rizikos veiksnių, dalyvauti Klaipėdos miesto visuomenės sveikatos biuro vykdomoje nemokamoje širdies ir kraujagyslių ligų rizikos grupės asmenų sveikatos stiprinimo programoje „Širdies ritmu“.</w:t>
      </w:r>
    </w:p>
    <w:p w:rsidR="002E1F23" w:rsidRPr="002E1F23" w:rsidRDefault="002E1F23" w:rsidP="002E1F23">
      <w:pPr>
        <w:numPr>
          <w:ilvl w:val="0"/>
          <w:numId w:val="2"/>
        </w:numPr>
        <w:tabs>
          <w:tab w:val="left" w:pos="851"/>
          <w:tab w:val="left" w:pos="993"/>
          <w:tab w:val="left" w:pos="1134"/>
          <w:tab w:val="left" w:pos="1985"/>
        </w:tabs>
        <w:spacing w:after="200" w:line="276" w:lineRule="auto"/>
        <w:ind w:firstLine="709"/>
        <w:contextualSpacing/>
        <w:jc w:val="both"/>
        <w:rPr>
          <w:rFonts w:eastAsiaTheme="minorHAnsi"/>
        </w:rPr>
      </w:pPr>
      <w:r w:rsidRPr="002E1F23">
        <w:rPr>
          <w:rFonts w:eastAsia="Calibri"/>
        </w:rPr>
        <w:t>Siekti, kad gydytojai odontologai išsamiai įvertintų vaikų dantų ir žandikaulių būklę, kiekvieno vaiko apsilankymo metu akcentuotų tinkamą dantų valymą bei informuotų tėvus apie vaikų krūminių dantų dengimą silantinėmis medžiagomis.</w:t>
      </w:r>
      <w:r w:rsidRPr="002E1F23">
        <w:rPr>
          <w:rFonts w:eastAsiaTheme="minorHAnsi"/>
          <w:b/>
        </w:rPr>
        <w:br w:type="page"/>
      </w:r>
    </w:p>
    <w:p w:rsidR="002E1F23" w:rsidRPr="002E1F23" w:rsidRDefault="002E1F23" w:rsidP="002E1F23">
      <w:pPr>
        <w:jc w:val="center"/>
        <w:rPr>
          <w:b/>
        </w:rPr>
      </w:pPr>
      <w:r w:rsidRPr="002E1F23">
        <w:rPr>
          <w:b/>
        </w:rPr>
        <w:lastRenderedPageBreak/>
        <w:t>ŠALTINIAI</w:t>
      </w:r>
    </w:p>
    <w:p w:rsidR="002E1F23" w:rsidRPr="002E1F23" w:rsidRDefault="002E1F23" w:rsidP="002E1F23">
      <w:pPr>
        <w:jc w:val="both"/>
        <w:rPr>
          <w:rFonts w:eastAsiaTheme="minorHAnsi"/>
        </w:rPr>
      </w:pPr>
    </w:p>
    <w:p w:rsidR="002E1F23" w:rsidRPr="002E1F23" w:rsidRDefault="002E1F23" w:rsidP="002E1F23">
      <w:pPr>
        <w:numPr>
          <w:ilvl w:val="0"/>
          <w:numId w:val="7"/>
        </w:numPr>
        <w:tabs>
          <w:tab w:val="left" w:pos="993"/>
        </w:tabs>
        <w:spacing w:after="200" w:line="276" w:lineRule="auto"/>
        <w:ind w:firstLine="709"/>
        <w:contextualSpacing/>
        <w:jc w:val="both"/>
        <w:rPr>
          <w:rFonts w:eastAsiaTheme="minorHAnsi"/>
        </w:rPr>
      </w:pPr>
      <w:r w:rsidRPr="002E1F23">
        <w:rPr>
          <w:rFonts w:eastAsiaTheme="minorHAnsi"/>
        </w:rPr>
        <w:t>Lietuvos Respublikos sveikatos apsaugos ministro 2014 m. liepos 16 d. įsakymas Nr. V</w:t>
      </w:r>
      <w:r w:rsidRPr="002E1F23">
        <w:rPr>
          <w:rFonts w:eastAsiaTheme="minorHAnsi"/>
        </w:rPr>
        <w:noBreakHyphen/>
        <w:t>815 „Dėl Sveikatos netolygumų mažinimo Lietuvoje 2014–2023 m. veiksmų plano patvirtinimo“, TAR, 2014-07-17, Nr. 10332.</w:t>
      </w:r>
    </w:p>
    <w:p w:rsidR="002E1F23" w:rsidRPr="002E1F23" w:rsidRDefault="002E1F23" w:rsidP="002E1F23">
      <w:pPr>
        <w:numPr>
          <w:ilvl w:val="0"/>
          <w:numId w:val="7"/>
        </w:numPr>
        <w:tabs>
          <w:tab w:val="left" w:pos="993"/>
        </w:tabs>
        <w:spacing w:after="200" w:line="276" w:lineRule="auto"/>
        <w:ind w:firstLine="709"/>
        <w:contextualSpacing/>
        <w:jc w:val="both"/>
        <w:rPr>
          <w:rFonts w:eastAsiaTheme="minorHAnsi"/>
        </w:rPr>
      </w:pPr>
      <w:r w:rsidRPr="002E1F23">
        <w:rPr>
          <w:rFonts w:eastAsiaTheme="minorHAnsi"/>
        </w:rPr>
        <w:t>I. Petrauskaitė, A. Želvienė. Savivaldybių visuomenės sveikatos stebėsenos ataskaitų rašymo metodinės rekomendacijos. Higienos institutas, Vilnius, 2019.</w:t>
      </w:r>
    </w:p>
    <w:p w:rsidR="002E1F23" w:rsidRPr="002E1F23" w:rsidRDefault="002E1F23" w:rsidP="002E1F23">
      <w:pPr>
        <w:numPr>
          <w:ilvl w:val="0"/>
          <w:numId w:val="7"/>
        </w:numPr>
        <w:tabs>
          <w:tab w:val="left" w:pos="993"/>
        </w:tabs>
        <w:spacing w:after="200" w:line="276" w:lineRule="auto"/>
        <w:ind w:firstLine="709"/>
        <w:contextualSpacing/>
        <w:jc w:val="both"/>
        <w:rPr>
          <w:rFonts w:eastAsiaTheme="minorHAnsi"/>
        </w:rPr>
      </w:pPr>
      <w:r w:rsidRPr="002E1F23">
        <w:rPr>
          <w:rFonts w:eastAsiaTheme="minorHAnsi"/>
        </w:rPr>
        <w:t>Visuomenės sveikatos netolygumai. Pasaulinė sveikatos diena – suvaldyk diabetą! Higienos institutas, 2016, Nr. 1 (14).</w:t>
      </w:r>
    </w:p>
    <w:p w:rsidR="002E1F23" w:rsidRPr="002E1F23" w:rsidRDefault="002E1F23" w:rsidP="002E1F23">
      <w:pPr>
        <w:numPr>
          <w:ilvl w:val="0"/>
          <w:numId w:val="7"/>
        </w:numPr>
        <w:tabs>
          <w:tab w:val="left" w:pos="993"/>
        </w:tabs>
        <w:spacing w:after="200" w:line="276" w:lineRule="auto"/>
        <w:ind w:firstLine="709"/>
        <w:contextualSpacing/>
        <w:jc w:val="both"/>
        <w:rPr>
          <w:rFonts w:eastAsiaTheme="minorHAnsi"/>
        </w:rPr>
      </w:pPr>
      <w:r w:rsidRPr="002E1F23">
        <w:rPr>
          <w:rFonts w:eastAsiaTheme="minorHAnsi"/>
        </w:rPr>
        <w:t>Visuomenės sveikatos būklė Lietuvos savivaldybėse 2019 m. Higienos instituto Sveikatos informacijos centras. Vilnius, 2020.</w:t>
      </w:r>
    </w:p>
    <w:p w:rsidR="002E1F23" w:rsidRPr="002E1F23" w:rsidRDefault="002E1F23" w:rsidP="002E1F23">
      <w:pPr>
        <w:numPr>
          <w:ilvl w:val="0"/>
          <w:numId w:val="7"/>
        </w:numPr>
        <w:tabs>
          <w:tab w:val="left" w:pos="993"/>
        </w:tabs>
        <w:spacing w:after="200" w:line="276" w:lineRule="auto"/>
        <w:ind w:firstLine="709"/>
        <w:contextualSpacing/>
        <w:jc w:val="both"/>
        <w:rPr>
          <w:rFonts w:eastAsiaTheme="minorHAnsi"/>
        </w:rPr>
      </w:pPr>
      <w:r w:rsidRPr="002E1F23">
        <w:rPr>
          <w:rFonts w:eastAsiaTheme="minorHAnsi"/>
        </w:rPr>
        <w:t>Klaipėdos miesto savivaldybės visuomenės sveikatos stebėsenos 2018 metų ataskaita. Klaipėdos miesto visuomenės sveikatos biuras, 2019.</w:t>
      </w:r>
    </w:p>
    <w:p w:rsidR="002E1F23" w:rsidRPr="002E1F23" w:rsidRDefault="002E1F23" w:rsidP="002E1F23">
      <w:pPr>
        <w:numPr>
          <w:ilvl w:val="0"/>
          <w:numId w:val="7"/>
        </w:numPr>
        <w:tabs>
          <w:tab w:val="left" w:pos="993"/>
        </w:tabs>
        <w:spacing w:after="200" w:line="276" w:lineRule="auto"/>
        <w:ind w:firstLine="709"/>
        <w:contextualSpacing/>
        <w:jc w:val="both"/>
        <w:rPr>
          <w:rFonts w:eastAsiaTheme="minorHAnsi"/>
        </w:rPr>
      </w:pPr>
      <w:r w:rsidRPr="002E1F23">
        <w:rPr>
          <w:rFonts w:eastAsiaTheme="minorHAnsi"/>
        </w:rPr>
        <w:t>Klaipėdos miesto savivaldybės aplinkos monitoringo 2017–2021 m. programa. Klaipėdos miesto savivaldybės tarybos 2016 m. gruodžio 22 d. sprendimas Nr. T2-291.</w:t>
      </w:r>
    </w:p>
    <w:p w:rsidR="002E1F23" w:rsidRPr="002E1F23" w:rsidRDefault="002E1F23" w:rsidP="002E1F23">
      <w:pPr>
        <w:numPr>
          <w:ilvl w:val="0"/>
          <w:numId w:val="7"/>
        </w:numPr>
        <w:tabs>
          <w:tab w:val="left" w:pos="993"/>
        </w:tabs>
        <w:spacing w:after="200" w:line="276" w:lineRule="auto"/>
        <w:ind w:firstLine="709"/>
        <w:contextualSpacing/>
        <w:jc w:val="both"/>
        <w:rPr>
          <w:rFonts w:eastAsiaTheme="minorHAnsi"/>
        </w:rPr>
      </w:pPr>
      <w:r w:rsidRPr="002E1F23">
        <w:rPr>
          <w:rFonts w:eastAsiaTheme="minorHAnsi"/>
        </w:rPr>
        <w:t>Klaipėdos miesto savivaldybės mokyklinio amžiaus vaikų profilaktinių sveikatos patikrinimų 2019 m. duomenų analizė. Klaipėdos miesto visuomenės sveikatos biuras, 2020.</w:t>
      </w:r>
    </w:p>
    <w:p w:rsidR="002E1F23" w:rsidRPr="002E1F23" w:rsidRDefault="002E1F23" w:rsidP="002E1F23">
      <w:pPr>
        <w:jc w:val="both"/>
        <w:rPr>
          <w:rFonts w:eastAsiaTheme="minorHAnsi"/>
          <w:strike/>
        </w:rPr>
      </w:pPr>
    </w:p>
    <w:p w:rsidR="002E1F23" w:rsidRPr="002E1F23" w:rsidRDefault="002E1F23" w:rsidP="002E1F23">
      <w:pPr>
        <w:rPr>
          <w:rFonts w:eastAsiaTheme="minorHAnsi"/>
        </w:rPr>
      </w:pPr>
    </w:p>
    <w:p w:rsidR="002E1F23" w:rsidRPr="002E1F23" w:rsidRDefault="002E1F23" w:rsidP="002E1F23">
      <w:pPr>
        <w:rPr>
          <w:rFonts w:eastAsiaTheme="minorHAnsi"/>
        </w:rPr>
      </w:pPr>
    </w:p>
    <w:p w:rsidR="002E1F23" w:rsidRPr="002E1F23" w:rsidRDefault="002E1F23" w:rsidP="002E1F23">
      <w:pPr>
        <w:rPr>
          <w:rFonts w:eastAsiaTheme="minorHAnsi"/>
          <w:b/>
        </w:rPr>
      </w:pPr>
      <w:r w:rsidRPr="002E1F23">
        <w:rPr>
          <w:rFonts w:eastAsiaTheme="minorHAnsi"/>
          <w:b/>
        </w:rPr>
        <w:t>Ataskaitą parengė</w:t>
      </w:r>
    </w:p>
    <w:p w:rsidR="002E1F23" w:rsidRPr="002E1F23" w:rsidRDefault="002E1F23" w:rsidP="002E1F23">
      <w:pPr>
        <w:rPr>
          <w:rFonts w:asciiTheme="minorHAnsi" w:eastAsiaTheme="minorHAnsi" w:hAnsiTheme="minorHAnsi" w:cstheme="minorBidi"/>
          <w:sz w:val="22"/>
          <w:szCs w:val="22"/>
        </w:rPr>
      </w:pPr>
      <w:r w:rsidRPr="002E1F23">
        <w:rPr>
          <w:rFonts w:eastAsiaTheme="minorHAnsi"/>
          <w:b/>
        </w:rPr>
        <w:t>Klaipėdos miesto visuomenės sveikatos biuras</w:t>
      </w:r>
    </w:p>
    <w:sectPr w:rsidR="002E1F23" w:rsidRPr="002E1F23" w:rsidSect="00D57F27">
      <w:headerReference w:type="defaul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4DB" w:rsidRDefault="009424DB" w:rsidP="00D57F27">
      <w:r>
        <w:separator/>
      </w:r>
    </w:p>
  </w:endnote>
  <w:endnote w:type="continuationSeparator" w:id="0">
    <w:p w:rsidR="009424DB" w:rsidRDefault="009424D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4DB" w:rsidRDefault="009424DB" w:rsidP="00D57F27">
      <w:r>
        <w:separator/>
      </w:r>
    </w:p>
  </w:footnote>
  <w:footnote w:type="continuationSeparator" w:id="0">
    <w:p w:rsidR="009424DB" w:rsidRDefault="009424D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577BC">
          <w:rPr>
            <w:noProof/>
          </w:rPr>
          <w:t>17</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060D9"/>
    <w:multiLevelType w:val="hybridMultilevel"/>
    <w:tmpl w:val="2780E076"/>
    <w:lvl w:ilvl="0" w:tplc="12FC8EEA">
      <w:start w:val="2"/>
      <w:numFmt w:val="bullet"/>
      <w:lvlText w:val="-"/>
      <w:lvlJc w:val="left"/>
      <w:pPr>
        <w:ind w:left="0" w:hanging="360"/>
      </w:pPr>
      <w:rPr>
        <w:rFonts w:ascii="Times New Roman" w:eastAsiaTheme="minorHAns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 w15:restartNumberingAfterBreak="0">
    <w:nsid w:val="4C43590F"/>
    <w:multiLevelType w:val="hybridMultilevel"/>
    <w:tmpl w:val="7B26E5A4"/>
    <w:lvl w:ilvl="0" w:tplc="A2B0A40A">
      <w:start w:val="1"/>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2717" w:hanging="360"/>
      </w:pPr>
      <w:rPr>
        <w:rFonts w:ascii="Courier New" w:hAnsi="Courier New" w:cs="Courier New" w:hint="default"/>
      </w:rPr>
    </w:lvl>
    <w:lvl w:ilvl="2" w:tplc="04270005" w:tentative="1">
      <w:start w:val="1"/>
      <w:numFmt w:val="bullet"/>
      <w:lvlText w:val=""/>
      <w:lvlJc w:val="left"/>
      <w:pPr>
        <w:ind w:left="3437" w:hanging="360"/>
      </w:pPr>
      <w:rPr>
        <w:rFonts w:ascii="Wingdings" w:hAnsi="Wingdings" w:hint="default"/>
      </w:rPr>
    </w:lvl>
    <w:lvl w:ilvl="3" w:tplc="04270001" w:tentative="1">
      <w:start w:val="1"/>
      <w:numFmt w:val="bullet"/>
      <w:lvlText w:val=""/>
      <w:lvlJc w:val="left"/>
      <w:pPr>
        <w:ind w:left="4157" w:hanging="360"/>
      </w:pPr>
      <w:rPr>
        <w:rFonts w:ascii="Symbol" w:hAnsi="Symbol" w:hint="default"/>
      </w:rPr>
    </w:lvl>
    <w:lvl w:ilvl="4" w:tplc="04270003" w:tentative="1">
      <w:start w:val="1"/>
      <w:numFmt w:val="bullet"/>
      <w:lvlText w:val="o"/>
      <w:lvlJc w:val="left"/>
      <w:pPr>
        <w:ind w:left="4877" w:hanging="360"/>
      </w:pPr>
      <w:rPr>
        <w:rFonts w:ascii="Courier New" w:hAnsi="Courier New" w:cs="Courier New" w:hint="default"/>
      </w:rPr>
    </w:lvl>
    <w:lvl w:ilvl="5" w:tplc="04270005" w:tentative="1">
      <w:start w:val="1"/>
      <w:numFmt w:val="bullet"/>
      <w:lvlText w:val=""/>
      <w:lvlJc w:val="left"/>
      <w:pPr>
        <w:ind w:left="5597" w:hanging="360"/>
      </w:pPr>
      <w:rPr>
        <w:rFonts w:ascii="Wingdings" w:hAnsi="Wingdings" w:hint="default"/>
      </w:rPr>
    </w:lvl>
    <w:lvl w:ilvl="6" w:tplc="04270001" w:tentative="1">
      <w:start w:val="1"/>
      <w:numFmt w:val="bullet"/>
      <w:lvlText w:val=""/>
      <w:lvlJc w:val="left"/>
      <w:pPr>
        <w:ind w:left="6317" w:hanging="360"/>
      </w:pPr>
      <w:rPr>
        <w:rFonts w:ascii="Symbol" w:hAnsi="Symbol" w:hint="default"/>
      </w:rPr>
    </w:lvl>
    <w:lvl w:ilvl="7" w:tplc="04270003" w:tentative="1">
      <w:start w:val="1"/>
      <w:numFmt w:val="bullet"/>
      <w:lvlText w:val="o"/>
      <w:lvlJc w:val="left"/>
      <w:pPr>
        <w:ind w:left="7037" w:hanging="360"/>
      </w:pPr>
      <w:rPr>
        <w:rFonts w:ascii="Courier New" w:hAnsi="Courier New" w:cs="Courier New" w:hint="default"/>
      </w:rPr>
    </w:lvl>
    <w:lvl w:ilvl="8" w:tplc="04270005" w:tentative="1">
      <w:start w:val="1"/>
      <w:numFmt w:val="bullet"/>
      <w:lvlText w:val=""/>
      <w:lvlJc w:val="left"/>
      <w:pPr>
        <w:ind w:left="7757" w:hanging="360"/>
      </w:pPr>
      <w:rPr>
        <w:rFonts w:ascii="Wingdings" w:hAnsi="Wingdings" w:hint="default"/>
      </w:rPr>
    </w:lvl>
  </w:abstractNum>
  <w:abstractNum w:abstractNumId="2" w15:restartNumberingAfterBreak="0">
    <w:nsid w:val="538F673E"/>
    <w:multiLevelType w:val="hybridMultilevel"/>
    <w:tmpl w:val="F028B5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A2857CF"/>
    <w:multiLevelType w:val="hybridMultilevel"/>
    <w:tmpl w:val="91A256A6"/>
    <w:lvl w:ilvl="0" w:tplc="8B3E3618">
      <w:start w:val="1"/>
      <w:numFmt w:val="decimal"/>
      <w:lvlText w:val="%1)"/>
      <w:lvlJc w:val="left"/>
      <w:pPr>
        <w:ind w:left="1211" w:hanging="360"/>
      </w:pPr>
      <w:rPr>
        <w:rFonts w:ascii="Times New Roman" w:eastAsia="Times New Roman" w:hAnsi="Times New Roman" w:cs="Times New Roman"/>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6B1B41A2"/>
    <w:multiLevelType w:val="hybridMultilevel"/>
    <w:tmpl w:val="2696A620"/>
    <w:lvl w:ilvl="0" w:tplc="E87C761C">
      <w:start w:val="7"/>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7C2E4BF3"/>
    <w:multiLevelType w:val="hybridMultilevel"/>
    <w:tmpl w:val="DB4453FE"/>
    <w:lvl w:ilvl="0" w:tplc="C47AF01C">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num>
  <w:num w:numId="2">
    <w:abstractNumId w:val="0"/>
  </w:num>
  <w:num w:numId="3">
    <w:abstractNumId w:val="5"/>
  </w:num>
  <w:num w:numId="4">
    <w:abstractNumId w:val="5"/>
    <w:lvlOverride w:ilvl="0">
      <w:lvl w:ilvl="0" w:tplc="C47AF01C">
        <w:start w:val="1"/>
        <w:numFmt w:val="decimal"/>
        <w:lvlText w:val="%1."/>
        <w:lvlJc w:val="left"/>
        <w:pPr>
          <w:ind w:left="360"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E1F23"/>
    <w:rsid w:val="0037737F"/>
    <w:rsid w:val="004476DD"/>
    <w:rsid w:val="004832C8"/>
    <w:rsid w:val="004A2AF8"/>
    <w:rsid w:val="005334BB"/>
    <w:rsid w:val="00597EE8"/>
    <w:rsid w:val="005F495C"/>
    <w:rsid w:val="00832CC9"/>
    <w:rsid w:val="008354D5"/>
    <w:rsid w:val="008E6E82"/>
    <w:rsid w:val="00912486"/>
    <w:rsid w:val="009424DB"/>
    <w:rsid w:val="00996C61"/>
    <w:rsid w:val="00AF7D08"/>
    <w:rsid w:val="00B750B6"/>
    <w:rsid w:val="00C577BC"/>
    <w:rsid w:val="00CA4D3B"/>
    <w:rsid w:val="00D42B72"/>
    <w:rsid w:val="00D57F27"/>
    <w:rsid w:val="00E33871"/>
    <w:rsid w:val="00E56A73"/>
    <w:rsid w:val="00EC21AD"/>
    <w:rsid w:val="00F72A1E"/>
    <w:rsid w:val="00FE37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F42BA-C93D-4640-8017-57322F22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E1F2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2E1F2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2E1F23"/>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2E1F23"/>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2E1F23"/>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2E1F23"/>
    <w:rPr>
      <w:rFonts w:asciiTheme="majorHAnsi" w:eastAsiaTheme="majorEastAsia" w:hAnsiTheme="majorHAnsi" w:cstheme="majorBidi"/>
      <w:b/>
      <w:bCs/>
      <w:color w:val="4F81BD" w:themeColor="accent1"/>
    </w:rPr>
  </w:style>
  <w:style w:type="numbering" w:customStyle="1" w:styleId="Sraonra1">
    <w:name w:val="Sąrašo nėra1"/>
    <w:next w:val="Sraonra"/>
    <w:uiPriority w:val="99"/>
    <w:semiHidden/>
    <w:unhideWhenUsed/>
    <w:rsid w:val="002E1F23"/>
  </w:style>
  <w:style w:type="paragraph" w:styleId="Sraopastraipa">
    <w:name w:val="List Paragraph"/>
    <w:basedOn w:val="prastasis"/>
    <w:uiPriority w:val="34"/>
    <w:qFormat/>
    <w:rsid w:val="002E1F23"/>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link w:val="BetarpDiagrama"/>
    <w:uiPriority w:val="1"/>
    <w:qFormat/>
    <w:rsid w:val="002E1F23"/>
    <w:pPr>
      <w:spacing w:after="0" w:line="240" w:lineRule="auto"/>
    </w:pPr>
  </w:style>
  <w:style w:type="table" w:customStyle="1" w:styleId="Lentelstinklelis1">
    <w:name w:val="Lentelės tinklelis1"/>
    <w:basedOn w:val="prastojilentel"/>
    <w:next w:val="Lentelstinklelis"/>
    <w:uiPriority w:val="59"/>
    <w:rsid w:val="002E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2E1F2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saitas">
    <w:name w:val="Hyperlink"/>
    <w:basedOn w:val="Numatytasispastraiposriftas"/>
    <w:uiPriority w:val="99"/>
    <w:unhideWhenUsed/>
    <w:rsid w:val="002E1F23"/>
    <w:rPr>
      <w:color w:val="0000FF" w:themeColor="hyperlink"/>
      <w:u w:val="single"/>
    </w:rPr>
  </w:style>
  <w:style w:type="character" w:customStyle="1" w:styleId="apple-converted-space">
    <w:name w:val="apple-converted-space"/>
    <w:basedOn w:val="Numatytasispastraiposriftas"/>
    <w:rsid w:val="002E1F23"/>
  </w:style>
  <w:style w:type="paragraph" w:styleId="Paprastasistekstas">
    <w:name w:val="Plain Text"/>
    <w:basedOn w:val="prastasis"/>
    <w:link w:val="PaprastasistekstasDiagrama"/>
    <w:uiPriority w:val="99"/>
    <w:unhideWhenUsed/>
    <w:rsid w:val="002E1F23"/>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rsid w:val="002E1F23"/>
    <w:rPr>
      <w:rFonts w:ascii="Consolas" w:hAnsi="Consolas"/>
      <w:sz w:val="21"/>
      <w:szCs w:val="21"/>
    </w:rPr>
  </w:style>
  <w:style w:type="character" w:styleId="Grietas">
    <w:name w:val="Strong"/>
    <w:basedOn w:val="Numatytasispastraiposriftas"/>
    <w:uiPriority w:val="22"/>
    <w:qFormat/>
    <w:rsid w:val="002E1F23"/>
    <w:rPr>
      <w:b/>
      <w:bCs/>
    </w:rPr>
  </w:style>
  <w:style w:type="paragraph" w:styleId="Turinioantrat">
    <w:name w:val="TOC Heading"/>
    <w:basedOn w:val="Antrat1"/>
    <w:next w:val="prastasis"/>
    <w:uiPriority w:val="39"/>
    <w:semiHidden/>
    <w:unhideWhenUsed/>
    <w:qFormat/>
    <w:rsid w:val="002E1F23"/>
    <w:pPr>
      <w:outlineLvl w:val="9"/>
    </w:pPr>
    <w:rPr>
      <w:lang w:eastAsia="lt-LT"/>
    </w:rPr>
  </w:style>
  <w:style w:type="paragraph" w:styleId="Turinys1">
    <w:name w:val="toc 1"/>
    <w:basedOn w:val="prastasis"/>
    <w:next w:val="prastasis"/>
    <w:autoRedefine/>
    <w:uiPriority w:val="39"/>
    <w:unhideWhenUsed/>
    <w:rsid w:val="002E1F23"/>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2E1F23"/>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2E1F23"/>
    <w:pPr>
      <w:spacing w:after="100" w:line="276" w:lineRule="auto"/>
      <w:ind w:left="440"/>
    </w:pPr>
    <w:rPr>
      <w:rFonts w:asciiTheme="minorHAnsi" w:eastAsiaTheme="minorHAnsi" w:hAnsiTheme="minorHAnsi" w:cstheme="minorBidi"/>
      <w:sz w:val="22"/>
      <w:szCs w:val="22"/>
    </w:rPr>
  </w:style>
  <w:style w:type="table" w:styleId="viesusspalvinimas3parykinimas">
    <w:name w:val="Light Shading Accent 3"/>
    <w:basedOn w:val="prastojilentel"/>
    <w:uiPriority w:val="60"/>
    <w:rsid w:val="002E1F2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grindinistekstas">
    <w:name w:val="Body Text"/>
    <w:basedOn w:val="prastasis"/>
    <w:link w:val="PagrindinistekstasDiagrama"/>
    <w:uiPriority w:val="1"/>
    <w:semiHidden/>
    <w:unhideWhenUsed/>
    <w:qFormat/>
    <w:rsid w:val="002E1F23"/>
    <w:pPr>
      <w:widowControl w:val="0"/>
      <w:spacing w:before="10"/>
      <w:ind w:left="102" w:firstLine="1295"/>
    </w:pPr>
    <w:rPr>
      <w:rFonts w:cstheme="minorBidi"/>
      <w:lang w:val="en-US"/>
    </w:rPr>
  </w:style>
  <w:style w:type="character" w:customStyle="1" w:styleId="PagrindinistekstasDiagrama">
    <w:name w:val="Pagrindinis tekstas Diagrama"/>
    <w:basedOn w:val="Numatytasispastraiposriftas"/>
    <w:link w:val="Pagrindinistekstas"/>
    <w:uiPriority w:val="1"/>
    <w:semiHidden/>
    <w:rsid w:val="002E1F23"/>
    <w:rPr>
      <w:rFonts w:ascii="Times New Roman" w:eastAsia="Times New Roman" w:hAnsi="Times New Roman"/>
      <w:sz w:val="24"/>
      <w:szCs w:val="24"/>
      <w:lang w:val="en-US"/>
    </w:rPr>
  </w:style>
  <w:style w:type="paragraph" w:customStyle="1" w:styleId="Default">
    <w:name w:val="Default"/>
    <w:rsid w:val="002E1F2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1">
    <w:name w:val="Lentelės tinklelis11"/>
    <w:basedOn w:val="prastojilentel"/>
    <w:next w:val="Lentelstinklelis"/>
    <w:rsid w:val="002E1F2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2E1F23"/>
    <w:rPr>
      <w:i/>
      <w:iCs/>
    </w:rPr>
  </w:style>
  <w:style w:type="character" w:customStyle="1" w:styleId="UnresolvedMention1">
    <w:name w:val="Unresolved Mention1"/>
    <w:basedOn w:val="Numatytasispastraiposriftas"/>
    <w:uiPriority w:val="99"/>
    <w:semiHidden/>
    <w:unhideWhenUsed/>
    <w:rsid w:val="002E1F23"/>
    <w:rPr>
      <w:color w:val="605E5C"/>
      <w:shd w:val="clear" w:color="auto" w:fill="E1DFDD"/>
    </w:rPr>
  </w:style>
  <w:style w:type="character" w:customStyle="1" w:styleId="BetarpDiagrama">
    <w:name w:val="Be tarpų Diagrama"/>
    <w:basedOn w:val="Numatytasispastraiposriftas"/>
    <w:link w:val="Betarp"/>
    <w:uiPriority w:val="1"/>
    <w:rsid w:val="002E1F23"/>
  </w:style>
  <w:style w:type="character" w:styleId="Komentaronuoroda">
    <w:name w:val="annotation reference"/>
    <w:basedOn w:val="Numatytasispastraiposriftas"/>
    <w:uiPriority w:val="99"/>
    <w:semiHidden/>
    <w:unhideWhenUsed/>
    <w:rsid w:val="002E1F23"/>
    <w:rPr>
      <w:sz w:val="16"/>
      <w:szCs w:val="16"/>
    </w:rPr>
  </w:style>
  <w:style w:type="paragraph" w:styleId="Komentarotekstas">
    <w:name w:val="annotation text"/>
    <w:basedOn w:val="prastasis"/>
    <w:link w:val="KomentarotekstasDiagrama"/>
    <w:uiPriority w:val="99"/>
    <w:semiHidden/>
    <w:unhideWhenUsed/>
    <w:rsid w:val="002E1F23"/>
    <w:pPr>
      <w:spacing w:after="20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2E1F23"/>
    <w:rPr>
      <w:sz w:val="20"/>
      <w:szCs w:val="20"/>
    </w:rPr>
  </w:style>
  <w:style w:type="paragraph" w:styleId="Komentarotema">
    <w:name w:val="annotation subject"/>
    <w:basedOn w:val="Komentarotekstas"/>
    <w:next w:val="Komentarotekstas"/>
    <w:link w:val="KomentarotemaDiagrama"/>
    <w:uiPriority w:val="99"/>
    <w:semiHidden/>
    <w:unhideWhenUsed/>
    <w:rsid w:val="002E1F23"/>
    <w:rPr>
      <w:b/>
      <w:bCs/>
    </w:rPr>
  </w:style>
  <w:style w:type="character" w:customStyle="1" w:styleId="KomentarotemaDiagrama">
    <w:name w:val="Komentaro tema Diagrama"/>
    <w:basedOn w:val="KomentarotekstasDiagrama"/>
    <w:link w:val="Komentarotema"/>
    <w:uiPriority w:val="99"/>
    <w:semiHidden/>
    <w:rsid w:val="002E1F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darbalapis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darbalapis2.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darbalapis4.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darbalapis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darbalapis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darbalapis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'[Chart in Microsoft Word]Sheet1'!$B$49</c:f>
              <c:strCache>
                <c:ptCount val="1"/>
                <c:pt idx="0">
                  <c:v>Moterys</c:v>
                </c:pt>
              </c:strCache>
            </c:strRef>
          </c:tx>
          <c:spPr>
            <a:solidFill>
              <a:schemeClr val="accent1"/>
            </a:solidFill>
            <a:ln>
              <a:noFill/>
            </a:ln>
            <a:effectLst/>
          </c:spPr>
          <c:invertIfNegative val="0"/>
          <c:cat>
            <c:strRef>
              <c:f>'[Chart in Microsoft Word]Sheet1'!$A$50:$A$67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in Microsoft Word]Sheet1'!$B$50:$B$67</c:f>
              <c:numCache>
                <c:formatCode>General</c:formatCode>
                <c:ptCount val="18"/>
                <c:pt idx="0">
                  <c:v>2731</c:v>
                </c:pt>
                <c:pt idx="1">
                  <c:v>3724</c:v>
                </c:pt>
                <c:pt idx="2">
                  <c:v>3770</c:v>
                </c:pt>
                <c:pt idx="3">
                  <c:v>4214</c:v>
                </c:pt>
                <c:pt idx="4">
                  <c:v>5153</c:v>
                </c:pt>
                <c:pt idx="5">
                  <c:v>6182</c:v>
                </c:pt>
                <c:pt idx="6">
                  <c:v>6110</c:v>
                </c:pt>
                <c:pt idx="7">
                  <c:v>5027</c:v>
                </c:pt>
                <c:pt idx="8">
                  <c:v>4889</c:v>
                </c:pt>
                <c:pt idx="9">
                  <c:v>4756</c:v>
                </c:pt>
                <c:pt idx="10">
                  <c:v>5026</c:v>
                </c:pt>
                <c:pt idx="11">
                  <c:v>5848</c:v>
                </c:pt>
                <c:pt idx="12">
                  <c:v>5266</c:v>
                </c:pt>
                <c:pt idx="13">
                  <c:v>3436</c:v>
                </c:pt>
                <c:pt idx="14">
                  <c:v>2936</c:v>
                </c:pt>
                <c:pt idx="15">
                  <c:v>3427</c:v>
                </c:pt>
                <c:pt idx="16">
                  <c:v>4282</c:v>
                </c:pt>
                <c:pt idx="17">
                  <c:v>4352</c:v>
                </c:pt>
              </c:numCache>
            </c:numRef>
          </c:val>
          <c:extLst xmlns:c16r2="http://schemas.microsoft.com/office/drawing/2015/06/chart">
            <c:ext xmlns:c16="http://schemas.microsoft.com/office/drawing/2014/chart" uri="{C3380CC4-5D6E-409C-BE32-E72D297353CC}">
              <c16:uniqueId val="{00000000-43AC-4257-8880-8657C1B21968}"/>
            </c:ext>
          </c:extLst>
        </c:ser>
        <c:ser>
          <c:idx val="1"/>
          <c:order val="1"/>
          <c:tx>
            <c:strRef>
              <c:f>'[Chart in Microsoft Word]Sheet1'!$C$49</c:f>
              <c:strCache>
                <c:ptCount val="1"/>
                <c:pt idx="0">
                  <c:v>Moterys 2007</c:v>
                </c:pt>
              </c:strCache>
            </c:strRef>
          </c:tx>
          <c:spPr>
            <a:solidFill>
              <a:schemeClr val="accent2"/>
            </a:solidFill>
            <a:ln>
              <a:noFill/>
            </a:ln>
            <a:effectLst/>
          </c:spPr>
          <c:invertIfNegative val="0"/>
          <c:cat>
            <c:strRef>
              <c:f>'[Chart in Microsoft Word]Sheet1'!$A$50:$A$67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in Microsoft Word]Sheet1'!$C$50:$C$67</c:f>
              <c:numCache>
                <c:formatCode>General</c:formatCode>
                <c:ptCount val="18"/>
                <c:pt idx="0">
                  <c:v>954</c:v>
                </c:pt>
                <c:pt idx="1">
                  <c:v>2197</c:v>
                </c:pt>
                <c:pt idx="2">
                  <c:v>3742</c:v>
                </c:pt>
                <c:pt idx="3">
                  <c:v>4828</c:v>
                </c:pt>
                <c:pt idx="4">
                  <c:v>5721</c:v>
                </c:pt>
                <c:pt idx="5">
                  <c:v>4618</c:v>
                </c:pt>
                <c:pt idx="6">
                  <c:v>5806</c:v>
                </c:pt>
                <c:pt idx="7">
                  <c:v>6705</c:v>
                </c:pt>
                <c:pt idx="8">
                  <c:v>7971</c:v>
                </c:pt>
                <c:pt idx="9">
                  <c:v>7113</c:v>
                </c:pt>
                <c:pt idx="10">
                  <c:v>6758</c:v>
                </c:pt>
                <c:pt idx="11">
                  <c:v>6933</c:v>
                </c:pt>
                <c:pt idx="12">
                  <c:v>6984</c:v>
                </c:pt>
                <c:pt idx="13">
                  <c:v>6332</c:v>
                </c:pt>
                <c:pt idx="14">
                  <c:v>6117</c:v>
                </c:pt>
                <c:pt idx="15">
                  <c:v>4616</c:v>
                </c:pt>
                <c:pt idx="16">
                  <c:v>3836</c:v>
                </c:pt>
                <c:pt idx="17">
                  <c:v>3551</c:v>
                </c:pt>
              </c:numCache>
            </c:numRef>
          </c:val>
          <c:extLst xmlns:c16r2="http://schemas.microsoft.com/office/drawing/2015/06/chart">
            <c:ext xmlns:c16="http://schemas.microsoft.com/office/drawing/2014/chart" uri="{C3380CC4-5D6E-409C-BE32-E72D297353CC}">
              <c16:uniqueId val="{00000001-43AC-4257-8880-8657C1B21968}"/>
            </c:ext>
          </c:extLst>
        </c:ser>
        <c:dLbls>
          <c:showLegendKey val="0"/>
          <c:showVal val="0"/>
          <c:showCatName val="0"/>
          <c:showSerName val="0"/>
          <c:showPercent val="0"/>
          <c:showBubbleSize val="0"/>
        </c:dLbls>
        <c:gapWidth val="100"/>
        <c:overlap val="50"/>
        <c:axId val="386020400"/>
        <c:axId val="386021184"/>
      </c:barChart>
      <c:catAx>
        <c:axId val="386020400"/>
        <c:scaling>
          <c:orientation val="maxMin"/>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86021184"/>
        <c:crosses val="autoZero"/>
        <c:auto val="1"/>
        <c:lblAlgn val="ctr"/>
        <c:lblOffset val="100"/>
        <c:noMultiLvlLbl val="0"/>
      </c:catAx>
      <c:valAx>
        <c:axId val="386021184"/>
        <c:scaling>
          <c:orientation val="maxMin"/>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86020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'[Chart in Microsoft Word]Sheet1'!$B$29</c:f>
              <c:strCache>
                <c:ptCount val="1"/>
                <c:pt idx="0">
                  <c:v>Vyrai</c:v>
                </c:pt>
              </c:strCache>
            </c:strRef>
          </c:tx>
          <c:spPr>
            <a:solidFill>
              <a:schemeClr val="accent1"/>
            </a:solidFill>
            <a:ln>
              <a:noFill/>
            </a:ln>
            <a:effectLst/>
          </c:spPr>
          <c:invertIfNegative val="0"/>
          <c:cat>
            <c:strRef>
              <c:f>'[Chart in Microsoft Word]Sheet1'!$A$30:$A$47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in Microsoft Word]Sheet1'!$B$30:$B$47</c:f>
              <c:numCache>
                <c:formatCode>General</c:formatCode>
                <c:ptCount val="18"/>
                <c:pt idx="0">
                  <c:v>932</c:v>
                </c:pt>
                <c:pt idx="1">
                  <c:v>1595</c:v>
                </c:pt>
                <c:pt idx="2">
                  <c:v>1666</c:v>
                </c:pt>
                <c:pt idx="3">
                  <c:v>2376</c:v>
                </c:pt>
                <c:pt idx="4">
                  <c:v>3211</c:v>
                </c:pt>
                <c:pt idx="5">
                  <c:v>4397</c:v>
                </c:pt>
                <c:pt idx="6">
                  <c:v>4778</c:v>
                </c:pt>
                <c:pt idx="7">
                  <c:v>4214</c:v>
                </c:pt>
                <c:pt idx="8">
                  <c:v>4520</c:v>
                </c:pt>
                <c:pt idx="9">
                  <c:v>4881</c:v>
                </c:pt>
                <c:pt idx="10">
                  <c:v>5646</c:v>
                </c:pt>
                <c:pt idx="11">
                  <c:v>5642</c:v>
                </c:pt>
                <c:pt idx="12">
                  <c:v>4813</c:v>
                </c:pt>
                <c:pt idx="13">
                  <c:v>3436</c:v>
                </c:pt>
                <c:pt idx="14">
                  <c:v>2991</c:v>
                </c:pt>
                <c:pt idx="15">
                  <c:v>3775</c:v>
                </c:pt>
                <c:pt idx="16">
                  <c:v>4368</c:v>
                </c:pt>
                <c:pt idx="17">
                  <c:v>4746</c:v>
                </c:pt>
              </c:numCache>
            </c:numRef>
          </c:val>
          <c:extLst xmlns:c16r2="http://schemas.microsoft.com/office/drawing/2015/06/chart">
            <c:ext xmlns:c16="http://schemas.microsoft.com/office/drawing/2014/chart" uri="{C3380CC4-5D6E-409C-BE32-E72D297353CC}">
              <c16:uniqueId val="{00000000-E671-4B27-8196-30DAF8FA8274}"/>
            </c:ext>
          </c:extLst>
        </c:ser>
        <c:ser>
          <c:idx val="1"/>
          <c:order val="1"/>
          <c:tx>
            <c:strRef>
              <c:f>'[Chart in Microsoft Word]Sheet1'!$C$29</c:f>
              <c:strCache>
                <c:ptCount val="1"/>
                <c:pt idx="0">
                  <c:v>Vyrai 2007</c:v>
                </c:pt>
              </c:strCache>
            </c:strRef>
          </c:tx>
          <c:spPr>
            <a:solidFill>
              <a:schemeClr val="accent2"/>
            </a:solidFill>
            <a:ln>
              <a:noFill/>
            </a:ln>
            <a:effectLst/>
          </c:spPr>
          <c:invertIfNegative val="0"/>
          <c:cat>
            <c:strRef>
              <c:f>'[Chart in Microsoft Word]Sheet1'!$A$30:$A$47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in Microsoft Word]Sheet1'!$C$30:$C$47</c:f>
              <c:numCache>
                <c:formatCode>General</c:formatCode>
                <c:ptCount val="18"/>
                <c:pt idx="0">
                  <c:v>299</c:v>
                </c:pt>
                <c:pt idx="1">
                  <c:v>766</c:v>
                </c:pt>
                <c:pt idx="2">
                  <c:v>1961</c:v>
                </c:pt>
                <c:pt idx="3">
                  <c:v>2788</c:v>
                </c:pt>
                <c:pt idx="4">
                  <c:v>3813</c:v>
                </c:pt>
                <c:pt idx="5">
                  <c:v>3233</c:v>
                </c:pt>
                <c:pt idx="6">
                  <c:v>4584</c:v>
                </c:pt>
                <c:pt idx="7">
                  <c:v>5342</c:v>
                </c:pt>
                <c:pt idx="8">
                  <c:v>6767</c:v>
                </c:pt>
                <c:pt idx="9">
                  <c:v>6912</c:v>
                </c:pt>
                <c:pt idx="10">
                  <c:v>6174</c:v>
                </c:pt>
                <c:pt idx="11">
                  <c:v>6400</c:v>
                </c:pt>
                <c:pt idx="12">
                  <c:v>6327</c:v>
                </c:pt>
                <c:pt idx="13">
                  <c:v>6302</c:v>
                </c:pt>
                <c:pt idx="14">
                  <c:v>6158</c:v>
                </c:pt>
                <c:pt idx="15">
                  <c:v>4925</c:v>
                </c:pt>
                <c:pt idx="16">
                  <c:v>4017</c:v>
                </c:pt>
                <c:pt idx="17">
                  <c:v>3839</c:v>
                </c:pt>
              </c:numCache>
            </c:numRef>
          </c:val>
          <c:extLst xmlns:c16r2="http://schemas.microsoft.com/office/drawing/2015/06/chart">
            <c:ext xmlns:c16="http://schemas.microsoft.com/office/drawing/2014/chart" uri="{C3380CC4-5D6E-409C-BE32-E72D297353CC}">
              <c16:uniqueId val="{00000001-E671-4B27-8196-30DAF8FA8274}"/>
            </c:ext>
          </c:extLst>
        </c:ser>
        <c:dLbls>
          <c:showLegendKey val="0"/>
          <c:showVal val="0"/>
          <c:showCatName val="0"/>
          <c:showSerName val="0"/>
          <c:showPercent val="0"/>
          <c:showBubbleSize val="0"/>
        </c:dLbls>
        <c:gapWidth val="100"/>
        <c:overlap val="50"/>
        <c:axId val="391043448"/>
        <c:axId val="391038352"/>
      </c:barChart>
      <c:catAx>
        <c:axId val="391043448"/>
        <c:scaling>
          <c:orientation val="maxMin"/>
        </c:scaling>
        <c:delete val="1"/>
        <c:axPos val="l"/>
        <c:numFmt formatCode="General" sourceLinked="1"/>
        <c:majorTickMark val="none"/>
        <c:minorTickMark val="none"/>
        <c:tickLblPos val="nextTo"/>
        <c:crossAx val="391038352"/>
        <c:crosses val="autoZero"/>
        <c:auto val="1"/>
        <c:lblAlgn val="ctr"/>
        <c:lblOffset val="100"/>
        <c:noMultiLvlLbl val="0"/>
      </c:catAx>
      <c:valAx>
        <c:axId val="391038352"/>
        <c:scaling>
          <c:orientation val="minMax"/>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910434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48.49</c:v>
                </c:pt>
                <c:pt idx="1">
                  <c:v>61.2</c:v>
                </c:pt>
                <c:pt idx="2">
                  <c:v>73.3</c:v>
                </c:pt>
                <c:pt idx="3">
                  <c:v>70.599999999999994</c:v>
                </c:pt>
                <c:pt idx="4">
                  <c:v>72.8</c:v>
                </c:pt>
                <c:pt idx="5">
                  <c:v>86.2</c:v>
                </c:pt>
              </c:numCache>
            </c:numRef>
          </c:val>
          <c:smooth val="0"/>
          <c:extLst xmlns:c16r2="http://schemas.microsoft.com/office/drawing/2015/06/chart">
            <c:ext xmlns:c16="http://schemas.microsoft.com/office/drawing/2014/chart" uri="{C3380CC4-5D6E-409C-BE32-E72D297353CC}">
              <c16:uniqueId val="{00000000-605E-4E17-BA70-260600BBCB43}"/>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72.400000000000006</c:v>
                </c:pt>
                <c:pt idx="1">
                  <c:v>65.8</c:v>
                </c:pt>
                <c:pt idx="2">
                  <c:v>65.400000000000006</c:v>
                </c:pt>
                <c:pt idx="3">
                  <c:v>64.2</c:v>
                </c:pt>
                <c:pt idx="4">
                  <c:v>58.9</c:v>
                </c:pt>
                <c:pt idx="5">
                  <c:v>66.7</c:v>
                </c:pt>
              </c:numCache>
            </c:numRef>
          </c:val>
          <c:smooth val="0"/>
          <c:extLst xmlns:c16r2="http://schemas.microsoft.com/office/drawing/2015/06/chart">
            <c:ext xmlns:c16="http://schemas.microsoft.com/office/drawing/2014/chart" uri="{C3380CC4-5D6E-409C-BE32-E72D297353CC}">
              <c16:uniqueId val="{00000001-605E-4E17-BA70-260600BBCB43}"/>
            </c:ext>
          </c:extLst>
        </c:ser>
        <c:dLbls>
          <c:showLegendKey val="0"/>
          <c:showVal val="0"/>
          <c:showCatName val="0"/>
          <c:showSerName val="0"/>
          <c:showPercent val="0"/>
          <c:showBubbleSize val="0"/>
        </c:dLbls>
        <c:marker val="1"/>
        <c:smooth val="0"/>
        <c:axId val="391044624"/>
        <c:axId val="391039528"/>
      </c:lineChart>
      <c:catAx>
        <c:axId val="39104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1039528"/>
        <c:crosses val="autoZero"/>
        <c:auto val="1"/>
        <c:lblAlgn val="ctr"/>
        <c:lblOffset val="100"/>
        <c:noMultiLvlLbl val="0"/>
      </c:catAx>
      <c:valAx>
        <c:axId val="391039528"/>
        <c:scaling>
          <c:orientation val="minMax"/>
          <c:max val="1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91044624"/>
        <c:crosses val="autoZero"/>
        <c:crossBetween val="between"/>
        <c:majorUnit val="2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7.66</c:v>
                </c:pt>
                <c:pt idx="1">
                  <c:v>5.8</c:v>
                </c:pt>
                <c:pt idx="2">
                  <c:v>2.6</c:v>
                </c:pt>
                <c:pt idx="3">
                  <c:v>6.7</c:v>
                </c:pt>
                <c:pt idx="4">
                  <c:v>4.7</c:v>
                </c:pt>
                <c:pt idx="5">
                  <c:v>4.7</c:v>
                </c:pt>
              </c:numCache>
            </c:numRef>
          </c:val>
          <c:smooth val="0"/>
          <c:extLst xmlns:c16r2="http://schemas.microsoft.com/office/drawing/2015/06/chart">
            <c:ext xmlns:c16="http://schemas.microsoft.com/office/drawing/2014/chart" uri="{C3380CC4-5D6E-409C-BE32-E72D297353CC}">
              <c16:uniqueId val="{00000000-6D13-4EC3-89F2-3950D5474E31}"/>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11.08</c:v>
                </c:pt>
                <c:pt idx="1">
                  <c:v>10.57</c:v>
                </c:pt>
                <c:pt idx="2">
                  <c:v>8.6</c:v>
                </c:pt>
                <c:pt idx="3">
                  <c:v>8.8000000000000007</c:v>
                </c:pt>
                <c:pt idx="4">
                  <c:v>8</c:v>
                </c:pt>
                <c:pt idx="5">
                  <c:v>7.7</c:v>
                </c:pt>
              </c:numCache>
            </c:numRef>
          </c:val>
          <c:smooth val="0"/>
          <c:extLst xmlns:c16r2="http://schemas.microsoft.com/office/drawing/2015/06/chart">
            <c:ext xmlns:c16="http://schemas.microsoft.com/office/drawing/2014/chart" uri="{C3380CC4-5D6E-409C-BE32-E72D297353CC}">
              <c16:uniqueId val="{00000001-6D13-4EC3-89F2-3950D5474E31}"/>
            </c:ext>
          </c:extLst>
        </c:ser>
        <c:dLbls>
          <c:showLegendKey val="0"/>
          <c:showVal val="0"/>
          <c:showCatName val="0"/>
          <c:showSerName val="0"/>
          <c:showPercent val="0"/>
          <c:showBubbleSize val="0"/>
        </c:dLbls>
        <c:marker val="1"/>
        <c:smooth val="0"/>
        <c:axId val="391039136"/>
        <c:axId val="391041880"/>
      </c:lineChart>
      <c:catAx>
        <c:axId val="39103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1041880"/>
        <c:crosses val="autoZero"/>
        <c:auto val="1"/>
        <c:lblAlgn val="ctr"/>
        <c:lblOffset val="100"/>
        <c:noMultiLvlLbl val="0"/>
      </c:catAx>
      <c:valAx>
        <c:axId val="39104188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910391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Lapas1!$B$1</c:f>
              <c:strCache>
                <c:ptCount val="1"/>
                <c:pt idx="0">
                  <c:v>2018</c:v>
                </c:pt>
              </c:strCache>
            </c:strRef>
          </c:tx>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Lapas1!$A$2:$A$13</c:f>
              <c:strCache>
                <c:ptCount val="12"/>
                <c:pt idx="0">
                  <c:v>1 kl.</c:v>
                </c:pt>
                <c:pt idx="1">
                  <c:v>2 kl.</c:v>
                </c:pt>
                <c:pt idx="2">
                  <c:v>3 kl.</c:v>
                </c:pt>
                <c:pt idx="3">
                  <c:v>4 kl.</c:v>
                </c:pt>
                <c:pt idx="4">
                  <c:v>5 kl.</c:v>
                </c:pt>
                <c:pt idx="5">
                  <c:v>6 kl.</c:v>
                </c:pt>
                <c:pt idx="6">
                  <c:v>7 kl.</c:v>
                </c:pt>
                <c:pt idx="7">
                  <c:v>8 kl.</c:v>
                </c:pt>
                <c:pt idx="8">
                  <c:v>9 kl.</c:v>
                </c:pt>
                <c:pt idx="9">
                  <c:v>10 kl.</c:v>
                </c:pt>
                <c:pt idx="10">
                  <c:v>11 kl.</c:v>
                </c:pt>
                <c:pt idx="11">
                  <c:v>12 kl.</c:v>
                </c:pt>
              </c:strCache>
            </c:strRef>
          </c:cat>
          <c:val>
            <c:numRef>
              <c:f>Lapas1!$B$2:$B$13</c:f>
              <c:numCache>
                <c:formatCode>0.0</c:formatCode>
                <c:ptCount val="12"/>
                <c:pt idx="0">
                  <c:v>4.33</c:v>
                </c:pt>
                <c:pt idx="1">
                  <c:v>4.47</c:v>
                </c:pt>
                <c:pt idx="2">
                  <c:v>4.04</c:v>
                </c:pt>
                <c:pt idx="3">
                  <c:v>3.3</c:v>
                </c:pt>
                <c:pt idx="4">
                  <c:v>2.56</c:v>
                </c:pt>
                <c:pt idx="5">
                  <c:v>2.17</c:v>
                </c:pt>
                <c:pt idx="6">
                  <c:v>2.31</c:v>
                </c:pt>
                <c:pt idx="7">
                  <c:v>2.76</c:v>
                </c:pt>
                <c:pt idx="8">
                  <c:v>3.38</c:v>
                </c:pt>
                <c:pt idx="9">
                  <c:v>3.83</c:v>
                </c:pt>
                <c:pt idx="10">
                  <c:v>4.34</c:v>
                </c:pt>
                <c:pt idx="11">
                  <c:v>4.8899999999999997</c:v>
                </c:pt>
              </c:numCache>
            </c:numRef>
          </c:val>
          <c:extLst xmlns:c16r2="http://schemas.microsoft.com/office/drawing/2015/06/chart">
            <c:ext xmlns:c16="http://schemas.microsoft.com/office/drawing/2014/chart" uri="{C3380CC4-5D6E-409C-BE32-E72D297353CC}">
              <c16:uniqueId val="{00000000-B032-4B28-A5A5-DFA245629766}"/>
            </c:ext>
          </c:extLst>
        </c:ser>
        <c:dLbls>
          <c:showLegendKey val="0"/>
          <c:showVal val="0"/>
          <c:showCatName val="0"/>
          <c:showSerName val="0"/>
          <c:showPercent val="0"/>
          <c:showBubbleSize val="0"/>
        </c:dLbls>
        <c:gapWidth val="150"/>
        <c:shape val="cylinder"/>
        <c:axId val="391042664"/>
        <c:axId val="391045016"/>
        <c:axId val="0"/>
      </c:bar3DChart>
      <c:catAx>
        <c:axId val="391042664"/>
        <c:scaling>
          <c:orientation val="minMax"/>
        </c:scaling>
        <c:delete val="0"/>
        <c:axPos val="b"/>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lt-LT"/>
          </a:p>
        </c:txPr>
        <c:crossAx val="391045016"/>
        <c:crosses val="autoZero"/>
        <c:auto val="1"/>
        <c:lblAlgn val="ctr"/>
        <c:lblOffset val="100"/>
        <c:noMultiLvlLbl val="0"/>
      </c:catAx>
      <c:valAx>
        <c:axId val="391045016"/>
        <c:scaling>
          <c:orientation val="minMax"/>
        </c:scaling>
        <c:delete val="0"/>
        <c:axPos val="l"/>
        <c:majorGridlines>
          <c:spPr>
            <a:ln>
              <a:noFill/>
            </a:ln>
          </c:spPr>
        </c:majorGridlines>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lt-LT"/>
          </a:p>
        </c:txPr>
        <c:crossAx val="391042664"/>
        <c:crosses val="autoZero"/>
        <c:crossBetween val="between"/>
        <c:majorUnit val="1"/>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8.9</c:v>
                </c:pt>
                <c:pt idx="1">
                  <c:v>8.1</c:v>
                </c:pt>
                <c:pt idx="2">
                  <c:v>6.9</c:v>
                </c:pt>
                <c:pt idx="3">
                  <c:v>8.4</c:v>
                </c:pt>
                <c:pt idx="4">
                  <c:v>6.4</c:v>
                </c:pt>
                <c:pt idx="5">
                  <c:v>6.4</c:v>
                </c:pt>
              </c:numCache>
            </c:numRef>
          </c:val>
          <c:smooth val="0"/>
          <c:extLst xmlns:c16r2="http://schemas.microsoft.com/office/drawing/2015/06/chart">
            <c:ext xmlns:c16="http://schemas.microsoft.com/office/drawing/2014/chart" uri="{C3380CC4-5D6E-409C-BE32-E72D297353CC}">
              <c16:uniqueId val="{00000000-2F9D-4C19-A786-54809C2741AE}"/>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20.9</c:v>
                </c:pt>
                <c:pt idx="1">
                  <c:v>20</c:v>
                </c:pt>
                <c:pt idx="2">
                  <c:v>17</c:v>
                </c:pt>
                <c:pt idx="3">
                  <c:v>16.399999999999999</c:v>
                </c:pt>
                <c:pt idx="4">
                  <c:v>14.5</c:v>
                </c:pt>
                <c:pt idx="5">
                  <c:v>15</c:v>
                </c:pt>
              </c:numCache>
            </c:numRef>
          </c:val>
          <c:smooth val="0"/>
          <c:extLst xmlns:c16r2="http://schemas.microsoft.com/office/drawing/2015/06/chart">
            <c:ext xmlns:c16="http://schemas.microsoft.com/office/drawing/2014/chart" uri="{C3380CC4-5D6E-409C-BE32-E72D297353CC}">
              <c16:uniqueId val="{00000001-2F9D-4C19-A786-54809C2741AE}"/>
            </c:ext>
          </c:extLst>
        </c:ser>
        <c:dLbls>
          <c:showLegendKey val="0"/>
          <c:showVal val="0"/>
          <c:showCatName val="0"/>
          <c:showSerName val="0"/>
          <c:showPercent val="0"/>
          <c:showBubbleSize val="0"/>
        </c:dLbls>
        <c:marker val="1"/>
        <c:smooth val="0"/>
        <c:axId val="391040704"/>
        <c:axId val="391043056"/>
      </c:lineChart>
      <c:catAx>
        <c:axId val="3910407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1043056"/>
        <c:crosses val="autoZero"/>
        <c:auto val="1"/>
        <c:lblAlgn val="ctr"/>
        <c:lblOffset val="100"/>
        <c:noMultiLvlLbl val="0"/>
      </c:catAx>
      <c:valAx>
        <c:axId val="39104305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91040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302.08999999999997</c:v>
                </c:pt>
                <c:pt idx="1">
                  <c:v>318.23</c:v>
                </c:pt>
                <c:pt idx="2">
                  <c:v>364.63</c:v>
                </c:pt>
                <c:pt idx="3">
                  <c:v>483.78</c:v>
                </c:pt>
                <c:pt idx="4">
                  <c:v>595.96</c:v>
                </c:pt>
                <c:pt idx="5">
                  <c:v>567.53</c:v>
                </c:pt>
                <c:pt idx="6">
                  <c:v>607.80999999999995</c:v>
                </c:pt>
                <c:pt idx="7">
                  <c:v>971.3</c:v>
                </c:pt>
                <c:pt idx="8">
                  <c:v>836.93</c:v>
                </c:pt>
                <c:pt idx="9">
                  <c:v>1009.4</c:v>
                </c:pt>
              </c:numCache>
            </c:numRef>
          </c:val>
          <c:smooth val="0"/>
          <c:extLst xmlns:c16r2="http://schemas.microsoft.com/office/drawing/2015/06/chart">
            <c:ext xmlns:c16="http://schemas.microsoft.com/office/drawing/2014/chart" uri="{C3380CC4-5D6E-409C-BE32-E72D297353CC}">
              <c16:uniqueId val="{00000000-4F67-4E3D-B0B4-EC8B75C93349}"/>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pt idx="0">
                  <c:v>281.31</c:v>
                </c:pt>
                <c:pt idx="1">
                  <c:v>288.36</c:v>
                </c:pt>
                <c:pt idx="2">
                  <c:v>316.66000000000003</c:v>
                </c:pt>
                <c:pt idx="3">
                  <c:v>396.49</c:v>
                </c:pt>
                <c:pt idx="4">
                  <c:v>470.75</c:v>
                </c:pt>
                <c:pt idx="5">
                  <c:v>460.19</c:v>
                </c:pt>
                <c:pt idx="6">
                  <c:v>497.03</c:v>
                </c:pt>
                <c:pt idx="7">
                  <c:v>668.22</c:v>
                </c:pt>
                <c:pt idx="8">
                  <c:v>612.88</c:v>
                </c:pt>
                <c:pt idx="9">
                  <c:v>658.84</c:v>
                </c:pt>
              </c:numCache>
            </c:numRef>
          </c:val>
          <c:smooth val="0"/>
          <c:extLst xmlns:c16r2="http://schemas.microsoft.com/office/drawing/2015/06/chart">
            <c:ext xmlns:c16="http://schemas.microsoft.com/office/drawing/2014/chart" uri="{C3380CC4-5D6E-409C-BE32-E72D297353CC}">
              <c16:uniqueId val="{00000001-4F67-4E3D-B0B4-EC8B75C93349}"/>
            </c:ext>
          </c:extLst>
        </c:ser>
        <c:dLbls>
          <c:showLegendKey val="0"/>
          <c:showVal val="0"/>
          <c:showCatName val="0"/>
          <c:showSerName val="0"/>
          <c:showPercent val="0"/>
          <c:showBubbleSize val="0"/>
        </c:dLbls>
        <c:marker val="1"/>
        <c:smooth val="0"/>
        <c:axId val="391044232"/>
        <c:axId val="391045800"/>
      </c:lineChart>
      <c:catAx>
        <c:axId val="391044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1045800"/>
        <c:crosses val="autoZero"/>
        <c:auto val="1"/>
        <c:lblAlgn val="ctr"/>
        <c:lblOffset val="100"/>
        <c:noMultiLvlLbl val="0"/>
      </c:catAx>
      <c:valAx>
        <c:axId val="39104580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910442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692.7</c:v>
                </c:pt>
                <c:pt idx="1">
                  <c:v>677</c:v>
                </c:pt>
                <c:pt idx="2">
                  <c:v>779.4</c:v>
                </c:pt>
                <c:pt idx="3">
                  <c:v>1082</c:v>
                </c:pt>
                <c:pt idx="4">
                  <c:v>1520.4</c:v>
                </c:pt>
                <c:pt idx="5">
                  <c:v>1363.7</c:v>
                </c:pt>
                <c:pt idx="6">
                  <c:v>1626.4</c:v>
                </c:pt>
                <c:pt idx="7">
                  <c:v>2695.9</c:v>
                </c:pt>
                <c:pt idx="8">
                  <c:v>2189.4</c:v>
                </c:pt>
                <c:pt idx="9">
                  <c:v>2693.79</c:v>
                </c:pt>
              </c:numCache>
            </c:numRef>
          </c:val>
          <c:smooth val="0"/>
          <c:extLst xmlns:c16r2="http://schemas.microsoft.com/office/drawing/2015/06/chart">
            <c:ext xmlns:c16="http://schemas.microsoft.com/office/drawing/2014/chart" uri="{C3380CC4-5D6E-409C-BE32-E72D297353CC}">
              <c16:uniqueId val="{00000000-0D30-4C6A-A0FD-1CE8A8A765A1}"/>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pt idx="0">
                  <c:v>638.1</c:v>
                </c:pt>
                <c:pt idx="1">
                  <c:v>621</c:v>
                </c:pt>
                <c:pt idx="2">
                  <c:v>670.6</c:v>
                </c:pt>
                <c:pt idx="3">
                  <c:v>886.9</c:v>
                </c:pt>
                <c:pt idx="4">
                  <c:v>1121.4000000000001</c:v>
                </c:pt>
                <c:pt idx="5">
                  <c:v>1034.8</c:v>
                </c:pt>
                <c:pt idx="6">
                  <c:v>1171.5</c:v>
                </c:pt>
                <c:pt idx="7">
                  <c:v>1615.8</c:v>
                </c:pt>
                <c:pt idx="8">
                  <c:v>1404.3</c:v>
                </c:pt>
                <c:pt idx="9">
                  <c:v>1550.96</c:v>
                </c:pt>
              </c:numCache>
            </c:numRef>
          </c:val>
          <c:smooth val="0"/>
          <c:extLst xmlns:c16r2="http://schemas.microsoft.com/office/drawing/2015/06/chart">
            <c:ext xmlns:c16="http://schemas.microsoft.com/office/drawing/2014/chart" uri="{C3380CC4-5D6E-409C-BE32-E72D297353CC}">
              <c16:uniqueId val="{00000001-0D30-4C6A-A0FD-1CE8A8A765A1}"/>
            </c:ext>
          </c:extLst>
        </c:ser>
        <c:dLbls>
          <c:showLegendKey val="0"/>
          <c:showVal val="0"/>
          <c:showCatName val="0"/>
          <c:showSerName val="0"/>
          <c:showPercent val="0"/>
          <c:showBubbleSize val="0"/>
        </c:dLbls>
        <c:marker val="1"/>
        <c:smooth val="0"/>
        <c:axId val="272673304"/>
        <c:axId val="272665856"/>
      </c:lineChart>
      <c:catAx>
        <c:axId val="272673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2665856"/>
        <c:crosses val="autoZero"/>
        <c:auto val="1"/>
        <c:lblAlgn val="ctr"/>
        <c:lblOffset val="100"/>
        <c:noMultiLvlLbl val="0"/>
      </c:catAx>
      <c:valAx>
        <c:axId val="272665856"/>
        <c:scaling>
          <c:orientation val="minMax"/>
          <c:max val="3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26733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Lapas1!$B$2:$B$11</c:f>
              <c:numCache>
                <c:formatCode>General</c:formatCode>
                <c:ptCount val="10"/>
                <c:pt idx="0">
                  <c:v>27.2</c:v>
                </c:pt>
                <c:pt idx="1">
                  <c:v>28.7</c:v>
                </c:pt>
                <c:pt idx="2">
                  <c:v>32.6</c:v>
                </c:pt>
                <c:pt idx="3">
                  <c:v>43.6</c:v>
                </c:pt>
                <c:pt idx="4">
                  <c:v>53.66</c:v>
                </c:pt>
                <c:pt idx="5">
                  <c:v>50.4</c:v>
                </c:pt>
                <c:pt idx="6">
                  <c:v>54.2</c:v>
                </c:pt>
                <c:pt idx="7">
                  <c:v>89.6</c:v>
                </c:pt>
                <c:pt idx="8">
                  <c:v>76.8</c:v>
                </c:pt>
                <c:pt idx="9">
                  <c:v>93.6</c:v>
                </c:pt>
              </c:numCache>
            </c:numRef>
          </c:val>
          <c:smooth val="0"/>
          <c:extLst xmlns:c16r2="http://schemas.microsoft.com/office/drawing/2015/06/chart">
            <c:ext xmlns:c16="http://schemas.microsoft.com/office/drawing/2014/chart" uri="{C3380CC4-5D6E-409C-BE32-E72D297353CC}">
              <c16:uniqueId val="{00000000-D9D2-4B11-B07B-C0B2476D9751}"/>
            </c:ext>
          </c:extLst>
        </c:ser>
        <c:ser>
          <c:idx val="1"/>
          <c:order val="1"/>
          <c:tx>
            <c:strRef>
              <c:f>Lapas1!$C$1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Lapas1!$C$2:$C$11</c:f>
              <c:numCache>
                <c:formatCode>General</c:formatCode>
                <c:ptCount val="10"/>
                <c:pt idx="0">
                  <c:v>26.2</c:v>
                </c:pt>
                <c:pt idx="1">
                  <c:v>26.4</c:v>
                </c:pt>
                <c:pt idx="2">
                  <c:v>29.5</c:v>
                </c:pt>
                <c:pt idx="3">
                  <c:v>36.6</c:v>
                </c:pt>
                <c:pt idx="4">
                  <c:v>43.7</c:v>
                </c:pt>
                <c:pt idx="5">
                  <c:v>42.6</c:v>
                </c:pt>
                <c:pt idx="6">
                  <c:v>45.6</c:v>
                </c:pt>
                <c:pt idx="7">
                  <c:v>62.3</c:v>
                </c:pt>
                <c:pt idx="8">
                  <c:v>56.6</c:v>
                </c:pt>
                <c:pt idx="9">
                  <c:v>61.2</c:v>
                </c:pt>
              </c:numCache>
            </c:numRef>
          </c:val>
          <c:smooth val="0"/>
          <c:extLst xmlns:c16r2="http://schemas.microsoft.com/office/drawing/2015/06/chart">
            <c:ext xmlns:c16="http://schemas.microsoft.com/office/drawing/2014/chart" uri="{C3380CC4-5D6E-409C-BE32-E72D297353CC}">
              <c16:uniqueId val="{00000001-D9D2-4B11-B07B-C0B2476D9751}"/>
            </c:ext>
          </c:extLst>
        </c:ser>
        <c:dLbls>
          <c:showLegendKey val="0"/>
          <c:showVal val="0"/>
          <c:showCatName val="0"/>
          <c:showSerName val="0"/>
          <c:showPercent val="0"/>
          <c:showBubbleSize val="0"/>
        </c:dLbls>
        <c:marker val="1"/>
        <c:smooth val="0"/>
        <c:axId val="272666248"/>
        <c:axId val="272667816"/>
      </c:lineChart>
      <c:catAx>
        <c:axId val="272666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2667816"/>
        <c:crosses val="autoZero"/>
        <c:auto val="1"/>
        <c:lblAlgn val="ctr"/>
        <c:lblOffset val="100"/>
        <c:noMultiLvlLbl val="0"/>
      </c:catAx>
      <c:valAx>
        <c:axId val="2726678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26662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0.03289</cdr:x>
      <cdr:y>0.0983</cdr:y>
    </cdr:from>
    <cdr:to>
      <cdr:x>0.37171</cdr:x>
      <cdr:y>0.21395</cdr:y>
    </cdr:to>
    <cdr:sp macro="" textlink="">
      <cdr:nvSpPr>
        <cdr:cNvPr id="2" name="Text Box 7"/>
        <cdr:cNvSpPr txBox="1"/>
      </cdr:nvSpPr>
      <cdr:spPr>
        <a:xfrm xmlns:a="http://schemas.openxmlformats.org/drawingml/2006/main">
          <a:off x="95250" y="356235"/>
          <a:ext cx="981075" cy="419100"/>
        </a:xfrm>
        <a:prstGeom xmlns:a="http://schemas.openxmlformats.org/drawingml/2006/main" prst="rect">
          <a:avLst/>
        </a:prstGeom>
        <a:solidFill xmlns:a="http://schemas.openxmlformats.org/drawingml/2006/main">
          <a:sysClr val="window" lastClr="FFFFFF"/>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15000"/>
            </a:lnSpc>
            <a:spcAft>
              <a:spcPts val="100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Moterys</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0.57706</cdr:x>
      <cdr:y>0.09024</cdr:y>
    </cdr:from>
    <cdr:to>
      <cdr:x>0.94624</cdr:x>
      <cdr:y>0.20589</cdr:y>
    </cdr:to>
    <cdr:sp macro="" textlink="">
      <cdr:nvSpPr>
        <cdr:cNvPr id="2" name="Text Box 6"/>
        <cdr:cNvSpPr txBox="1"/>
      </cdr:nvSpPr>
      <cdr:spPr>
        <a:xfrm xmlns:a="http://schemas.openxmlformats.org/drawingml/2006/main">
          <a:off x="1533525" y="327025"/>
          <a:ext cx="981075" cy="4191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r">
            <a:lnSpc>
              <a:spcPct val="115000"/>
            </a:lnSpc>
            <a:spcAft>
              <a:spcPts val="100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Vyrai</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0.58757</cdr:x>
      <cdr:y>0.1938</cdr:y>
    </cdr:from>
    <cdr:to>
      <cdr:x>1</cdr:x>
      <cdr:y>0.38304</cdr:y>
    </cdr:to>
    <cdr:sp macro="" textlink="">
      <cdr:nvSpPr>
        <cdr:cNvPr id="3" name="Text Box 8"/>
        <cdr:cNvSpPr txBox="1"/>
      </cdr:nvSpPr>
      <cdr:spPr>
        <a:xfrm xmlns:a="http://schemas.openxmlformats.org/drawingml/2006/main">
          <a:off x="1561465" y="702310"/>
          <a:ext cx="1096010" cy="6858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0000"/>
            </a:lnSpc>
            <a:spcBef>
              <a:spcPts val="0"/>
            </a:spcBef>
            <a:spcAft>
              <a:spcPts val="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         2007 m. pr.</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a:p xmlns:a="http://schemas.openxmlformats.org/drawingml/2006/main">
          <a:pPr>
            <a:lnSpc>
              <a:spcPct val="100000"/>
            </a:lnSpc>
            <a:spcBef>
              <a:spcPts val="0"/>
            </a:spcBef>
            <a:spcAft>
              <a:spcPts val="0"/>
            </a:spcAft>
          </a:pPr>
          <a:r>
            <a:rPr lang="lt-LT" sz="1100" baseline="0">
              <a:effectLst/>
              <a:latin typeface="Calibri" panose="020F0502020204030204" pitchFamily="34" charset="0"/>
              <a:ea typeface="Calibri" panose="020F0502020204030204" pitchFamily="34" charset="0"/>
              <a:cs typeface="Times New Roman" panose="02020603050405020304" pitchFamily="18" charset="0"/>
            </a:rPr>
            <a:t>         </a:t>
          </a:r>
        </a:p>
        <a:p xmlns:a="http://schemas.openxmlformats.org/drawingml/2006/main">
          <a:pPr>
            <a:lnSpc>
              <a:spcPct val="100000"/>
            </a:lnSpc>
            <a:spcBef>
              <a:spcPts val="0"/>
            </a:spcBef>
            <a:spcAft>
              <a:spcPts val="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         2020 m. pr. </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a:p xmlns:a="http://schemas.openxmlformats.org/drawingml/2006/main">
          <a:pPr>
            <a:lnSpc>
              <a:spcPct val="115000"/>
            </a:lnSpc>
            <a:spcAft>
              <a:spcPts val="1000"/>
            </a:spcAft>
          </a:pPr>
          <a:r>
            <a:rPr lang="lt-LT" sz="1100">
              <a:effectLst/>
              <a:latin typeface="Calibri" panose="020F0502020204030204" pitchFamily="34" charset="0"/>
              <a:ea typeface="Calibri" panose="020F0502020204030204" pitchFamily="34" charset="0"/>
              <a:cs typeface="Times New Roman" panose="02020603050405020304" pitchFamily="18" charset="0"/>
            </a:rPr>
            <a:t> </a:t>
          </a:r>
        </a:p>
      </cdr:txBody>
    </cdr:sp>
  </cdr:relSizeAnchor>
  <cdr:relSizeAnchor xmlns:cdr="http://schemas.openxmlformats.org/drawingml/2006/chartDrawing">
    <cdr:from>
      <cdr:x>0.64158</cdr:x>
      <cdr:y>0.29175</cdr:y>
    </cdr:from>
    <cdr:to>
      <cdr:x>0.71499</cdr:x>
      <cdr:y>0.33885</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704975" y="1057275"/>
          <a:ext cx="195089" cy="170703"/>
        </a:xfrm>
        <a:prstGeom xmlns:a="http://schemas.openxmlformats.org/drawingml/2006/main" prst="rect">
          <a:avLst/>
        </a:prstGeom>
      </cdr:spPr>
    </cdr:pic>
  </cdr:relSizeAnchor>
  <cdr:relSizeAnchor xmlns:cdr="http://schemas.openxmlformats.org/drawingml/2006/chartDrawing">
    <cdr:from>
      <cdr:x>0.64158</cdr:x>
      <cdr:y>0.20764</cdr:y>
    </cdr:from>
    <cdr:to>
      <cdr:x>0.71269</cdr:x>
      <cdr:y>0.25306</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704975" y="752475"/>
          <a:ext cx="188992" cy="164606"/>
        </a:xfrm>
        <a:prstGeom xmlns:a="http://schemas.openxmlformats.org/drawingml/2006/main" prst="rect">
          <a:avLst/>
        </a:prstGeom>
      </cdr:spPr>
    </cdr:pic>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17</Pages>
  <Words>22742</Words>
  <Characters>12964</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2020-11-27T12:44:00Z</dcterms:created>
  <dcterms:modified xsi:type="dcterms:W3CDTF">2020-11-27T12:44:00Z</dcterms:modified>
</cp:coreProperties>
</file>