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19122D">
        <w:rPr>
          <w:b/>
          <w:caps/>
        </w:rPr>
        <w:t xml:space="preserve">klaipėdos miesto savivaldybės tarybos 2020 m. VASARIO 27 d. sprendimo Nr. T2-28 „DĖL KLAIPĖDOS MIESTO </w:t>
      </w:r>
      <w:r w:rsidR="0019122D" w:rsidRPr="00F95ACF">
        <w:rPr>
          <w:b/>
          <w:caps/>
        </w:rPr>
        <w:t>SAVIVALDYBĖS BENDROJO UGDYMO MOKYKL</w:t>
      </w:r>
      <w:r w:rsidR="0019122D">
        <w:rPr>
          <w:b/>
          <w:caps/>
        </w:rPr>
        <w:t xml:space="preserve">oms priskirtų </w:t>
      </w:r>
      <w:r w:rsidR="0019122D" w:rsidRPr="00F95ACF">
        <w:rPr>
          <w:b/>
          <w:caps/>
        </w:rPr>
        <w:t xml:space="preserve">APTARNAVIMO TERITORIJŲ </w:t>
      </w:r>
      <w:r w:rsidR="0019122D">
        <w:rPr>
          <w:b/>
          <w:caps/>
        </w:rPr>
        <w:t>nustatymo“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10 d.</w:t>
      </w:r>
      <w:r>
        <w:rPr>
          <w:noProof/>
        </w:rPr>
        <w:fldChar w:fldCharType="end"/>
      </w:r>
      <w:bookmarkEnd w:id="1"/>
      <w:r>
        <w:rPr>
          <w:noProof/>
        </w:rPr>
        <w:t xml:space="preserve"> </w:t>
      </w:r>
      <w:r w:rsidRPr="003C09F9">
        <w:t>Nr.</w:t>
      </w:r>
      <w:r>
        <w:t xml:space="preserve"> </w:t>
      </w:r>
      <w:bookmarkStart w:id="2" w:name="registravimoNr"/>
      <w:r w:rsidR="00E32339">
        <w:t>T1-50</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80186F" w:rsidRDefault="0080186F" w:rsidP="0080186F">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80186F" w:rsidRDefault="0080186F" w:rsidP="0080186F">
      <w:pPr>
        <w:pStyle w:val="Sraopastraipa"/>
        <w:numPr>
          <w:ilvl w:val="0"/>
          <w:numId w:val="4"/>
        </w:numPr>
        <w:tabs>
          <w:tab w:val="left" w:pos="993"/>
        </w:tabs>
        <w:ind w:left="0" w:firstLine="709"/>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rsidR="0080186F" w:rsidRDefault="0080186F" w:rsidP="0080186F">
      <w:pPr>
        <w:pStyle w:val="Sraopastraipa"/>
        <w:ind w:left="0" w:firstLine="709"/>
        <w:jc w:val="both"/>
      </w:pPr>
      <w:r>
        <w:t xml:space="preserve">1.1. pakeisti 16 </w:t>
      </w:r>
      <w:r w:rsidR="00142C23">
        <w:t>punktą</w:t>
      </w:r>
      <w:r>
        <w:t xml:space="preserve"> ir j</w:t>
      </w:r>
      <w:r w:rsidR="00142C23">
        <w:t>į</w:t>
      </w:r>
      <w:r>
        <w:t xml:space="preserve"> išdėstyti taip: </w:t>
      </w:r>
    </w:p>
    <w:tbl>
      <w:tblPr>
        <w:tblStyle w:val="Lentelstinklelis"/>
        <w:tblW w:w="9644" w:type="dxa"/>
        <w:tblInd w:w="-5" w:type="dxa"/>
        <w:tblLayout w:type="fixed"/>
        <w:tblLook w:val="04A0" w:firstRow="1" w:lastRow="0" w:firstColumn="1" w:lastColumn="0" w:noHBand="0" w:noVBand="1"/>
      </w:tblPr>
      <w:tblGrid>
        <w:gridCol w:w="289"/>
        <w:gridCol w:w="709"/>
        <w:gridCol w:w="1559"/>
        <w:gridCol w:w="1984"/>
        <w:gridCol w:w="4820"/>
        <w:gridCol w:w="283"/>
      </w:tblGrid>
      <w:tr w:rsidR="0080186F" w:rsidRPr="00AB494E" w:rsidTr="00132DDF">
        <w:trPr>
          <w:trHeight w:val="5337"/>
        </w:trPr>
        <w:tc>
          <w:tcPr>
            <w:tcW w:w="289" w:type="dxa"/>
            <w:tcBorders>
              <w:top w:val="nil"/>
              <w:left w:val="nil"/>
              <w:bottom w:val="nil"/>
              <w:right w:val="single" w:sz="4" w:space="0" w:color="auto"/>
            </w:tcBorders>
            <w:vAlign w:val="bottom"/>
          </w:tcPr>
          <w:p w:rsidR="0080186F" w:rsidRPr="00F131E9" w:rsidRDefault="0080186F" w:rsidP="00CC624D">
            <w:r>
              <w:t>”</w:t>
            </w:r>
          </w:p>
        </w:tc>
        <w:tc>
          <w:tcPr>
            <w:tcW w:w="709" w:type="dxa"/>
            <w:tcBorders>
              <w:left w:val="single" w:sz="4" w:space="0" w:color="auto"/>
            </w:tcBorders>
          </w:tcPr>
          <w:p w:rsidR="0080186F" w:rsidRPr="00A75BDB" w:rsidRDefault="0080186F" w:rsidP="00CC624D">
            <w:pPr>
              <w:widowControl w:val="0"/>
              <w:jc w:val="center"/>
            </w:pPr>
            <w:r w:rsidRPr="00A75BDB">
              <w:t>16.</w:t>
            </w:r>
          </w:p>
        </w:tc>
        <w:tc>
          <w:tcPr>
            <w:tcW w:w="1559" w:type="dxa"/>
          </w:tcPr>
          <w:p w:rsidR="0080186F" w:rsidRPr="00A75BDB" w:rsidRDefault="0080186F" w:rsidP="00CC624D">
            <w:pPr>
              <w:widowControl w:val="0"/>
              <w:outlineLvl w:val="1"/>
            </w:pPr>
            <w:r w:rsidRPr="00A75BDB">
              <w:t>Klaipėdos „Saulėtekio“</w:t>
            </w:r>
          </w:p>
          <w:p w:rsidR="0080186F" w:rsidRPr="00A75BDB" w:rsidRDefault="0080186F" w:rsidP="00CC624D">
            <w:pPr>
              <w:widowControl w:val="0"/>
            </w:pPr>
            <w:r w:rsidRPr="00A75BDB">
              <w:t xml:space="preserve">progimnazija </w:t>
            </w:r>
          </w:p>
        </w:tc>
        <w:tc>
          <w:tcPr>
            <w:tcW w:w="1984" w:type="dxa"/>
          </w:tcPr>
          <w:p w:rsidR="0080186F" w:rsidRPr="00A75BDB" w:rsidRDefault="0080186F" w:rsidP="00CC624D">
            <w:pPr>
              <w:pStyle w:val="Antrats"/>
              <w:widowControl w:val="0"/>
              <w:tabs>
                <w:tab w:val="left" w:pos="1296"/>
              </w:tabs>
              <w:jc w:val="center"/>
            </w:pPr>
            <w:r w:rsidRPr="00A75BDB">
              <w:t>1–8 klasės (bendrosios)</w:t>
            </w:r>
          </w:p>
        </w:tc>
        <w:tc>
          <w:tcPr>
            <w:tcW w:w="4820" w:type="dxa"/>
            <w:tcBorders>
              <w:right w:val="single" w:sz="4" w:space="0" w:color="auto"/>
            </w:tcBorders>
          </w:tcPr>
          <w:p w:rsidR="0080186F" w:rsidRPr="00D147A7" w:rsidRDefault="0080186F" w:rsidP="00D147A7">
            <w:pPr>
              <w:widowControl w:val="0"/>
              <w:jc w:val="both"/>
            </w:pPr>
            <w:r w:rsidRPr="00D147A7">
              <w:t xml:space="preserve">Aguonų g., Artojo g., Audėjų g., Aukštaičių g., </w:t>
            </w:r>
            <w:proofErr w:type="spellStart"/>
            <w:r w:rsidR="002E29CF" w:rsidRPr="00E7248A">
              <w:rPr>
                <w:b/>
              </w:rPr>
              <w:t>Baltikalnio</w:t>
            </w:r>
            <w:proofErr w:type="spellEnd"/>
            <w:r w:rsidR="002E29CF" w:rsidRPr="00E7248A">
              <w:rPr>
                <w:b/>
              </w:rPr>
              <w:t xml:space="preserve"> g.,</w:t>
            </w:r>
            <w:r w:rsidR="002E29CF" w:rsidRPr="00E7248A">
              <w:t xml:space="preserve"> Bangų g.</w:t>
            </w:r>
            <w:r w:rsidR="002E29CF" w:rsidRPr="00A75BDB">
              <w:t xml:space="preserve"> </w:t>
            </w:r>
            <w:r w:rsidR="002E29CF" w:rsidRPr="00556A55">
              <w:rPr>
                <w:b/>
                <w:strike/>
              </w:rPr>
              <w:t>(Nr. 10 ir Nr.13–32)</w:t>
            </w:r>
            <w:r w:rsidR="002E29CF" w:rsidRPr="00517B41">
              <w:t>,</w:t>
            </w:r>
            <w:r w:rsidR="002E29CF" w:rsidRPr="00A75BDB">
              <w:t xml:space="preserve"> Barškių g., Bastionų g., Bičiulių g., </w:t>
            </w:r>
            <w:proofErr w:type="spellStart"/>
            <w:r w:rsidR="002E29CF" w:rsidRPr="00E7248A">
              <w:rPr>
                <w:b/>
              </w:rPr>
              <w:t>Butsargių</w:t>
            </w:r>
            <w:proofErr w:type="spellEnd"/>
            <w:r w:rsidR="002E29CF" w:rsidRPr="00E7248A">
              <w:rPr>
                <w:b/>
              </w:rPr>
              <w:t xml:space="preserve"> g.,</w:t>
            </w:r>
            <w:r w:rsidR="002E29CF" w:rsidRPr="00A75BDB">
              <w:t xml:space="preserve"> Dzūkų g., Dienovidžio g., Gindulių g., Gluosnių g., Gluosnių skg., </w:t>
            </w:r>
            <w:proofErr w:type="spellStart"/>
            <w:r w:rsidR="002E29CF" w:rsidRPr="00A75BDB">
              <w:t>Graumenės</w:t>
            </w:r>
            <w:proofErr w:type="spellEnd"/>
            <w:r w:rsidR="002E29CF" w:rsidRPr="00A75BDB">
              <w:t xml:space="preserve"> g., </w:t>
            </w:r>
            <w:proofErr w:type="spellStart"/>
            <w:r w:rsidR="002E29CF" w:rsidRPr="00A75BDB">
              <w:t>Grįžgatvio</w:t>
            </w:r>
            <w:proofErr w:type="spellEnd"/>
            <w:r w:rsidR="002E29CF" w:rsidRPr="00A75BDB">
              <w:t xml:space="preserve"> g., Jaunystės g., Joniškės g., Jotvingių g., Kapsų g., Karališkių g., Kauno g. (nelyginiai Nr. 29–49), </w:t>
            </w:r>
            <w:proofErr w:type="spellStart"/>
            <w:r w:rsidR="002E29CF" w:rsidRPr="00A75BDB">
              <w:t>Klausmylių</w:t>
            </w:r>
            <w:proofErr w:type="spellEnd"/>
            <w:r w:rsidR="002E29CF" w:rsidRPr="00A75BDB">
              <w:t xml:space="preserve"> g., </w:t>
            </w:r>
            <w:proofErr w:type="spellStart"/>
            <w:r w:rsidR="002E29CF" w:rsidRPr="00A75BDB">
              <w:t>Klemiškės</w:t>
            </w:r>
            <w:proofErr w:type="spellEnd"/>
            <w:r w:rsidR="002E29CF" w:rsidRPr="00A75BDB">
              <w:t xml:space="preserve"> g., Kražių g., </w:t>
            </w:r>
            <w:r w:rsidR="002E29CF" w:rsidRPr="00E7248A">
              <w:rPr>
                <w:b/>
              </w:rPr>
              <w:t xml:space="preserve">Kūlių </w:t>
            </w:r>
            <w:r w:rsidR="002E29CF" w:rsidRPr="00E7248A">
              <w:rPr>
                <w:b/>
                <w:caps/>
              </w:rPr>
              <w:t>v</w:t>
            </w:r>
            <w:r w:rsidR="002E29CF" w:rsidRPr="00E7248A">
              <w:rPr>
                <w:b/>
              </w:rPr>
              <w:t>artų g.,</w:t>
            </w:r>
            <w:r w:rsidR="002E29CF" w:rsidRPr="00A75BDB">
              <w:t xml:space="preserve"> </w:t>
            </w:r>
            <w:r w:rsidRPr="00D147A7">
              <w:t>Labguvos g., Lankiškių g., Laukų g., Medikių g., Mokyklos g., Naktigonės g., Obelų g., Pilupėnų g., Peleikių g., Ragainės g., Raganių 1</w:t>
            </w:r>
            <w:r w:rsidR="00132DDF">
              <w:noBreakHyphen/>
            </w:r>
            <w:r w:rsidRPr="00D147A7">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D147A7">
              <w:rPr>
                <w:caps/>
              </w:rPr>
              <w:t>z</w:t>
            </w:r>
            <w:r w:rsidRPr="00D147A7">
              <w:t>anavykų g., Mažoji Zanavykų g., Žemaičių g.</w:t>
            </w:r>
          </w:p>
        </w:tc>
        <w:tc>
          <w:tcPr>
            <w:tcW w:w="283" w:type="dxa"/>
            <w:tcBorders>
              <w:top w:val="nil"/>
              <w:left w:val="single" w:sz="4" w:space="0" w:color="auto"/>
              <w:bottom w:val="nil"/>
              <w:right w:val="nil"/>
            </w:tcBorders>
          </w:tcPr>
          <w:p w:rsidR="0080186F" w:rsidRDefault="0080186F" w:rsidP="00CC624D">
            <w:r>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132DDF" w:rsidRDefault="00132DDF" w:rsidP="00CC624D"/>
          <w:p w:rsidR="0080186F" w:rsidRPr="000B7FCD" w:rsidRDefault="0080186F" w:rsidP="00CC624D">
            <w:r>
              <w:t>;</w:t>
            </w:r>
          </w:p>
        </w:tc>
      </w:tr>
    </w:tbl>
    <w:p w:rsidR="00132DDF" w:rsidRDefault="00132DDF" w:rsidP="0080186F">
      <w:pPr>
        <w:pStyle w:val="Sraopastraipa"/>
        <w:ind w:left="0" w:firstLine="709"/>
        <w:jc w:val="both"/>
      </w:pPr>
    </w:p>
    <w:p w:rsidR="0080186F" w:rsidRDefault="0080186F" w:rsidP="0080186F">
      <w:pPr>
        <w:pStyle w:val="Sraopastraipa"/>
        <w:ind w:left="0" w:firstLine="709"/>
        <w:jc w:val="both"/>
      </w:pPr>
      <w:r>
        <w:t xml:space="preserve">1.2. pakeisti </w:t>
      </w:r>
      <w:r w:rsidR="00132DDF">
        <w:t>28</w:t>
      </w:r>
      <w:r w:rsidR="00142C23">
        <w:t xml:space="preserve"> punktą ir jį </w:t>
      </w:r>
      <w:r>
        <w:t xml:space="preserve">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80186F" w:rsidRPr="00AB494E" w:rsidTr="00132DDF">
        <w:trPr>
          <w:trHeight w:val="132"/>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Pr="00F131E9" w:rsidRDefault="0080186F" w:rsidP="00CC624D"/>
        </w:tc>
        <w:tc>
          <w:tcPr>
            <w:tcW w:w="709" w:type="dxa"/>
            <w:vMerge w:val="restart"/>
            <w:tcBorders>
              <w:left w:val="single" w:sz="4" w:space="0" w:color="auto"/>
            </w:tcBorders>
          </w:tcPr>
          <w:p w:rsidR="0080186F" w:rsidRPr="00CF3E40" w:rsidRDefault="0080186F" w:rsidP="00CC624D">
            <w:pPr>
              <w:widowControl w:val="0"/>
              <w:jc w:val="center"/>
            </w:pPr>
            <w:r w:rsidRPr="00CF3E40">
              <w:t>28.</w:t>
            </w:r>
          </w:p>
        </w:tc>
        <w:tc>
          <w:tcPr>
            <w:tcW w:w="1559" w:type="dxa"/>
            <w:vMerge w:val="restart"/>
          </w:tcPr>
          <w:p w:rsidR="0080186F" w:rsidRPr="00CF3E40" w:rsidRDefault="0080186F" w:rsidP="00CC624D">
            <w:pPr>
              <w:widowControl w:val="0"/>
            </w:pPr>
            <w:r>
              <w:t xml:space="preserve">Klaipėdos </w:t>
            </w:r>
            <w:r w:rsidRPr="00CF3E40">
              <w:t xml:space="preserve">Baltijos gimnazija </w:t>
            </w:r>
          </w:p>
        </w:tc>
        <w:tc>
          <w:tcPr>
            <w:tcW w:w="1984" w:type="dxa"/>
          </w:tcPr>
          <w:p w:rsidR="0080186F" w:rsidRPr="00CF3E40" w:rsidRDefault="0080186F" w:rsidP="00CC624D">
            <w:pPr>
              <w:pStyle w:val="Sraopastraipa"/>
              <w:widowControl w:val="0"/>
              <w:tabs>
                <w:tab w:val="left" w:pos="184"/>
              </w:tabs>
              <w:ind w:left="0"/>
              <w:jc w:val="center"/>
            </w:pPr>
            <w:r w:rsidRPr="00CF3E40">
              <w:t>I–II klasės (bendrosios</w:t>
            </w:r>
            <w:r w:rsidRPr="00732D03">
              <w:rPr>
                <w:b/>
              </w:rPr>
              <w:t xml:space="preserve">, </w:t>
            </w:r>
            <w:r w:rsidRPr="00CA3CCD">
              <w:rPr>
                <w:b/>
              </w:rPr>
              <w:t>pavienės universitetinės inžinerinio ugdymo klasės</w:t>
            </w:r>
            <w:r w:rsidRPr="00B66A9E">
              <w:t>)</w:t>
            </w:r>
          </w:p>
        </w:tc>
        <w:tc>
          <w:tcPr>
            <w:tcW w:w="4767" w:type="dxa"/>
          </w:tcPr>
          <w:p w:rsidR="0080186F" w:rsidRDefault="0080186F" w:rsidP="00CC624D">
            <w:pPr>
              <w:widowControl w:val="0"/>
              <w:tabs>
                <w:tab w:val="left" w:pos="314"/>
              </w:tabs>
              <w:jc w:val="both"/>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w:t>
            </w:r>
            <w:r w:rsidRPr="00CF3E40">
              <w:lastRenderedPageBreak/>
              <w:t xml:space="preserve">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p w:rsidR="0080186F" w:rsidRPr="00CA3CCD" w:rsidRDefault="0080186F" w:rsidP="00CC624D">
            <w:pPr>
              <w:widowControl w:val="0"/>
              <w:tabs>
                <w:tab w:val="left" w:pos="314"/>
              </w:tabs>
              <w:jc w:val="both"/>
              <w:rPr>
                <w:b/>
                <w:strike/>
              </w:rPr>
            </w:pPr>
            <w:r w:rsidRPr="00CA3CCD">
              <w:rPr>
                <w:b/>
                <w:i/>
              </w:rPr>
              <w:t xml:space="preserve">Pastaba. </w:t>
            </w:r>
            <w:r w:rsidRPr="00CA3CCD">
              <w:rPr>
                <w:b/>
              </w:rPr>
              <w:t>Kai norinčiųjų mokytis netradicinio ugdymo klasėse yra daugiau nei laisvų vietų, gali būti vykdomas motyvacijos vertinimas, pasibaigus pagrindiniam priėmimui</w:t>
            </w:r>
            <w:r w:rsidR="00132DDF" w:rsidRPr="00CA3CCD">
              <w:rPr>
                <w:b/>
              </w:rPr>
              <w:t>.</w:t>
            </w:r>
          </w:p>
        </w:tc>
        <w:tc>
          <w:tcPr>
            <w:tcW w:w="283" w:type="dxa"/>
            <w:tcBorders>
              <w:top w:val="nil"/>
              <w:left w:val="single" w:sz="4" w:space="0" w:color="auto"/>
              <w:bottom w:val="nil"/>
              <w:right w:val="nil"/>
            </w:tcBorders>
          </w:tcPr>
          <w:p w:rsidR="0080186F" w:rsidRDefault="0080186F" w:rsidP="00CC624D">
            <w:r>
              <w:lastRenderedPageBreak/>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Pr="000B7FCD" w:rsidRDefault="0080186F" w:rsidP="00CC624D"/>
        </w:tc>
      </w:tr>
      <w:tr w:rsidR="0080186F" w:rsidRPr="00AB494E" w:rsidTr="00132DDF">
        <w:trPr>
          <w:trHeight w:val="889"/>
        </w:trPr>
        <w:tc>
          <w:tcPr>
            <w:tcW w:w="289" w:type="dxa"/>
            <w:tcBorders>
              <w:top w:val="nil"/>
              <w:left w:val="nil"/>
              <w:bottom w:val="nil"/>
              <w:right w:val="single" w:sz="4" w:space="0" w:color="auto"/>
            </w:tcBorders>
            <w:vAlign w:val="bottom"/>
          </w:tcPr>
          <w:p w:rsidR="0080186F" w:rsidRDefault="0080186F" w:rsidP="00CC624D">
            <w:r>
              <w:lastRenderedPageBreak/>
              <w:t>„</w:t>
            </w:r>
          </w:p>
        </w:tc>
        <w:tc>
          <w:tcPr>
            <w:tcW w:w="709" w:type="dxa"/>
            <w:vMerge/>
            <w:tcBorders>
              <w:left w:val="single" w:sz="4" w:space="0" w:color="auto"/>
            </w:tcBorders>
          </w:tcPr>
          <w:p w:rsidR="0080186F" w:rsidRPr="00A75BDB" w:rsidRDefault="0080186F" w:rsidP="00CC624D">
            <w:pPr>
              <w:widowControl w:val="0"/>
              <w:jc w:val="center"/>
            </w:pPr>
          </w:p>
        </w:tc>
        <w:tc>
          <w:tcPr>
            <w:tcW w:w="1559" w:type="dxa"/>
            <w:vMerge/>
          </w:tcPr>
          <w:p w:rsidR="0080186F" w:rsidRPr="00A75BDB" w:rsidRDefault="0080186F" w:rsidP="00CC624D">
            <w:pPr>
              <w:widowControl w:val="0"/>
            </w:pPr>
          </w:p>
        </w:tc>
        <w:tc>
          <w:tcPr>
            <w:tcW w:w="1984" w:type="dxa"/>
          </w:tcPr>
          <w:p w:rsidR="0080186F" w:rsidRPr="007C388A" w:rsidRDefault="0080186F" w:rsidP="00CC624D">
            <w:pPr>
              <w:widowControl w:val="0"/>
              <w:jc w:val="center"/>
            </w:pPr>
            <w:r w:rsidRPr="00CA3CCD">
              <w:rPr>
                <w:b/>
              </w:rPr>
              <w:t>Pavienės universitetinės</w:t>
            </w:r>
            <w:r w:rsidRPr="007C388A">
              <w:t xml:space="preserve"> inžinerinio ugdymo klasės</w:t>
            </w:r>
          </w:p>
        </w:tc>
        <w:tc>
          <w:tcPr>
            <w:tcW w:w="4767" w:type="dxa"/>
          </w:tcPr>
          <w:p w:rsidR="0080186F" w:rsidRPr="007C388A" w:rsidRDefault="0080186F" w:rsidP="00CC624D">
            <w:pPr>
              <w:widowControl w:val="0"/>
              <w:jc w:val="both"/>
            </w:pPr>
            <w:r w:rsidRPr="007C388A">
              <w:t>Visa savivaldybės teritorija.</w:t>
            </w:r>
          </w:p>
          <w:p w:rsidR="0080186F" w:rsidRPr="007C388A" w:rsidRDefault="0080186F" w:rsidP="00B66A9E">
            <w:pPr>
              <w:widowControl w:val="0"/>
              <w:jc w:val="both"/>
            </w:pPr>
            <w:r w:rsidRPr="007C388A">
              <w:rPr>
                <w:i/>
              </w:rPr>
              <w:t xml:space="preserve">Pastaba. </w:t>
            </w:r>
            <w:r w:rsidR="00CA3CCD" w:rsidRPr="00CB2925">
              <w:rPr>
                <w:strike/>
              </w:rPr>
              <w:t>Kai norinčiųjų mokytis netradicinio ugdymo klasėse yra daugiau nei laisvų vietų, gali būti vykdomas motyvacijos vertinimas, pasibaigus pagrindiniam priėmimui</w:t>
            </w:r>
            <w:r w:rsidR="00CA3CCD">
              <w:t xml:space="preserve"> </w:t>
            </w:r>
            <w:r w:rsidRPr="00CA3CCD">
              <w:rPr>
                <w:b/>
              </w:rPr>
              <w:t>Prieš pagrindinį priėmimą gali būti vykdomas motyvacijos vertinimas</w:t>
            </w:r>
            <w:r w:rsidR="00132DDF" w:rsidRPr="00CA3CCD">
              <w:rPr>
                <w:b/>
              </w:rPr>
              <w:t>.</w:t>
            </w:r>
          </w:p>
        </w:tc>
        <w:tc>
          <w:tcPr>
            <w:tcW w:w="283" w:type="dxa"/>
            <w:tcBorders>
              <w:top w:val="nil"/>
              <w:left w:val="single" w:sz="4" w:space="0" w:color="auto"/>
              <w:bottom w:val="nil"/>
              <w:right w:val="nil"/>
            </w:tcBorders>
          </w:tcPr>
          <w:p w:rsidR="0080186F" w:rsidRDefault="0080186F" w:rsidP="00CC624D"/>
          <w:p w:rsidR="0080186F" w:rsidRDefault="0080186F" w:rsidP="00CC624D"/>
          <w:p w:rsidR="00B66A9E" w:rsidRDefault="00B66A9E" w:rsidP="00CC624D"/>
          <w:p w:rsidR="0080186F" w:rsidRDefault="0080186F" w:rsidP="00CC624D">
            <w:r>
              <w:t>;</w:t>
            </w:r>
          </w:p>
        </w:tc>
      </w:tr>
    </w:tbl>
    <w:p w:rsidR="00132DDF" w:rsidRDefault="00132DDF" w:rsidP="0080186F">
      <w:pPr>
        <w:pStyle w:val="Sraopastraipa"/>
        <w:ind w:left="0" w:firstLine="709"/>
        <w:jc w:val="both"/>
      </w:pPr>
    </w:p>
    <w:p w:rsidR="0080186F" w:rsidRDefault="0080186F" w:rsidP="0080186F">
      <w:pPr>
        <w:pStyle w:val="Sraopastraipa"/>
        <w:ind w:left="0" w:firstLine="709"/>
        <w:jc w:val="both"/>
      </w:pPr>
      <w:r>
        <w:t xml:space="preserve">1.3. pakeisti </w:t>
      </w:r>
      <w:r w:rsidR="00132DDF">
        <w:t>31</w:t>
      </w:r>
      <w:r w:rsidR="00142C23">
        <w:t xml:space="preserve"> punktą ir jį </w:t>
      </w:r>
      <w:r>
        <w:t xml:space="preserve">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80186F" w:rsidRPr="00AB494E" w:rsidTr="00CC624D">
        <w:trPr>
          <w:trHeight w:val="132"/>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Pr="00F131E9" w:rsidRDefault="0080186F" w:rsidP="00CC624D"/>
        </w:tc>
        <w:tc>
          <w:tcPr>
            <w:tcW w:w="709" w:type="dxa"/>
            <w:vMerge w:val="restart"/>
            <w:tcBorders>
              <w:left w:val="single" w:sz="4" w:space="0" w:color="auto"/>
            </w:tcBorders>
          </w:tcPr>
          <w:p w:rsidR="0080186F" w:rsidRPr="00A75BDB" w:rsidRDefault="0080186F" w:rsidP="00CC624D">
            <w:pPr>
              <w:widowControl w:val="0"/>
              <w:jc w:val="center"/>
            </w:pPr>
            <w:r w:rsidRPr="00A75BDB">
              <w:t>31.</w:t>
            </w:r>
          </w:p>
        </w:tc>
        <w:tc>
          <w:tcPr>
            <w:tcW w:w="1559" w:type="dxa"/>
            <w:vMerge w:val="restart"/>
          </w:tcPr>
          <w:p w:rsidR="0080186F" w:rsidRPr="00A75BDB" w:rsidRDefault="0080186F" w:rsidP="00CC624D">
            <w:pPr>
              <w:widowControl w:val="0"/>
            </w:pPr>
            <w:r w:rsidRPr="00A75BDB">
              <w:t xml:space="preserve">Klaipėdos „Vėtrungės“ gimnazija </w:t>
            </w:r>
          </w:p>
        </w:tc>
        <w:tc>
          <w:tcPr>
            <w:tcW w:w="1984" w:type="dxa"/>
          </w:tcPr>
          <w:p w:rsidR="0080186F" w:rsidRPr="00A75BDB" w:rsidRDefault="0080186F" w:rsidP="00CC624D">
            <w:pPr>
              <w:widowControl w:val="0"/>
              <w:jc w:val="center"/>
            </w:pPr>
            <w:r w:rsidRPr="00A75BDB">
              <w:t>I–II klasės (bendrosios</w:t>
            </w:r>
            <w:r w:rsidRPr="00866DA5">
              <w:t xml:space="preserve">, </w:t>
            </w:r>
            <w:r w:rsidRPr="00A754CF">
              <w:rPr>
                <w:b/>
              </w:rPr>
              <w:t>pavienės ekologijos ir aplinkos technologijų ugdymo elementų</w:t>
            </w:r>
            <w:r w:rsidRPr="00A75BDB">
              <w:t>)</w:t>
            </w:r>
          </w:p>
        </w:tc>
        <w:tc>
          <w:tcPr>
            <w:tcW w:w="4767" w:type="dxa"/>
          </w:tcPr>
          <w:p w:rsidR="0080186F" w:rsidRDefault="0080186F" w:rsidP="00CC624D">
            <w:pPr>
              <w:widowControl w:val="0"/>
              <w:jc w:val="both"/>
            </w:pPr>
            <w:r w:rsidRPr="00A75BDB">
              <w:t xml:space="preserve">Debreceno g. (nelyginiai Nr. 1–61), </w:t>
            </w:r>
            <w:r w:rsidRPr="00A75BDB">
              <w:rPr>
                <w:caps/>
              </w:rPr>
              <w:t>g</w:t>
            </w:r>
            <w:r w:rsidRPr="00A75BDB">
              <w:t xml:space="preserve">edminų g., Mainų g., Naikupės g. (lyginiai Nr. 2–58), Naujakiemio g., Nemuno g. (Nr. 131–141), Statybininkų pr. (lyginiai Nr. 2–86), Svajonės g., Šiaulių g., Šilutės pl. (lyginiai Nr. 46–64 ir nelyginiai Nr. 83–91), </w:t>
            </w:r>
            <w:r w:rsidRPr="00A75BDB">
              <w:rPr>
                <w:caps/>
              </w:rPr>
              <w:t>t</w:t>
            </w:r>
            <w:r w:rsidRPr="00A75BDB">
              <w:t>aikos pr. (lyginiai Nr. 76–80 ir nelyginiai Nr. 95–113)</w:t>
            </w:r>
            <w:r>
              <w:t>.</w:t>
            </w:r>
          </w:p>
          <w:p w:rsidR="0080186F" w:rsidRPr="00A754CF" w:rsidRDefault="0080186F" w:rsidP="00CC624D">
            <w:pPr>
              <w:widowControl w:val="0"/>
              <w:jc w:val="both"/>
              <w:rPr>
                <w:b/>
              </w:rPr>
            </w:pPr>
            <w:r w:rsidRPr="00A754CF">
              <w:rPr>
                <w:b/>
                <w:i/>
              </w:rPr>
              <w:t xml:space="preserve">Pastaba. </w:t>
            </w:r>
            <w:r w:rsidRPr="00A754CF">
              <w:rPr>
                <w:b/>
              </w:rPr>
              <w:t>Kai norinčiųjų mokytis netradicinio ugdymo klasėse yra daugiau nei laisvų vietų, gali būti vykdomas motyvacijos vertinimas, pasibaigus pagrindiniam priėmimui</w:t>
            </w:r>
            <w:r w:rsidR="00132DDF" w:rsidRPr="00A754CF">
              <w:rPr>
                <w:b/>
              </w:rPr>
              <w:t>.</w:t>
            </w:r>
          </w:p>
        </w:tc>
        <w:tc>
          <w:tcPr>
            <w:tcW w:w="283" w:type="dxa"/>
            <w:tcBorders>
              <w:top w:val="nil"/>
              <w:left w:val="single" w:sz="4" w:space="0" w:color="auto"/>
              <w:bottom w:val="nil"/>
              <w:right w:val="nil"/>
            </w:tcBorders>
          </w:tcPr>
          <w:p w:rsidR="0080186F" w:rsidRDefault="0080186F" w:rsidP="00CC624D">
            <w:r>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Pr="000B7FCD" w:rsidRDefault="0080186F" w:rsidP="00CC624D"/>
        </w:tc>
      </w:tr>
      <w:tr w:rsidR="0080186F" w:rsidRPr="00AB494E" w:rsidTr="00CC624D">
        <w:trPr>
          <w:trHeight w:val="58"/>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r>
              <w:t>”</w:t>
            </w:r>
          </w:p>
        </w:tc>
        <w:tc>
          <w:tcPr>
            <w:tcW w:w="709" w:type="dxa"/>
            <w:vMerge/>
            <w:tcBorders>
              <w:left w:val="single" w:sz="4" w:space="0" w:color="auto"/>
            </w:tcBorders>
          </w:tcPr>
          <w:p w:rsidR="0080186F" w:rsidRPr="00A75BDB" w:rsidRDefault="0080186F" w:rsidP="00CC624D">
            <w:pPr>
              <w:widowControl w:val="0"/>
              <w:jc w:val="center"/>
            </w:pPr>
          </w:p>
        </w:tc>
        <w:tc>
          <w:tcPr>
            <w:tcW w:w="1559" w:type="dxa"/>
            <w:vMerge/>
          </w:tcPr>
          <w:p w:rsidR="0080186F" w:rsidRPr="00A75BDB" w:rsidRDefault="0080186F" w:rsidP="00CC624D">
            <w:pPr>
              <w:widowControl w:val="0"/>
            </w:pPr>
          </w:p>
        </w:tc>
        <w:tc>
          <w:tcPr>
            <w:tcW w:w="1984" w:type="dxa"/>
          </w:tcPr>
          <w:p w:rsidR="0080186F" w:rsidRPr="00A75BDB" w:rsidRDefault="0080186F" w:rsidP="00CC624D">
            <w:pPr>
              <w:widowControl w:val="0"/>
              <w:jc w:val="center"/>
            </w:pPr>
            <w:r w:rsidRPr="00A754CF">
              <w:rPr>
                <w:b/>
              </w:rPr>
              <w:t>Pavienės ekologijos</w:t>
            </w:r>
            <w:r w:rsidRPr="00A75BDB">
              <w:t xml:space="preserve"> ir </w:t>
            </w:r>
            <w:r w:rsidRPr="00A75BDB">
              <w:lastRenderedPageBreak/>
              <w:t>aplinkos technologijų ugdymo elementų klasės</w:t>
            </w:r>
          </w:p>
        </w:tc>
        <w:tc>
          <w:tcPr>
            <w:tcW w:w="4767" w:type="dxa"/>
          </w:tcPr>
          <w:p w:rsidR="0080186F" w:rsidRPr="00A75BDB" w:rsidRDefault="0080186F" w:rsidP="00CC624D">
            <w:pPr>
              <w:widowControl w:val="0"/>
              <w:jc w:val="both"/>
            </w:pPr>
            <w:r w:rsidRPr="00A75BDB">
              <w:lastRenderedPageBreak/>
              <w:t xml:space="preserve">Visa savivaldybės teritorija. </w:t>
            </w:r>
          </w:p>
          <w:p w:rsidR="0080186F" w:rsidRPr="00A75BDB" w:rsidRDefault="0080186F" w:rsidP="00CC624D">
            <w:pPr>
              <w:widowControl w:val="0"/>
              <w:jc w:val="both"/>
            </w:pPr>
            <w:r w:rsidRPr="00A75BDB">
              <w:rPr>
                <w:i/>
              </w:rPr>
              <w:t>Pastaba</w:t>
            </w:r>
            <w:r w:rsidRPr="00A75BDB">
              <w:t xml:space="preserve">. Prieš pagrindinį priėmimą gali būti </w:t>
            </w:r>
            <w:r w:rsidRPr="00A75BDB">
              <w:lastRenderedPageBreak/>
              <w:t>vykdomas motyvacijos vertinimas</w:t>
            </w:r>
            <w:r w:rsidR="00132DDF">
              <w:t>.</w:t>
            </w:r>
          </w:p>
        </w:tc>
        <w:tc>
          <w:tcPr>
            <w:tcW w:w="283" w:type="dxa"/>
            <w:tcBorders>
              <w:top w:val="nil"/>
              <w:left w:val="single" w:sz="4" w:space="0" w:color="auto"/>
              <w:bottom w:val="nil"/>
              <w:right w:val="nil"/>
            </w:tcBorders>
          </w:tcPr>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r>
              <w:t>.</w:t>
            </w:r>
          </w:p>
        </w:tc>
      </w:tr>
    </w:tbl>
    <w:p w:rsidR="00197480" w:rsidRDefault="00197480" w:rsidP="0080186F">
      <w:pPr>
        <w:ind w:firstLine="709"/>
        <w:jc w:val="both"/>
      </w:pPr>
    </w:p>
    <w:p w:rsidR="0080186F" w:rsidRDefault="0080186F" w:rsidP="0080186F">
      <w:pPr>
        <w:ind w:firstLine="709"/>
        <w:jc w:val="both"/>
      </w:pPr>
      <w:r>
        <w:t xml:space="preserve">2. </w:t>
      </w:r>
      <w:r w:rsidRPr="00480883">
        <w:t xml:space="preserve">Skelbti šį sprendimą </w:t>
      </w:r>
      <w:r>
        <w:t>Teisės aktų registre</w:t>
      </w:r>
      <w:r w:rsidRPr="00480883">
        <w:t xml:space="preserve"> ir Klaipėdos miesto savivaldybės interneto </w:t>
      </w:r>
      <w:r>
        <w:t>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0C3D32" w:rsidTr="000C3D32">
        <w:tc>
          <w:tcPr>
            <w:tcW w:w="6475" w:type="dxa"/>
            <w:shd w:val="clear" w:color="auto" w:fill="auto"/>
          </w:tcPr>
          <w:p w:rsidR="000C3D32" w:rsidRDefault="000C3D32" w:rsidP="000C3D32">
            <w:r>
              <w:t>Teikėjas</w:t>
            </w:r>
            <w:r w:rsidRPr="00D50F7E">
              <w:t xml:space="preserve"> – </w:t>
            </w:r>
            <w:r>
              <w:t>Savivaldybės administracijos direktorius</w:t>
            </w:r>
          </w:p>
        </w:tc>
        <w:tc>
          <w:tcPr>
            <w:tcW w:w="3163" w:type="dxa"/>
            <w:shd w:val="clear" w:color="auto" w:fill="auto"/>
          </w:tcPr>
          <w:p w:rsidR="000C3D32" w:rsidRDefault="000C3D32" w:rsidP="000C3D32">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0C3D32" w:rsidRDefault="000C3D32" w:rsidP="000C3D32">
      <w:pPr>
        <w:jc w:val="both"/>
      </w:pPr>
    </w:p>
    <w:p w:rsidR="000C3D32" w:rsidRDefault="000C3D32" w:rsidP="000C3D32">
      <w:pPr>
        <w:jc w:val="both"/>
      </w:pPr>
    </w:p>
    <w:p w:rsidR="00276E31" w:rsidRDefault="00276E31" w:rsidP="000C3D32">
      <w:pPr>
        <w:jc w:val="both"/>
      </w:pPr>
    </w:p>
    <w:p w:rsidR="000C3D32" w:rsidRDefault="000C3D32" w:rsidP="000C3D32">
      <w:pPr>
        <w:jc w:val="both"/>
      </w:pPr>
    </w:p>
    <w:p w:rsidR="00506909" w:rsidRDefault="00506909" w:rsidP="000C3D32">
      <w:pPr>
        <w:jc w:val="both"/>
      </w:pPr>
    </w:p>
    <w:p w:rsidR="000C3D32" w:rsidRDefault="000C3D32" w:rsidP="000C3D32">
      <w:pPr>
        <w:jc w:val="both"/>
      </w:pPr>
      <w:r>
        <w:t>Parengė</w:t>
      </w:r>
    </w:p>
    <w:p w:rsidR="000C3D32" w:rsidRDefault="000C3D32" w:rsidP="000C3D32">
      <w:pPr>
        <w:jc w:val="both"/>
      </w:pPr>
      <w:r>
        <w:t>Švietimo skyriaus vyriausioji specialistė</w:t>
      </w:r>
    </w:p>
    <w:p w:rsidR="000C3D32" w:rsidRDefault="000C3D32" w:rsidP="000C3D32">
      <w:pPr>
        <w:jc w:val="both"/>
      </w:pPr>
    </w:p>
    <w:p w:rsidR="000C3D32" w:rsidRDefault="000C3D32" w:rsidP="000C3D32">
      <w:pPr>
        <w:jc w:val="both"/>
      </w:pPr>
      <w:r>
        <w:t>Audronė Andrašūnienė, tel. 39 61 43</w:t>
      </w:r>
    </w:p>
    <w:p w:rsidR="00DD6F1A" w:rsidRDefault="000C3D32" w:rsidP="001853D9">
      <w:pPr>
        <w:jc w:val="both"/>
      </w:pPr>
      <w:r w:rsidRPr="00E616C3">
        <w:t>2021-02-09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2E5" w:rsidRDefault="005D52E5">
      <w:r>
        <w:separator/>
      </w:r>
    </w:p>
  </w:endnote>
  <w:endnote w:type="continuationSeparator" w:id="0">
    <w:p w:rsidR="005D52E5" w:rsidRDefault="005D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2E5" w:rsidRDefault="005D52E5">
      <w:r>
        <w:separator/>
      </w:r>
    </w:p>
  </w:footnote>
  <w:footnote w:type="continuationSeparator" w:id="0">
    <w:p w:rsidR="005D52E5" w:rsidRDefault="005D5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64D3">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CF" w:rsidRDefault="002E29CF" w:rsidP="002E29CF">
    <w:pPr>
      <w:pStyle w:val="Antrats"/>
      <w:jc w:val="right"/>
      <w:rPr>
        <w:b/>
      </w:rPr>
    </w:pPr>
    <w:r w:rsidRPr="00C72E9F">
      <w:rPr>
        <w:b/>
      </w:rPr>
      <w:t>P</w:t>
    </w:r>
    <w:r>
      <w:rPr>
        <w:b/>
      </w:rPr>
      <w:t xml:space="preserve">rojekto </w:t>
    </w:r>
  </w:p>
  <w:p w:rsidR="002E29CF" w:rsidRDefault="002E29CF" w:rsidP="002E29CF">
    <w:pPr>
      <w:pStyle w:val="Antrats"/>
      <w:jc w:val="right"/>
      <w:rPr>
        <w:b/>
      </w:rPr>
    </w:pPr>
    <w:r>
      <w:rPr>
        <w:b/>
      </w:rPr>
      <w:t xml:space="preserve">lyginamasis </w:t>
    </w:r>
  </w:p>
  <w:p w:rsidR="00C72E9F" w:rsidRDefault="002E29CF" w:rsidP="002E29CF">
    <w:pPr>
      <w:pStyle w:val="Antrats"/>
      <w:jc w:val="right"/>
    </w:pP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1C3"/>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D32"/>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2DDF"/>
    <w:rsid w:val="0013402C"/>
    <w:rsid w:val="0013433F"/>
    <w:rsid w:val="00134E1B"/>
    <w:rsid w:val="00135100"/>
    <w:rsid w:val="001358F9"/>
    <w:rsid w:val="0014205C"/>
    <w:rsid w:val="00142C23"/>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22D"/>
    <w:rsid w:val="0019156E"/>
    <w:rsid w:val="0019267E"/>
    <w:rsid w:val="00192824"/>
    <w:rsid w:val="00192A1F"/>
    <w:rsid w:val="00192F5D"/>
    <w:rsid w:val="00194CD6"/>
    <w:rsid w:val="00195945"/>
    <w:rsid w:val="00196E36"/>
    <w:rsid w:val="00197480"/>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4CAC"/>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6E31"/>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29CF"/>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BE4"/>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4D3"/>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90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A03"/>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2E5"/>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029"/>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86F"/>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6DA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4CF"/>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3CA0"/>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A9E"/>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3CCD"/>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7A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91C"/>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7B9782-2B66-4234-84DB-B74E84E7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3347</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2021-02-10T13:30:00Z</dcterms:created>
  <dcterms:modified xsi:type="dcterms:W3CDTF">2021-02-10T13:30:00Z</dcterms:modified>
</cp:coreProperties>
</file>