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29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T2-106</w:t>
            </w:r>
            <w:bookmarkEnd w:id="2"/>
          </w:p>
        </w:tc>
      </w:tr>
    </w:tbl>
    <w:p w:rsidR="00832CC9" w:rsidRPr="00F72A1E" w:rsidRDefault="00832CC9" w:rsidP="0006079E">
      <w:pPr>
        <w:jc w:val="center"/>
      </w:pPr>
    </w:p>
    <w:p w:rsidR="00832CC9" w:rsidRPr="00F72A1E" w:rsidRDefault="00832CC9" w:rsidP="0006079E">
      <w:pPr>
        <w:jc w:val="center"/>
      </w:pPr>
    </w:p>
    <w:p w:rsidR="0006444A" w:rsidRDefault="0006444A" w:rsidP="0006444A">
      <w:pPr>
        <w:tabs>
          <w:tab w:val="left" w:pos="14656"/>
        </w:tabs>
        <w:jc w:val="center"/>
        <w:rPr>
          <w:b/>
          <w:lang w:eastAsia="lt-LT"/>
        </w:rPr>
      </w:pPr>
      <w:r>
        <w:rPr>
          <w:b/>
          <w:lang w:eastAsia="lt-LT"/>
        </w:rPr>
        <w:t xml:space="preserve">KLAIPĖDOS „AUKURO“ GIMNAZIJOS 2020 </w:t>
      </w:r>
      <w:r w:rsidRPr="0055745B">
        <w:rPr>
          <w:b/>
          <w:lang w:eastAsia="lt-LT"/>
        </w:rPr>
        <w:t>METŲ VEIKLOS ATASKAITA</w:t>
      </w:r>
    </w:p>
    <w:p w:rsidR="0006444A" w:rsidRPr="001916E7" w:rsidRDefault="0006444A" w:rsidP="0006444A">
      <w:pPr>
        <w:tabs>
          <w:tab w:val="left" w:pos="14656"/>
        </w:tabs>
        <w:jc w:val="center"/>
        <w:rPr>
          <w:b/>
          <w:lang w:eastAsia="lt-LT"/>
        </w:rPr>
      </w:pPr>
    </w:p>
    <w:tbl>
      <w:tblPr>
        <w:tblW w:w="0" w:type="auto"/>
        <w:tblInd w:w="-147" w:type="dxa"/>
        <w:tblLook w:val="04A0" w:firstRow="1" w:lastRow="0" w:firstColumn="1" w:lastColumn="0" w:noHBand="0" w:noVBand="1"/>
      </w:tblPr>
      <w:tblGrid>
        <w:gridCol w:w="9775"/>
      </w:tblGrid>
      <w:tr w:rsidR="0006444A" w:rsidTr="00987EBB">
        <w:tc>
          <w:tcPr>
            <w:tcW w:w="9775" w:type="dxa"/>
          </w:tcPr>
          <w:p w:rsidR="0006444A" w:rsidRDefault="0006444A" w:rsidP="00987EBB">
            <w:pPr>
              <w:ind w:firstLine="573"/>
              <w:jc w:val="both"/>
              <w:rPr>
                <w:lang w:eastAsia="lt-LT"/>
              </w:rPr>
            </w:pPr>
            <w:r w:rsidRPr="008D4F9C">
              <w:rPr>
                <w:lang w:eastAsia="lt-LT"/>
              </w:rPr>
              <w:t>Įgyvendinant</w:t>
            </w:r>
            <w:r>
              <w:rPr>
                <w:lang w:eastAsia="lt-LT"/>
              </w:rPr>
              <w:t xml:space="preserve"> Klaipėdos „Aukuro“ gimnazijos </w:t>
            </w:r>
            <w:r w:rsidRPr="00FD35CF">
              <w:rPr>
                <w:lang w:eastAsia="lt-LT"/>
              </w:rPr>
              <w:t xml:space="preserve">(toliau – Gimnazija) </w:t>
            </w:r>
            <w:r>
              <w:rPr>
                <w:lang w:eastAsia="lt-LT"/>
              </w:rPr>
              <w:t>2020–2022 metų strateginį ir 2020 metų veiklos planą, buvo siekiama gerinti švietimo pagalbą įvairių gebėjimų mokiniams, taikant kiekvieno mokinio individualios pažangos stebėseną bei matavimą, stiprinti mokinių mokymosi motyvaciją, mažinant pasiekimų atotrūkį tarp atskirų klasių mokinių, telkti bendruomenę, kad ugdymas(is) būtų socialus ir įtraukus, kurti pozityvią emocinę aplinką, skatinant pokyčių lyderystę, bendravimo ir bendradarbiavimo kultūrą, skaidriai ir optimaliai naudoti finansinius išteklius.</w:t>
            </w:r>
          </w:p>
          <w:p w:rsidR="0006444A" w:rsidRDefault="0006444A" w:rsidP="00987EBB">
            <w:pPr>
              <w:ind w:firstLine="573"/>
              <w:jc w:val="both"/>
              <w:rPr>
                <w:lang w:eastAsia="lt-LT"/>
              </w:rPr>
            </w:pPr>
            <w:r>
              <w:rPr>
                <w:lang w:eastAsia="lt-LT"/>
              </w:rPr>
              <w:t>Vadovaujantis naujais teisės aktais, parengtas Nuotolinio mokymo tvarkos aprašas (patvirtintas gimnazijos direktoriaus 2020 m. kovo 23 d. įsakymu Nr. V-46), Gimnazijos mokinių pamokų lankomumo apskaitos ir gimnazijos nelankymo prevencijos tvarkos aprašas (patvirtintas gimnazijos direktoriaus 2020 m. lapkričio 23 d. įsakymu Nr. V-126). Įsigyta Microsoft Office 365 platforma sėkmingai taikoma nuotoliniam ugdymui. 2020 m. sausio 28 d. pasirašyta jungtinės veiklos (partnerystės) sutartis su Prancūzų kalbos institutu dėl prancūzų kalbos mokymosi rezultatų vertinimo – Gimnazija tapo vieninteliu DELF egzaminų centru Vakarų Lietuvoje (tokie egzaminų centrai veikė Vilniuje, Kaune ir Šiauliuose). 2020 m. pasirašyta sutartis su Švietimo mainų paramos fondu dėl ERASMUS+ projekto „Eko įvairovė negali išnykti“ (2020–2022 m.), kurio įgyvendinimui skirta 24151,40 Eur. Gimnazija įsijungė į nacionalinį projektą „Renkuosi mokyti!“ (2020–2022 m.), pradėtos įgyvendinti veiklos, kuriomis bus siekiama pokyčio įtraukiojo ugdymo srityje. Gimnazijoje pagal šį projektą pradėjo dirbti teatro mokytojas.</w:t>
            </w:r>
          </w:p>
          <w:p w:rsidR="0006444A" w:rsidRDefault="0006444A" w:rsidP="00987EBB">
            <w:pPr>
              <w:ind w:firstLine="573"/>
              <w:jc w:val="both"/>
              <w:rPr>
                <w:lang w:eastAsia="lt-LT"/>
              </w:rPr>
            </w:pPr>
            <w:r>
              <w:rPr>
                <w:lang w:eastAsia="lt-LT"/>
              </w:rPr>
              <w:t xml:space="preserve">Švietimo paslaugų kiekybiniai ir kokybiniai pokyčiai įgyvendinti, atsižvelgiant ir į pakitusį švietimo kontekstą (nuotolinis ugdymas COVID‘o-19 plitimo sąlygomis). 2020 m. rugsėjo 1 d. duomenimis sukomplektuota 19 klasių (2019 m. – 17): 11 pagrindinio ugdymo II dalies (I, II klasės – 271 mokinys), 8 vidurinio ugdymo (III, IV klasės – 214 mokinių), iš viso ugdyti 485 mokiniai (2019 m. – 431). Trijose klasėse (I a, II a, III a) įgyvendinti Humanistinės kultūros menine veikla sampratos elementai. Ši veikla, ugdanti mokinių kultūrinę kompetenciją, vykdyta integruotai per muzikos, dailės, teatro pamokas, humanitarinės, meninės krypties neformaliojo švietimo užsiėmimus, projektus, kūrybines dirbtuves, Gimnazijos Muzikinio teatro renginius. Nuo 2020 m. rugsėjo 1 d. suformuotos dvi I-osios sporto klasės, mokiniai tęsia mokymąsi II-oje sporto klasėje. Jose ugdomi 64 aukšto sportinio meistriškumo siekiantys mokiniai, lankantys 13 sporto šakų užsiėmimus. Gimnazija sudarė kokybiškas ugdymo sąlygas – ugdymo planą, pamokų tvarkaraštį bei organizavo sporto klasių mokinių pavėžėjimą į rytines treniruotes ir nemokamą maitinimą. Įgyvendindama specializuotos sportinio ugdymo krypties programą, Gimnazija aktyviai bendradarbiauja su Trišales mokymo sutartis pasirašiusiomis 10 miesto sporto įstaigų bei Klaipėdos miesto savivaldybės administracijos Sporto skyriumi. 2020 m. Gimnazija apdovanota Klaipėdos miesto savivaldybės administracijos Švietimo skyriaus nominacija „Už sporto ugdymo krypties programų įgyvendinimą“. Gimnazija priklauso Lietuvos </w:t>
            </w:r>
            <w:r w:rsidRPr="00DC0E13">
              <w:rPr>
                <w:lang w:eastAsia="lt-LT"/>
              </w:rPr>
              <w:t>Qualité</w:t>
            </w:r>
            <w:r>
              <w:rPr>
                <w:lang w:eastAsia="lt-LT"/>
              </w:rPr>
              <w:t xml:space="preserve"> francophone mokyklų tinklui. Tęstas tarptautinis EMILE klasės projektas (integruotas dalyko (istorijos) bei prancūzų kalbos mokymo(si) modelis). 2020 m. kovo mėnesį Gimnazija kartu su Prancūzų kalbos institutu organizavo šalies mokinių prancūzų kalbos olimpiadą. Nuo 2020 m. spalio 1 d. Gimnazijoje su </w:t>
            </w:r>
            <w:r w:rsidRPr="0096376F">
              <w:rPr>
                <w:lang w:eastAsia="lt-LT"/>
              </w:rPr>
              <w:t>QF (kokybiškas frankofoniškas ugdymas)</w:t>
            </w:r>
            <w:r>
              <w:rPr>
                <w:lang w:eastAsia="lt-LT"/>
              </w:rPr>
              <w:t xml:space="preserve"> mokiniais dirba stažuotojas iš Prancūzijos. Prancūzų ambasada projekto įgyvendinimui skyrė 950,00 Eur. Mokiniams buvo teikiama sisteminė psichologinė, socialinė, informacinė ir karjeros planavimo pagalba. Rūpinantis emocine gerove dirbant nuotoliniu būdu, švietimo pagalbos, informacinių technologijų specialistai, administracija teikė reikiamą pagalbą ir paramą bendruomenės nariams. Ypač daug dėmesio buvo skiriama </w:t>
            </w:r>
            <w:r>
              <w:rPr>
                <w:lang w:eastAsia="lt-LT"/>
              </w:rPr>
              <w:lastRenderedPageBreak/>
              <w:t xml:space="preserve">mokymosi, </w:t>
            </w:r>
            <w:r w:rsidRPr="00744367">
              <w:rPr>
                <w:lang w:eastAsia="lt-LT"/>
              </w:rPr>
              <w:t>technologijų naudojimo</w:t>
            </w:r>
            <w:r w:rsidRPr="00D41BF9">
              <w:rPr>
                <w:b/>
                <w:lang w:eastAsia="lt-LT"/>
              </w:rPr>
              <w:t xml:space="preserve"> s</w:t>
            </w:r>
            <w:r>
              <w:rPr>
                <w:lang w:eastAsia="lt-LT"/>
              </w:rPr>
              <w:t xml:space="preserve">unkumų patiriantiems mokiniams. Socialinis pedagogas suteikė 441 individualią konsultaciją, 61 grupinę konsultaciją mokiniams ir 226 konsultacijas tėvams, psichologas – 73 individualias konsultacijas mokiniams, 19 konsultacijų tėvams bei mokytojams. </w:t>
            </w:r>
            <w:r w:rsidRPr="00E04394">
              <w:rPr>
                <w:lang w:eastAsia="lt-LT"/>
              </w:rPr>
              <w:t>Profesijos patarėja</w:t>
            </w:r>
            <w:r>
              <w:rPr>
                <w:lang w:eastAsia="lt-LT"/>
              </w:rPr>
              <w:t>s teikė 18 individualių, 5 grupines konsultacijas mokiniams ir tėvams. Tęstas SEU programos „Raktai į sėkmę“ įgyvendinimas. Vaiko gerovės komisija organizavo 4 posėdžius, nuotolines paskaitas I–II klasių mokiniams „Teisinė atsakomybė“ (dalyvaujant Policijos komisariato atstovams), „Saugus internetas“, „Patyčių formos ir pagalbos būdai“. Atlikti I klasių, naujai atvykusių mokinių adaptacijos, atskirų klasių mikroklimato tyrimai, mokinių, tėvų ir mokytojų apklausos dėl nuotolinio mokymo(si) organizavimo ir pagalbos teikimo. Rezultatai aptarti direkcijos, Mokytojų tarybos posėdžiuose, pateiktos problemų sprendimo, veiklos tobulinimo rekomendacijas.</w:t>
            </w:r>
          </w:p>
          <w:p w:rsidR="0006444A" w:rsidRDefault="0006444A" w:rsidP="00987EBB">
            <w:pPr>
              <w:ind w:firstLine="573"/>
              <w:jc w:val="both"/>
              <w:rPr>
                <w:lang w:eastAsia="lt-LT"/>
              </w:rPr>
            </w:pPr>
            <w:r>
              <w:rPr>
                <w:lang w:eastAsia="lt-LT"/>
              </w:rPr>
              <w:t>Sistemingai vykdyta individuali mokinio pažangos stebėsena bei matavimas, analizuojami akademinių pasiekimų pokyčiai. Mokiniai kėlė asmeninius ugdymosi tikslus, įsivertino pasiektą pažangą. Analizuoti signaliniai, pusmečių, metiniai įvertinimai, planuota ir teikta mokymosi pagalba, vedant individualias ir grupines dalykų mokytojų konsultacijas, informacija apie mokinių pasiekimus, jų pokyčius, mokymosi motyvaciją, įsitraukimą į nuotolinio mokymosi procesą sistemingai teikta tėvams, aptarta Mokytojų tarybos, metodinių grupių posėdžiuose, klasėse dėstančių mokytojų ir pagalbos mokiniui specialistų komandų pasitarimuose. Po I pusmečio vyko nepamokinė bendruomenės Refleksijos diena, skirta ugdymo(si) pasiekimų ir pažangos vertinimui ir įsivertinimui. Ugdant mokėjimo mokytis kompetenciją įgyvendintas modulis „Mokymosi strategijos“, skirtas I klasių mokiniams.</w:t>
            </w:r>
          </w:p>
          <w:p w:rsidR="0006444A" w:rsidRDefault="0006444A" w:rsidP="00987EBB">
            <w:pPr>
              <w:ind w:firstLine="573"/>
              <w:jc w:val="both"/>
              <w:rPr>
                <w:lang w:eastAsia="lt-LT"/>
              </w:rPr>
            </w:pPr>
            <w:r>
              <w:rPr>
                <w:lang w:eastAsia="lt-LT"/>
              </w:rPr>
              <w:t xml:space="preserve">Mokymosi pasiekimų rezultatai: 2020 m. visi II klasių mokiniai (121–100 proc.) įgijo pagrindinį išsilavinimą, visi abiturientai (78–100 proc.) gavo brandos atestatus. 2 abiturientai anglų kalbos valstybinį brandos egzaminą išlaikė 100 balų, aukšti anglų kalbos (68,7) ir rusų kalbos (68,5) brandos egzaminų balų vidurkiai. Pagerėjo ugdymo kokybė – 23,2 proc. (2019 m. – 22,8 proc.). Miesto olimpiadose, konkursuose užimtos vietos: prancūzų kalbos olimpiada – I ir III vietos, rusų (užsienio) kalbos – II vieta, jaunųjų filologų konkursas – laureatas, dailės olimpiada – laureatas, robotikos varžybos „Robokopa 2020“ – I ir III vietos, Konstitucijos žinovo konkursas – II vieta, respublikinis moksleivių skaitovų konkursas – laureatas, šalies jaunųjų filologų konkurse (poezijos sekcija) mokinys apdovanotas II laipsnio diplomu, nacionalinis konkursas „Lietuvos kovų už laisvę ir netekčių istorija“ – padėka, šalies dailės konkursas „Balta pasaka“ – 3 padėkos, šalies fotografijos konkursas „Polėkis“ – nominacija už fotografijas gamtos tema, nuotolinis nacionalinis konkursas „Žiemos fantazija 2020“ – diplomas, tarptautinis vokalistų konkursas „Talentų lyga“ – II vieta, tarptautinis edukacinis konkursas Olympis 2020 – 54 mokiniai apdovanoti I, II ir III laipsnio diplomais. Ypač svarūs sporto klasių mokinių pasiekimai – tarptautinėse sunkiosios atletikos varžybose – II ir III vietos, tarptautiniuose krepšinio turnyruose – I vieta ir aukso medaliai, šalies meninės gimnastikos čempionatas – I ir II vietos, šalies rankinio (U-17) jaunių čempionatas – sidabro medaliai, šalies jaunių lengvosios atletikos varžybos – 2 aukso medaliai, Lietuvos irklavimo čempionatas – 2 aukso, sidabro ir bronzos medaliai, Lietuvos sunkiosios atletikos čempionatas – dvi II vietos. Pagerėjo pamokų lankomumas, sumažėjo praleistų pamokų skaičius, tenkantis vienam mokiniui. Aktyviai vykdyta projektinė, patyriminė veikla: respublikinis projektas „Jūrų keliais 2020“, Lietuvos jūrų muziejaus ir dienraščio „Klaipėda“ projektas „Burė“ (gimnazistų rašiniai išspausdinti dienraštyje „Klaipėda“), šalies edukacijos projektas „Ekranai“, miesto projektai „Gėrio knyga“, „Kultūra jauno žmogaus akimis“, „Jaunimas ant karštosios kėdės sodina rašytoją“, integruotas technologijų, dailės, istorijos, geografijos, matematikos, lietuvių kalbos  projektas „LDK pilys“, integruoti biologijos-chemijos-fizikos-informacinių technologijų, muzikos-dailės-tikybos, istorijos-dailės, istorijos-teatro projektai, integruotas meninis projektas „Muzikinis teatras“. Projektinė, patyriminė veikla ugdė mokinių gebėjimus planuoti, analizuoti ir organizuoti savo veiklas, ypač mokantis nuotoliniu būdu, spręsti problemas, kritiškai mąstyti, dirbti komandoje. Skatinta ir remta mokinių savivalda, socialinė, savanorystės veikla. Veikė tarnystės ugdymo grupė „Duoti – gauti“, mokiniai savanoriavo „Maisto banke“, dalyvavo pilietinėje savanorystės akcijoje „Uždekime žvakutę ant nežinomo žmogaus kapo“, mokinių tarybos nariai aktyviai dalyvavo miesto jaunimo švietimo politikos formavimo renginiuose. Puoselėtas bendradarbiavimas su Klaipėdos </w:t>
            </w:r>
            <w:r>
              <w:rPr>
                <w:lang w:eastAsia="lt-LT"/>
              </w:rPr>
              <w:lastRenderedPageBreak/>
              <w:t>universitetu įgyvendinat projektą „Iškeisk pamoką į paskaitą“, atliekant chemijos tiriamuosius laboratorinius darbus, taip pat su Klaipėdos socialinių mokslų, Verslo kolegijomis, „Smeltės“, Martyno Mažvydo progimnazijomis, I. Kanto biblioteka, Lietuvos jūrų muziejumi ir kitais socialiniais partneriais.</w:t>
            </w:r>
          </w:p>
          <w:p w:rsidR="0006444A" w:rsidRDefault="0006444A" w:rsidP="00987EBB">
            <w:pPr>
              <w:ind w:firstLine="573"/>
              <w:jc w:val="both"/>
              <w:rPr>
                <w:lang w:eastAsia="lt-LT"/>
              </w:rPr>
            </w:pPr>
            <w:r>
              <w:rPr>
                <w:lang w:eastAsia="lt-LT"/>
              </w:rPr>
              <w:t xml:space="preserve">Mokytojų skaitmeninio raštingumo kompetencijai gilinti organizuotas bendras seminaras Gimnazijos mokytojams „Microsoft Office 365“ ir „Microsoft Teams“ virtualios aplinkos taikymas ugdymo procese (33 mokytojai, 67,3 proc.), asmeninio tobulėjimo, profesinės dalyko srities kompetencijoms tobulinti vyko bendri seminarai „Kaip kalbėti, kad tave išgirstų“ (42 mokytojai, 86 proc.), „Ką privalo žinoti pedagogai ir kiti darbuotojai efektyviam ir greitam problemų sprendimui?“ (36 mokytojai, 73 proc.). Iš viso Gimnazijos mokytojai ir pagalbos mokiniui specialistai dalykines ir bendrąsias kompetencijas tobulino 2378 val., vidutiniškai po 48,5 val., 7,7 dienas kiekvienas (2019 m. – 41,2 val., 6,7 dienos). 8 mokytojai (16,3 proc.) šalyje ir mieste organizavo seminarus, edukacinius – kultūrinius renginius, vedė atviras virtualias pamokas, dalinosi gerąja patirtimi. Vyko pedagoginės patirties mainų projektas „Kolega – kolegai“. Metodinės grupės, Metodinė taryba reflektavo, įsivertino savo veiklą, pagilintos kompetencijos taikytos dirbant nuotoliniu būdu, siekiant geresnių mokinių pasiekimų bei kokybiško ugdymo. Atliktas Gimnazijos veiklos kokybės įsivertinimas tema „Vadovavimas mokymui(si)“, kurio duomenys panaudoti Gimnazijos veiklos planavimui. </w:t>
            </w:r>
          </w:p>
          <w:p w:rsidR="0006444A" w:rsidRDefault="0006444A" w:rsidP="00987EBB">
            <w:pPr>
              <w:ind w:firstLine="573"/>
              <w:jc w:val="both"/>
              <w:rPr>
                <w:lang w:eastAsia="lt-LT"/>
              </w:rPr>
            </w:pPr>
            <w:r>
              <w:rPr>
                <w:lang w:eastAsia="lt-LT"/>
              </w:rPr>
              <w:t xml:space="preserve">2020 m. atlikti numatyti ugdymo(si) aplinkų gerinimo darbai: suremontuoti 3 kabinetai, koridoriai, 3 kabinetuose pakeista grindų danga, įrengti oro kondicionieriai, įsigyta baldų edukacinėms ir poilsio erdvėms, kompiuterinės įrangos, mokymo priemonių mokomiesiems kabinetams, naujų vadovėlių ir grožinės literatūros. Pritrauktos 2 proc. paramos lėšos – 3671,62 Eur, tėvai padovanojo stalą bei kėdes lauko klasei. </w:t>
            </w:r>
          </w:p>
        </w:tc>
      </w:tr>
    </w:tbl>
    <w:p w:rsidR="0006444A" w:rsidRDefault="0006444A" w:rsidP="0006444A">
      <w:pPr>
        <w:ind w:firstLine="142"/>
        <w:jc w:val="both"/>
        <w:rPr>
          <w:lang w:eastAsia="lt-LT"/>
        </w:rPr>
      </w:pPr>
      <w:r>
        <w:rPr>
          <w:lang w:eastAsia="lt-LT"/>
        </w:rPr>
        <w:lastRenderedPageBreak/>
        <w:t xml:space="preserve">     Finansiniai ištekliai naudoti skaidriai ir optimaliai:</w:t>
      </w:r>
    </w:p>
    <w:tbl>
      <w:tblPr>
        <w:tblStyle w:val="Lentelstinklelis"/>
        <w:tblW w:w="10065" w:type="dxa"/>
        <w:tblInd w:w="-176" w:type="dxa"/>
        <w:tblLayout w:type="fixed"/>
        <w:tblLook w:val="04A0" w:firstRow="1" w:lastRow="0" w:firstColumn="1" w:lastColumn="0" w:noHBand="0" w:noVBand="1"/>
      </w:tblPr>
      <w:tblGrid>
        <w:gridCol w:w="2836"/>
        <w:gridCol w:w="1417"/>
        <w:gridCol w:w="1418"/>
        <w:gridCol w:w="1276"/>
        <w:gridCol w:w="3118"/>
      </w:tblGrid>
      <w:tr w:rsidR="0006444A" w:rsidTr="0006444A">
        <w:tc>
          <w:tcPr>
            <w:tcW w:w="2836" w:type="dxa"/>
            <w:vMerge w:val="restart"/>
            <w:tcBorders>
              <w:top w:val="single" w:sz="4" w:space="0" w:color="auto"/>
              <w:left w:val="single" w:sz="4" w:space="0" w:color="auto"/>
              <w:bottom w:val="single" w:sz="4" w:space="0" w:color="auto"/>
              <w:right w:val="single" w:sz="4" w:space="0" w:color="auto"/>
            </w:tcBorders>
            <w:hideMark/>
          </w:tcPr>
          <w:p w:rsidR="0006444A" w:rsidRDefault="0006444A" w:rsidP="00987EBB">
            <w:pPr>
              <w:jc w:val="center"/>
            </w:pPr>
            <w:r>
              <w:t>Finansavimo šaltinis</w:t>
            </w:r>
          </w:p>
        </w:tc>
        <w:tc>
          <w:tcPr>
            <w:tcW w:w="4111" w:type="dxa"/>
            <w:gridSpan w:val="3"/>
            <w:tcBorders>
              <w:top w:val="single" w:sz="4" w:space="0" w:color="auto"/>
              <w:left w:val="single" w:sz="4" w:space="0" w:color="auto"/>
              <w:bottom w:val="single" w:sz="4" w:space="0" w:color="auto"/>
              <w:right w:val="single" w:sz="4" w:space="0" w:color="auto"/>
            </w:tcBorders>
            <w:hideMark/>
          </w:tcPr>
          <w:p w:rsidR="0006444A" w:rsidRDefault="0006444A" w:rsidP="00987EBB">
            <w:pPr>
              <w:jc w:val="center"/>
            </w:pPr>
            <w:r>
              <w:t>Lėšos (tūkst. eurų)</w:t>
            </w:r>
          </w:p>
        </w:tc>
        <w:tc>
          <w:tcPr>
            <w:tcW w:w="3118" w:type="dxa"/>
            <w:vMerge w:val="restart"/>
            <w:tcBorders>
              <w:top w:val="single" w:sz="4" w:space="0" w:color="auto"/>
              <w:left w:val="single" w:sz="4" w:space="0" w:color="auto"/>
              <w:bottom w:val="single" w:sz="4" w:space="0" w:color="auto"/>
              <w:right w:val="single" w:sz="4" w:space="0" w:color="auto"/>
            </w:tcBorders>
          </w:tcPr>
          <w:p w:rsidR="0006444A" w:rsidRDefault="0006444A" w:rsidP="00987EBB">
            <w:pPr>
              <w:jc w:val="both"/>
            </w:pPr>
            <w:r>
              <w:t>Pastabos</w:t>
            </w:r>
          </w:p>
          <w:p w:rsidR="0006444A" w:rsidRDefault="0006444A" w:rsidP="00987EBB">
            <w:pPr>
              <w:jc w:val="center"/>
            </w:pPr>
          </w:p>
        </w:tc>
      </w:tr>
      <w:tr w:rsidR="0006444A" w:rsidTr="0006444A">
        <w:tc>
          <w:tcPr>
            <w:tcW w:w="2836" w:type="dxa"/>
            <w:vMerge/>
            <w:tcBorders>
              <w:top w:val="single" w:sz="4" w:space="0" w:color="auto"/>
              <w:left w:val="single" w:sz="4" w:space="0" w:color="auto"/>
              <w:bottom w:val="single" w:sz="4" w:space="0" w:color="auto"/>
              <w:right w:val="single" w:sz="4" w:space="0" w:color="auto"/>
            </w:tcBorders>
            <w:vAlign w:val="center"/>
            <w:hideMark/>
          </w:tcPr>
          <w:p w:rsidR="0006444A" w:rsidRDefault="0006444A" w:rsidP="00987EBB"/>
        </w:tc>
        <w:tc>
          <w:tcPr>
            <w:tcW w:w="1417" w:type="dxa"/>
            <w:tcBorders>
              <w:top w:val="single" w:sz="4" w:space="0" w:color="auto"/>
              <w:left w:val="single" w:sz="4" w:space="0" w:color="auto"/>
              <w:bottom w:val="single" w:sz="4" w:space="0" w:color="auto"/>
              <w:right w:val="single" w:sz="4" w:space="0" w:color="auto"/>
            </w:tcBorders>
            <w:hideMark/>
          </w:tcPr>
          <w:p w:rsidR="0006444A" w:rsidRPr="00013E7D" w:rsidRDefault="0006444A" w:rsidP="0006444A">
            <w:pPr>
              <w:jc w:val="center"/>
              <w:rPr>
                <w:sz w:val="22"/>
                <w:szCs w:val="22"/>
              </w:rPr>
            </w:pPr>
            <w:r w:rsidRPr="00013E7D">
              <w:rPr>
                <w:sz w:val="22"/>
              </w:rPr>
              <w:t>Planas (patikslintas)</w:t>
            </w:r>
          </w:p>
        </w:tc>
        <w:tc>
          <w:tcPr>
            <w:tcW w:w="1418" w:type="dxa"/>
            <w:tcBorders>
              <w:top w:val="single" w:sz="4" w:space="0" w:color="auto"/>
              <w:left w:val="single" w:sz="4" w:space="0" w:color="auto"/>
              <w:bottom w:val="single" w:sz="4" w:space="0" w:color="auto"/>
              <w:right w:val="single" w:sz="4" w:space="0" w:color="auto"/>
            </w:tcBorders>
            <w:hideMark/>
          </w:tcPr>
          <w:p w:rsidR="0006444A" w:rsidRDefault="0006444A" w:rsidP="0006444A">
            <w:pPr>
              <w:jc w:val="center"/>
            </w:pPr>
            <w:r>
              <w:t>Panaudota lėšų</w:t>
            </w:r>
          </w:p>
        </w:tc>
        <w:tc>
          <w:tcPr>
            <w:tcW w:w="1276" w:type="dxa"/>
            <w:tcBorders>
              <w:top w:val="single" w:sz="4" w:space="0" w:color="auto"/>
              <w:left w:val="single" w:sz="4" w:space="0" w:color="auto"/>
              <w:bottom w:val="single" w:sz="4" w:space="0" w:color="auto"/>
              <w:right w:val="single" w:sz="4" w:space="0" w:color="auto"/>
            </w:tcBorders>
            <w:hideMark/>
          </w:tcPr>
          <w:p w:rsidR="0006444A" w:rsidRDefault="0006444A" w:rsidP="0006444A">
            <w:pPr>
              <w:jc w:val="center"/>
            </w:pPr>
            <w:r w:rsidRPr="00812B20">
              <w:rPr>
                <w:sz w:val="22"/>
              </w:rPr>
              <w:t>Įvykdymas</w:t>
            </w:r>
            <w:r>
              <w:t xml:space="preserve"> (%)</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06444A" w:rsidRDefault="0006444A" w:rsidP="00987EBB"/>
        </w:tc>
      </w:tr>
      <w:tr w:rsidR="0006444A" w:rsidTr="0006444A">
        <w:trPr>
          <w:trHeight w:val="415"/>
        </w:trPr>
        <w:tc>
          <w:tcPr>
            <w:tcW w:w="2836" w:type="dxa"/>
            <w:tcBorders>
              <w:top w:val="single" w:sz="4" w:space="0" w:color="auto"/>
              <w:left w:val="single" w:sz="4" w:space="0" w:color="auto"/>
              <w:bottom w:val="single" w:sz="4" w:space="0" w:color="auto"/>
              <w:right w:val="single" w:sz="4" w:space="0" w:color="auto"/>
            </w:tcBorders>
            <w:hideMark/>
          </w:tcPr>
          <w:p w:rsidR="0006444A" w:rsidRDefault="0006444A" w:rsidP="00987EBB">
            <w:r>
              <w:t>Savivaldybės biudžetas (SB)</w:t>
            </w:r>
          </w:p>
        </w:tc>
        <w:tc>
          <w:tcPr>
            <w:tcW w:w="1417" w:type="dxa"/>
            <w:tcBorders>
              <w:top w:val="single" w:sz="4" w:space="0" w:color="auto"/>
              <w:left w:val="single" w:sz="4" w:space="0" w:color="auto"/>
              <w:bottom w:val="single" w:sz="4" w:space="0" w:color="auto"/>
              <w:right w:val="single" w:sz="4" w:space="0" w:color="auto"/>
            </w:tcBorders>
          </w:tcPr>
          <w:p w:rsidR="0006444A" w:rsidRDefault="0006444A" w:rsidP="00987EBB">
            <w:r>
              <w:t>302,5</w:t>
            </w:r>
          </w:p>
        </w:tc>
        <w:tc>
          <w:tcPr>
            <w:tcW w:w="1418" w:type="dxa"/>
            <w:tcBorders>
              <w:top w:val="single" w:sz="4" w:space="0" w:color="auto"/>
              <w:left w:val="single" w:sz="4" w:space="0" w:color="auto"/>
              <w:bottom w:val="single" w:sz="4" w:space="0" w:color="auto"/>
              <w:right w:val="single" w:sz="4" w:space="0" w:color="auto"/>
            </w:tcBorders>
          </w:tcPr>
          <w:p w:rsidR="0006444A" w:rsidRDefault="0006444A" w:rsidP="00987EBB">
            <w:r>
              <w:t>280,31</w:t>
            </w:r>
          </w:p>
        </w:tc>
        <w:tc>
          <w:tcPr>
            <w:tcW w:w="1276" w:type="dxa"/>
            <w:tcBorders>
              <w:top w:val="single" w:sz="4" w:space="0" w:color="auto"/>
              <w:left w:val="single" w:sz="4" w:space="0" w:color="auto"/>
              <w:bottom w:val="single" w:sz="4" w:space="0" w:color="auto"/>
              <w:right w:val="single" w:sz="4" w:space="0" w:color="auto"/>
            </w:tcBorders>
          </w:tcPr>
          <w:p w:rsidR="0006444A" w:rsidRDefault="0006444A" w:rsidP="00987EBB">
            <w:r>
              <w:t>92,66 %</w:t>
            </w:r>
          </w:p>
        </w:tc>
        <w:tc>
          <w:tcPr>
            <w:tcW w:w="3118" w:type="dxa"/>
            <w:tcBorders>
              <w:top w:val="single" w:sz="4" w:space="0" w:color="auto"/>
              <w:left w:val="single" w:sz="4" w:space="0" w:color="auto"/>
              <w:bottom w:val="single" w:sz="4" w:space="0" w:color="auto"/>
              <w:right w:val="single" w:sz="4" w:space="0" w:color="auto"/>
            </w:tcBorders>
          </w:tcPr>
          <w:p w:rsidR="0006444A" w:rsidRDefault="0006444A" w:rsidP="00987EBB">
            <w:r>
              <w:t>Dėl karantino neorganizuotos sporto klasių mokinių maitinimas ir pavėžėjimas, nepanaudotos gamybos kaštų lėšos</w:t>
            </w:r>
          </w:p>
        </w:tc>
      </w:tr>
      <w:tr w:rsidR="0006444A" w:rsidTr="0006444A">
        <w:tc>
          <w:tcPr>
            <w:tcW w:w="2836" w:type="dxa"/>
            <w:tcBorders>
              <w:top w:val="single" w:sz="4" w:space="0" w:color="auto"/>
              <w:left w:val="single" w:sz="4" w:space="0" w:color="auto"/>
              <w:bottom w:val="single" w:sz="4" w:space="0" w:color="auto"/>
              <w:right w:val="single" w:sz="4" w:space="0" w:color="auto"/>
            </w:tcBorders>
            <w:hideMark/>
          </w:tcPr>
          <w:p w:rsidR="0006444A" w:rsidRDefault="0006444A" w:rsidP="00987EBB">
            <w:r>
              <w:t>Specialioji tikslinė dotacija (VB)</w:t>
            </w:r>
          </w:p>
        </w:tc>
        <w:tc>
          <w:tcPr>
            <w:tcW w:w="1417" w:type="dxa"/>
            <w:tcBorders>
              <w:top w:val="single" w:sz="4" w:space="0" w:color="auto"/>
              <w:left w:val="single" w:sz="4" w:space="0" w:color="auto"/>
              <w:bottom w:val="single" w:sz="4" w:space="0" w:color="auto"/>
              <w:right w:val="single" w:sz="4" w:space="0" w:color="auto"/>
            </w:tcBorders>
          </w:tcPr>
          <w:p w:rsidR="0006444A" w:rsidRDefault="0006444A" w:rsidP="00987EBB">
            <w:r>
              <w:t>847,3</w:t>
            </w:r>
          </w:p>
        </w:tc>
        <w:tc>
          <w:tcPr>
            <w:tcW w:w="1418" w:type="dxa"/>
            <w:tcBorders>
              <w:top w:val="single" w:sz="4" w:space="0" w:color="auto"/>
              <w:left w:val="single" w:sz="4" w:space="0" w:color="auto"/>
              <w:bottom w:val="single" w:sz="4" w:space="0" w:color="auto"/>
              <w:right w:val="single" w:sz="4" w:space="0" w:color="auto"/>
            </w:tcBorders>
          </w:tcPr>
          <w:p w:rsidR="0006444A" w:rsidRDefault="0006444A" w:rsidP="00987EBB">
            <w:r>
              <w:t>845,27</w:t>
            </w:r>
          </w:p>
        </w:tc>
        <w:tc>
          <w:tcPr>
            <w:tcW w:w="1276" w:type="dxa"/>
            <w:tcBorders>
              <w:top w:val="single" w:sz="4" w:space="0" w:color="auto"/>
              <w:left w:val="single" w:sz="4" w:space="0" w:color="auto"/>
              <w:bottom w:val="single" w:sz="4" w:space="0" w:color="auto"/>
              <w:right w:val="single" w:sz="4" w:space="0" w:color="auto"/>
            </w:tcBorders>
          </w:tcPr>
          <w:p w:rsidR="0006444A" w:rsidRDefault="0006444A" w:rsidP="00987EBB">
            <w:r>
              <w:t>99,76 %</w:t>
            </w:r>
          </w:p>
        </w:tc>
        <w:tc>
          <w:tcPr>
            <w:tcW w:w="3118" w:type="dxa"/>
            <w:tcBorders>
              <w:top w:val="single" w:sz="4" w:space="0" w:color="auto"/>
              <w:left w:val="single" w:sz="4" w:space="0" w:color="auto"/>
              <w:bottom w:val="single" w:sz="4" w:space="0" w:color="auto"/>
              <w:right w:val="single" w:sz="4" w:space="0" w:color="auto"/>
            </w:tcBorders>
          </w:tcPr>
          <w:p w:rsidR="0006444A" w:rsidRDefault="0006444A" w:rsidP="00987EBB">
            <w:r>
              <w:t>Dėl karantino liko nepanaudotų  nemokamo maitinimo lėšų</w:t>
            </w:r>
          </w:p>
        </w:tc>
      </w:tr>
      <w:tr w:rsidR="0006444A" w:rsidTr="0006444A">
        <w:tc>
          <w:tcPr>
            <w:tcW w:w="2836" w:type="dxa"/>
            <w:tcBorders>
              <w:top w:val="single" w:sz="4" w:space="0" w:color="auto"/>
              <w:left w:val="single" w:sz="4" w:space="0" w:color="auto"/>
              <w:bottom w:val="single" w:sz="4" w:space="0" w:color="auto"/>
              <w:right w:val="single" w:sz="4" w:space="0" w:color="auto"/>
            </w:tcBorders>
            <w:hideMark/>
          </w:tcPr>
          <w:p w:rsidR="0006444A" w:rsidRDefault="0006444A" w:rsidP="00987EBB">
            <w:r>
              <w:t>Įstaigos gautos pajamos (surinkta pajamų SP), iš jų:</w:t>
            </w:r>
          </w:p>
        </w:tc>
        <w:tc>
          <w:tcPr>
            <w:tcW w:w="1417" w:type="dxa"/>
            <w:tcBorders>
              <w:top w:val="single" w:sz="4" w:space="0" w:color="auto"/>
              <w:left w:val="single" w:sz="4" w:space="0" w:color="auto"/>
              <w:bottom w:val="single" w:sz="4" w:space="0" w:color="auto"/>
              <w:right w:val="single" w:sz="4" w:space="0" w:color="auto"/>
            </w:tcBorders>
          </w:tcPr>
          <w:p w:rsidR="0006444A" w:rsidRDefault="0006444A" w:rsidP="00987EBB">
            <w:r>
              <w:t>3,07</w:t>
            </w:r>
          </w:p>
        </w:tc>
        <w:tc>
          <w:tcPr>
            <w:tcW w:w="1418" w:type="dxa"/>
            <w:tcBorders>
              <w:top w:val="single" w:sz="4" w:space="0" w:color="auto"/>
              <w:left w:val="single" w:sz="4" w:space="0" w:color="auto"/>
              <w:bottom w:val="single" w:sz="4" w:space="0" w:color="auto"/>
              <w:right w:val="single" w:sz="4" w:space="0" w:color="auto"/>
            </w:tcBorders>
          </w:tcPr>
          <w:p w:rsidR="0006444A" w:rsidRDefault="0006444A" w:rsidP="00987EBB"/>
        </w:tc>
        <w:tc>
          <w:tcPr>
            <w:tcW w:w="1276" w:type="dxa"/>
            <w:tcBorders>
              <w:top w:val="single" w:sz="4" w:space="0" w:color="auto"/>
              <w:left w:val="single" w:sz="4" w:space="0" w:color="auto"/>
              <w:bottom w:val="single" w:sz="4" w:space="0" w:color="auto"/>
              <w:right w:val="single" w:sz="4" w:space="0" w:color="auto"/>
            </w:tcBorders>
          </w:tcPr>
          <w:p w:rsidR="0006444A" w:rsidRDefault="0006444A" w:rsidP="00987EBB"/>
        </w:tc>
        <w:tc>
          <w:tcPr>
            <w:tcW w:w="3118" w:type="dxa"/>
            <w:tcBorders>
              <w:top w:val="single" w:sz="4" w:space="0" w:color="auto"/>
              <w:left w:val="single" w:sz="4" w:space="0" w:color="auto"/>
              <w:bottom w:val="single" w:sz="4" w:space="0" w:color="auto"/>
              <w:right w:val="single" w:sz="4" w:space="0" w:color="auto"/>
            </w:tcBorders>
          </w:tcPr>
          <w:p w:rsidR="0006444A" w:rsidRDefault="0006444A" w:rsidP="00987EBB"/>
        </w:tc>
      </w:tr>
      <w:tr w:rsidR="0006444A" w:rsidTr="0006444A">
        <w:trPr>
          <w:trHeight w:val="238"/>
        </w:trPr>
        <w:tc>
          <w:tcPr>
            <w:tcW w:w="2836" w:type="dxa"/>
            <w:tcBorders>
              <w:top w:val="single" w:sz="4" w:space="0" w:color="auto"/>
              <w:left w:val="single" w:sz="4" w:space="0" w:color="auto"/>
              <w:bottom w:val="single" w:sz="4" w:space="0" w:color="auto"/>
              <w:right w:val="single" w:sz="4" w:space="0" w:color="auto"/>
            </w:tcBorders>
            <w:hideMark/>
          </w:tcPr>
          <w:p w:rsidR="0006444A" w:rsidRDefault="0006444A" w:rsidP="0006444A">
            <w:r>
              <w:t>Pajamų išlaidos (SP)</w:t>
            </w:r>
          </w:p>
        </w:tc>
        <w:tc>
          <w:tcPr>
            <w:tcW w:w="1417" w:type="dxa"/>
            <w:tcBorders>
              <w:top w:val="single" w:sz="4" w:space="0" w:color="auto"/>
              <w:left w:val="single" w:sz="4" w:space="0" w:color="auto"/>
              <w:bottom w:val="single" w:sz="4" w:space="0" w:color="auto"/>
              <w:right w:val="single" w:sz="4" w:space="0" w:color="auto"/>
            </w:tcBorders>
            <w:hideMark/>
          </w:tcPr>
          <w:p w:rsidR="0006444A" w:rsidRDefault="0006444A" w:rsidP="0006444A">
            <w:pPr>
              <w:jc w:val="center"/>
            </w:pPr>
            <w:r>
              <w:t>–</w:t>
            </w:r>
          </w:p>
        </w:tc>
        <w:tc>
          <w:tcPr>
            <w:tcW w:w="1418" w:type="dxa"/>
            <w:tcBorders>
              <w:top w:val="single" w:sz="4" w:space="0" w:color="auto"/>
              <w:left w:val="single" w:sz="4" w:space="0" w:color="auto"/>
              <w:bottom w:val="single" w:sz="4" w:space="0" w:color="auto"/>
              <w:right w:val="single" w:sz="4" w:space="0" w:color="auto"/>
            </w:tcBorders>
          </w:tcPr>
          <w:p w:rsidR="0006444A" w:rsidRDefault="0006444A" w:rsidP="0006444A">
            <w:r>
              <w:t>3,07</w:t>
            </w:r>
          </w:p>
        </w:tc>
        <w:tc>
          <w:tcPr>
            <w:tcW w:w="1276" w:type="dxa"/>
            <w:tcBorders>
              <w:top w:val="single" w:sz="4" w:space="0" w:color="auto"/>
              <w:left w:val="single" w:sz="4" w:space="0" w:color="auto"/>
              <w:bottom w:val="single" w:sz="4" w:space="0" w:color="auto"/>
              <w:right w:val="single" w:sz="4" w:space="0" w:color="auto"/>
            </w:tcBorders>
          </w:tcPr>
          <w:p w:rsidR="0006444A" w:rsidRDefault="0006444A" w:rsidP="0006444A">
            <w:r>
              <w:t>100 %</w:t>
            </w:r>
          </w:p>
        </w:tc>
        <w:tc>
          <w:tcPr>
            <w:tcW w:w="3118" w:type="dxa"/>
            <w:tcBorders>
              <w:top w:val="single" w:sz="4" w:space="0" w:color="auto"/>
              <w:left w:val="single" w:sz="4" w:space="0" w:color="auto"/>
              <w:bottom w:val="single" w:sz="4" w:space="0" w:color="auto"/>
              <w:right w:val="single" w:sz="4" w:space="0" w:color="auto"/>
            </w:tcBorders>
          </w:tcPr>
          <w:p w:rsidR="0006444A" w:rsidRDefault="0006444A" w:rsidP="0006444A">
            <w:pPr>
              <w:jc w:val="center"/>
            </w:pPr>
            <w:r>
              <w:t>–</w:t>
            </w:r>
          </w:p>
        </w:tc>
      </w:tr>
      <w:tr w:rsidR="0006444A" w:rsidTr="0006444A">
        <w:trPr>
          <w:trHeight w:val="125"/>
        </w:trPr>
        <w:tc>
          <w:tcPr>
            <w:tcW w:w="2836" w:type="dxa"/>
            <w:tcBorders>
              <w:top w:val="single" w:sz="4" w:space="0" w:color="auto"/>
              <w:left w:val="single" w:sz="4" w:space="0" w:color="auto"/>
              <w:bottom w:val="single" w:sz="4" w:space="0" w:color="auto"/>
              <w:right w:val="single" w:sz="4" w:space="0" w:color="auto"/>
            </w:tcBorders>
            <w:hideMark/>
          </w:tcPr>
          <w:p w:rsidR="0006444A" w:rsidRDefault="0006444A" w:rsidP="00987EBB">
            <w:r>
              <w:t>Projektų finansavimas (ES; VB;SB)</w:t>
            </w:r>
          </w:p>
        </w:tc>
        <w:tc>
          <w:tcPr>
            <w:tcW w:w="1417" w:type="dxa"/>
            <w:tcBorders>
              <w:top w:val="single" w:sz="4" w:space="0" w:color="auto"/>
              <w:left w:val="single" w:sz="4" w:space="0" w:color="auto"/>
              <w:bottom w:val="single" w:sz="4" w:space="0" w:color="auto"/>
              <w:right w:val="single" w:sz="4" w:space="0" w:color="auto"/>
            </w:tcBorders>
          </w:tcPr>
          <w:p w:rsidR="0006444A" w:rsidRDefault="0006444A" w:rsidP="00987EBB">
            <w:r>
              <w:t>ES – 24,151</w:t>
            </w:r>
          </w:p>
          <w:p w:rsidR="0006444A" w:rsidRDefault="0006444A" w:rsidP="00987EBB">
            <w:r>
              <w:t>VB – 11,06</w:t>
            </w:r>
          </w:p>
          <w:p w:rsidR="0006444A" w:rsidRDefault="0006444A" w:rsidP="00987EBB">
            <w:r>
              <w:t>SB – 5,4</w:t>
            </w:r>
          </w:p>
        </w:tc>
        <w:tc>
          <w:tcPr>
            <w:tcW w:w="1418" w:type="dxa"/>
            <w:tcBorders>
              <w:top w:val="single" w:sz="4" w:space="0" w:color="auto"/>
              <w:left w:val="single" w:sz="4" w:space="0" w:color="auto"/>
              <w:bottom w:val="single" w:sz="4" w:space="0" w:color="auto"/>
              <w:right w:val="single" w:sz="4" w:space="0" w:color="auto"/>
            </w:tcBorders>
          </w:tcPr>
          <w:p w:rsidR="0006444A" w:rsidRDefault="0006444A" w:rsidP="00987EBB">
            <w:r>
              <w:t>ES - 0,019</w:t>
            </w:r>
          </w:p>
          <w:p w:rsidR="0006444A" w:rsidRDefault="0006444A" w:rsidP="00987EBB">
            <w:r>
              <w:t>VB – 11,06</w:t>
            </w:r>
          </w:p>
          <w:p w:rsidR="0006444A" w:rsidRDefault="0006444A" w:rsidP="00987EBB">
            <w:r>
              <w:t>SB – 5,4</w:t>
            </w:r>
          </w:p>
        </w:tc>
        <w:tc>
          <w:tcPr>
            <w:tcW w:w="1276" w:type="dxa"/>
            <w:tcBorders>
              <w:top w:val="single" w:sz="4" w:space="0" w:color="auto"/>
              <w:left w:val="single" w:sz="4" w:space="0" w:color="auto"/>
              <w:bottom w:val="single" w:sz="4" w:space="0" w:color="auto"/>
              <w:right w:val="single" w:sz="4" w:space="0" w:color="auto"/>
            </w:tcBorders>
          </w:tcPr>
          <w:p w:rsidR="0006444A" w:rsidRDefault="0006444A" w:rsidP="00987EBB">
            <w:r>
              <w:t>0,08 %</w:t>
            </w:r>
          </w:p>
          <w:p w:rsidR="0006444A" w:rsidRDefault="0006444A" w:rsidP="00987EBB">
            <w:r>
              <w:t xml:space="preserve">100 % </w:t>
            </w:r>
          </w:p>
          <w:p w:rsidR="0006444A" w:rsidRDefault="0006444A" w:rsidP="00987EBB">
            <w:r>
              <w:t>100 %</w:t>
            </w:r>
          </w:p>
        </w:tc>
        <w:tc>
          <w:tcPr>
            <w:tcW w:w="3118" w:type="dxa"/>
            <w:tcBorders>
              <w:top w:val="single" w:sz="4" w:space="0" w:color="auto"/>
              <w:left w:val="single" w:sz="4" w:space="0" w:color="auto"/>
              <w:bottom w:val="single" w:sz="4" w:space="0" w:color="auto"/>
              <w:right w:val="single" w:sz="4" w:space="0" w:color="auto"/>
            </w:tcBorders>
          </w:tcPr>
          <w:p w:rsidR="0006444A" w:rsidRDefault="0006444A" w:rsidP="00987EBB">
            <w:r>
              <w:t>Europos Sąjungos lėšomis finansuojamas projektas buvo atidėtas vieniems metams</w:t>
            </w:r>
          </w:p>
        </w:tc>
      </w:tr>
      <w:tr w:rsidR="0006444A" w:rsidTr="0006444A">
        <w:tc>
          <w:tcPr>
            <w:tcW w:w="2836" w:type="dxa"/>
            <w:tcBorders>
              <w:top w:val="single" w:sz="4" w:space="0" w:color="auto"/>
              <w:left w:val="single" w:sz="4" w:space="0" w:color="auto"/>
              <w:bottom w:val="single" w:sz="4" w:space="0" w:color="auto"/>
              <w:right w:val="single" w:sz="4" w:space="0" w:color="auto"/>
            </w:tcBorders>
            <w:hideMark/>
          </w:tcPr>
          <w:p w:rsidR="0006444A" w:rsidRDefault="0006444A" w:rsidP="00987EBB">
            <w:r>
              <w:t>Kitos lėšos (parama 2 % GM ir kt.)</w:t>
            </w:r>
          </w:p>
        </w:tc>
        <w:tc>
          <w:tcPr>
            <w:tcW w:w="1417" w:type="dxa"/>
            <w:tcBorders>
              <w:top w:val="single" w:sz="4" w:space="0" w:color="auto"/>
              <w:left w:val="single" w:sz="4" w:space="0" w:color="auto"/>
              <w:bottom w:val="single" w:sz="4" w:space="0" w:color="auto"/>
              <w:right w:val="single" w:sz="4" w:space="0" w:color="auto"/>
            </w:tcBorders>
          </w:tcPr>
          <w:p w:rsidR="0006444A" w:rsidRDefault="0006444A" w:rsidP="00987EBB">
            <w:r>
              <w:t>9,84</w:t>
            </w:r>
          </w:p>
        </w:tc>
        <w:tc>
          <w:tcPr>
            <w:tcW w:w="1418" w:type="dxa"/>
            <w:tcBorders>
              <w:top w:val="single" w:sz="4" w:space="0" w:color="auto"/>
              <w:left w:val="single" w:sz="4" w:space="0" w:color="auto"/>
              <w:bottom w:val="single" w:sz="4" w:space="0" w:color="auto"/>
              <w:right w:val="single" w:sz="4" w:space="0" w:color="auto"/>
            </w:tcBorders>
          </w:tcPr>
          <w:p w:rsidR="0006444A" w:rsidRDefault="0006444A" w:rsidP="00987EBB">
            <w:r>
              <w:t>5,766</w:t>
            </w:r>
          </w:p>
        </w:tc>
        <w:tc>
          <w:tcPr>
            <w:tcW w:w="1276" w:type="dxa"/>
            <w:tcBorders>
              <w:top w:val="single" w:sz="4" w:space="0" w:color="auto"/>
              <w:left w:val="single" w:sz="4" w:space="0" w:color="auto"/>
              <w:bottom w:val="single" w:sz="4" w:space="0" w:color="auto"/>
              <w:right w:val="single" w:sz="4" w:space="0" w:color="auto"/>
            </w:tcBorders>
          </w:tcPr>
          <w:p w:rsidR="0006444A" w:rsidRDefault="0006444A" w:rsidP="00987EBB">
            <w:r>
              <w:t>58,6 %</w:t>
            </w:r>
          </w:p>
        </w:tc>
        <w:tc>
          <w:tcPr>
            <w:tcW w:w="3118" w:type="dxa"/>
            <w:tcBorders>
              <w:top w:val="single" w:sz="4" w:space="0" w:color="auto"/>
              <w:left w:val="single" w:sz="4" w:space="0" w:color="auto"/>
              <w:bottom w:val="single" w:sz="4" w:space="0" w:color="auto"/>
              <w:right w:val="single" w:sz="4" w:space="0" w:color="auto"/>
            </w:tcBorders>
          </w:tcPr>
          <w:p w:rsidR="0006444A" w:rsidRDefault="0006444A" w:rsidP="00987EBB">
            <w:r>
              <w:t>Lėšos naudojamos pagal Gimnazijos tarybos patvirtintą sąmatą</w:t>
            </w:r>
          </w:p>
        </w:tc>
      </w:tr>
      <w:tr w:rsidR="0006444A" w:rsidTr="0006444A">
        <w:trPr>
          <w:trHeight w:val="58"/>
        </w:trPr>
        <w:tc>
          <w:tcPr>
            <w:tcW w:w="2836" w:type="dxa"/>
            <w:tcBorders>
              <w:top w:val="single" w:sz="4" w:space="0" w:color="auto"/>
              <w:left w:val="single" w:sz="4" w:space="0" w:color="auto"/>
              <w:bottom w:val="single" w:sz="4" w:space="0" w:color="auto"/>
              <w:right w:val="single" w:sz="4" w:space="0" w:color="auto"/>
            </w:tcBorders>
            <w:hideMark/>
          </w:tcPr>
          <w:p w:rsidR="0006444A" w:rsidRDefault="0006444A" w:rsidP="00987EBB">
            <w:r>
              <w:t>Iš viso</w:t>
            </w:r>
          </w:p>
        </w:tc>
        <w:tc>
          <w:tcPr>
            <w:tcW w:w="1417" w:type="dxa"/>
            <w:tcBorders>
              <w:top w:val="single" w:sz="4" w:space="0" w:color="auto"/>
              <w:left w:val="single" w:sz="4" w:space="0" w:color="auto"/>
              <w:bottom w:val="single" w:sz="4" w:space="0" w:color="auto"/>
              <w:right w:val="single" w:sz="4" w:space="0" w:color="auto"/>
            </w:tcBorders>
          </w:tcPr>
          <w:p w:rsidR="0006444A" w:rsidRDefault="0006444A" w:rsidP="00987EBB">
            <w:r>
              <w:t>1200,25</w:t>
            </w:r>
          </w:p>
        </w:tc>
        <w:tc>
          <w:tcPr>
            <w:tcW w:w="1418" w:type="dxa"/>
            <w:tcBorders>
              <w:top w:val="single" w:sz="4" w:space="0" w:color="auto"/>
              <w:left w:val="single" w:sz="4" w:space="0" w:color="auto"/>
              <w:bottom w:val="single" w:sz="4" w:space="0" w:color="auto"/>
              <w:right w:val="single" w:sz="4" w:space="0" w:color="auto"/>
            </w:tcBorders>
          </w:tcPr>
          <w:p w:rsidR="0006444A" w:rsidRDefault="0006444A" w:rsidP="00987EBB">
            <w:r>
              <w:t>1150,90</w:t>
            </w:r>
          </w:p>
        </w:tc>
        <w:tc>
          <w:tcPr>
            <w:tcW w:w="1276" w:type="dxa"/>
            <w:tcBorders>
              <w:top w:val="single" w:sz="4" w:space="0" w:color="auto"/>
              <w:left w:val="single" w:sz="4" w:space="0" w:color="auto"/>
              <w:bottom w:val="single" w:sz="4" w:space="0" w:color="auto"/>
              <w:right w:val="single" w:sz="4" w:space="0" w:color="auto"/>
            </w:tcBorders>
          </w:tcPr>
          <w:p w:rsidR="0006444A" w:rsidRDefault="0006444A" w:rsidP="00987EBB">
            <w:r>
              <w:t>95,89 %</w:t>
            </w:r>
          </w:p>
        </w:tc>
        <w:tc>
          <w:tcPr>
            <w:tcW w:w="3118" w:type="dxa"/>
            <w:tcBorders>
              <w:top w:val="single" w:sz="4" w:space="0" w:color="auto"/>
              <w:left w:val="single" w:sz="4" w:space="0" w:color="auto"/>
              <w:bottom w:val="single" w:sz="4" w:space="0" w:color="auto"/>
              <w:right w:val="single" w:sz="4" w:space="0" w:color="auto"/>
            </w:tcBorders>
          </w:tcPr>
          <w:p w:rsidR="0006444A" w:rsidRDefault="0006444A" w:rsidP="00987EBB"/>
        </w:tc>
      </w:tr>
      <w:tr w:rsidR="0006444A" w:rsidTr="00987EBB">
        <w:tc>
          <w:tcPr>
            <w:tcW w:w="6947" w:type="dxa"/>
            <w:gridSpan w:val="4"/>
            <w:tcBorders>
              <w:top w:val="single" w:sz="4" w:space="0" w:color="auto"/>
              <w:left w:val="single" w:sz="4" w:space="0" w:color="auto"/>
              <w:bottom w:val="single" w:sz="4" w:space="0" w:color="auto"/>
              <w:right w:val="single" w:sz="4" w:space="0" w:color="auto"/>
            </w:tcBorders>
            <w:hideMark/>
          </w:tcPr>
          <w:p w:rsidR="0006444A" w:rsidRDefault="0006444A" w:rsidP="00987EBB">
            <w:r>
              <w:t xml:space="preserve">Kreditinis įsiskolinimas (pagal visus finansavimo šaltinius) 2021 m. sausio 1 d. </w:t>
            </w:r>
          </w:p>
        </w:tc>
        <w:tc>
          <w:tcPr>
            <w:tcW w:w="3118" w:type="dxa"/>
            <w:tcBorders>
              <w:top w:val="single" w:sz="4" w:space="0" w:color="auto"/>
              <w:left w:val="single" w:sz="4" w:space="0" w:color="auto"/>
              <w:bottom w:val="single" w:sz="4" w:space="0" w:color="auto"/>
              <w:right w:val="single" w:sz="4" w:space="0" w:color="auto"/>
            </w:tcBorders>
          </w:tcPr>
          <w:p w:rsidR="0006444A" w:rsidRDefault="0006444A" w:rsidP="00987EBB">
            <w:r>
              <w:t>Ryšiai 0,06 tūkst. eurų,</w:t>
            </w:r>
          </w:p>
          <w:p w:rsidR="0006444A" w:rsidRDefault="0006444A" w:rsidP="00987EBB">
            <w:r>
              <w:t>komunalinės paslaugos (elektros energija) 0,88 tūkst. eurų</w:t>
            </w:r>
          </w:p>
        </w:tc>
      </w:tr>
    </w:tbl>
    <w:p w:rsidR="0006444A" w:rsidRDefault="0006444A" w:rsidP="0006444A">
      <w:pPr>
        <w:ind w:firstLine="460"/>
        <w:jc w:val="both"/>
        <w:rPr>
          <w:lang w:eastAsia="lt-LT"/>
        </w:rPr>
      </w:pPr>
    </w:p>
    <w:p w:rsidR="0006444A" w:rsidRDefault="0006444A" w:rsidP="0006444A">
      <w:pPr>
        <w:ind w:firstLine="460"/>
        <w:jc w:val="both"/>
        <w:rPr>
          <w:lang w:eastAsia="lt-LT"/>
        </w:rPr>
      </w:pPr>
      <w:r>
        <w:rPr>
          <w:lang w:eastAsia="lt-LT"/>
        </w:rPr>
        <w:t>Sprendimai dėl lėšų panaudojimo derinti su bendruomenės nariais, atsiskaityta savivaldos institucijoms.</w:t>
      </w:r>
    </w:p>
    <w:p w:rsidR="0006444A" w:rsidRDefault="0006444A" w:rsidP="0006444A">
      <w:pPr>
        <w:ind w:firstLine="460"/>
        <w:jc w:val="both"/>
        <w:rPr>
          <w:lang w:eastAsia="lt-LT"/>
        </w:rPr>
      </w:pPr>
      <w:r>
        <w:rPr>
          <w:lang w:eastAsia="lt-LT"/>
        </w:rPr>
        <w:t>2020 m. Valstybinė duomenų apsaugos inspekcija (toliau – VDAI) atliko prevencinį patikrinimą dėl asmens duomenų, tvarkomų ugdymo įstaigos nelankymo priežastims pagrįsti, apimties (VDAI 2020-04-10 raštas Nr. 2R-1893(2.14.). VDAI rekomendacijas Gimnazija įgyvendino bei pateikė tai patvirtinančius dokumentus. Pažeidimų nenustatyta (VDAI 2020-10-20 sprendimas Nr. 3R-916 (2.14.).</w:t>
      </w:r>
    </w:p>
    <w:p w:rsidR="0006444A" w:rsidRDefault="0006444A" w:rsidP="0006444A">
      <w:pPr>
        <w:ind w:firstLine="567"/>
        <w:jc w:val="both"/>
        <w:rPr>
          <w:lang w:eastAsia="lt-LT"/>
        </w:rPr>
      </w:pPr>
      <w:r>
        <w:rPr>
          <w:lang w:eastAsia="lt-LT"/>
        </w:rPr>
        <w:t xml:space="preserve">2020 m. spalio mėn. Klaipėdos miesto savivaldybės administracijos Švietimo skyrius vertino Gimnazijos sporto klasių ugdymo organizavimo kokybę, išvada – </w:t>
      </w:r>
      <w:r>
        <w:t>Gimnazijoje sudarytos puikios sąlygos sporto klasių mokinių ugdymui(si)</w:t>
      </w:r>
      <w:r>
        <w:rPr>
          <w:lang w:eastAsia="lt-LT"/>
        </w:rPr>
        <w:t xml:space="preserve"> (Švietimo skyriaus 2020-11-19 pažyma Nr. ŠV2-2).</w:t>
      </w:r>
    </w:p>
    <w:p w:rsidR="0006444A" w:rsidRDefault="0006444A" w:rsidP="0006444A">
      <w:pPr>
        <w:ind w:firstLine="567"/>
        <w:jc w:val="both"/>
        <w:rPr>
          <w:lang w:eastAsia="lt-LT"/>
        </w:rPr>
      </w:pPr>
      <w:r>
        <w:rPr>
          <w:lang w:eastAsia="lt-LT"/>
        </w:rPr>
        <w:t xml:space="preserve">2020 m. birželio–liepos mėn. Klaipėdos miesto savivaldybės administracijos Švietimo skyriaus specialistai vertino informacinių technologijų, užsienio kalbos (anglų), biologijos valstybinių brandos egzaminų bei lietuvių kalbos ir literatūros mokyklinio brandos egzamino organizavimą ir vykdymą. Pažeidimų nenustatyta (įrašai Gimnazijos tikrinimų registravimo knygoje). </w:t>
      </w:r>
    </w:p>
    <w:p w:rsidR="0006444A" w:rsidRDefault="0006444A" w:rsidP="0006444A">
      <w:pPr>
        <w:ind w:firstLine="567"/>
        <w:jc w:val="both"/>
        <w:rPr>
          <w:lang w:eastAsia="lt-LT"/>
        </w:rPr>
      </w:pPr>
      <w:r>
        <w:rPr>
          <w:lang w:eastAsia="lt-LT"/>
        </w:rPr>
        <w:t>2020 m. gegužės, rugsėjo mėn. Priešgaisrinės apsaugos ir gelbėjimo departamento prie Vidaus reikalų ministerijos Klaipėdos priešgaisrinės gelbėjimo valdybos Valstybinės priešgaisrinės priežiūros skyriaus bei Klaipėdos miesto savivaldybės administracijos Viešosios tvarkos skyriaus specialistai tikrino priešgaisrinę techninę ir civilinės saugos būklę. Pažeidimų nenustatyta (2020-09-23 patikrinimo aktas Nr. CS2-25).</w:t>
      </w:r>
    </w:p>
    <w:p w:rsidR="0006444A" w:rsidRDefault="0006444A" w:rsidP="0006444A">
      <w:pPr>
        <w:ind w:firstLine="460"/>
        <w:jc w:val="both"/>
        <w:rPr>
          <w:lang w:eastAsia="lt-LT"/>
        </w:rPr>
      </w:pPr>
      <w:r>
        <w:rPr>
          <w:lang w:eastAsia="lt-LT"/>
        </w:rPr>
        <w:t>Problemos (sąlygotos vidaus ir išorės faktorių): modernizuojant ugdymo aplinkas būtina renovuoti Gimnazijos pastatą, rekonstruoti stadioną bei įrengti šiuolaikišką gamtos mokslų laboratoriją.</w:t>
      </w:r>
    </w:p>
    <w:p w:rsidR="0006444A" w:rsidRDefault="0006444A" w:rsidP="0006444A">
      <w:pPr>
        <w:ind w:firstLine="460"/>
        <w:jc w:val="both"/>
        <w:rPr>
          <w:lang w:eastAsia="lt-LT"/>
        </w:rPr>
      </w:pPr>
      <w:r>
        <w:rPr>
          <w:lang w:eastAsia="lt-LT"/>
        </w:rPr>
        <w:t>2021 m. veiklos prioritetas – kokybiško ugdymo organizavimas telkiant Gimnazijos bendruomenę, tikslai ir kryptys – plėtoti mokinių dalykines ir bendrąsias kompetencijas siekiant kiekvieno mokinio  individualios pažangos; teikti mokiniams veiksmingą švietimo, socialinę ir psichologinę pagalbą; ugdyti bendruomenės narių kūrybiškumą, pilietiškumą, verslumą, lyderystę, socialines ir emocines kompetencijas; kurti inovatyvią ir modernią ugdymo aplinką.</w:t>
      </w:r>
    </w:p>
    <w:p w:rsidR="0006444A" w:rsidRDefault="0006444A" w:rsidP="0006444A">
      <w:pPr>
        <w:ind w:firstLine="460"/>
        <w:jc w:val="both"/>
        <w:rPr>
          <w:lang w:eastAsia="lt-LT"/>
        </w:rPr>
      </w:pPr>
    </w:p>
    <w:p w:rsidR="0006444A" w:rsidRDefault="0006444A" w:rsidP="0006444A">
      <w:pPr>
        <w:ind w:firstLine="460"/>
        <w:jc w:val="both"/>
        <w:rPr>
          <w:lang w:eastAsia="lt-LT"/>
        </w:rPr>
      </w:pPr>
    </w:p>
    <w:p w:rsidR="0006444A" w:rsidRPr="009B09CA" w:rsidRDefault="0006444A" w:rsidP="0006444A">
      <w:pPr>
        <w:jc w:val="both"/>
        <w:rPr>
          <w:lang w:eastAsia="lt-LT"/>
        </w:rPr>
      </w:pPr>
      <w:r>
        <w:rPr>
          <w:lang w:eastAsia="lt-LT"/>
        </w:rPr>
        <w:t xml:space="preserve">Direktorė </w:t>
      </w:r>
      <w:r>
        <w:rPr>
          <w:lang w:eastAsia="lt-LT"/>
        </w:rPr>
        <w:tab/>
      </w:r>
      <w:r>
        <w:rPr>
          <w:lang w:eastAsia="lt-LT"/>
        </w:rPr>
        <w:tab/>
      </w:r>
      <w:r>
        <w:rPr>
          <w:lang w:eastAsia="lt-LT"/>
        </w:rPr>
        <w:tab/>
      </w:r>
      <w:r>
        <w:rPr>
          <w:lang w:eastAsia="lt-LT"/>
        </w:rPr>
        <w:tab/>
      </w:r>
      <w:r>
        <w:rPr>
          <w:lang w:eastAsia="lt-LT"/>
        </w:rPr>
        <w:tab/>
      </w:r>
      <w:r>
        <w:rPr>
          <w:lang w:eastAsia="lt-LT"/>
        </w:rPr>
        <w:tab/>
        <w:t xml:space="preserve">   Lygija Virkšienė</w:t>
      </w:r>
    </w:p>
    <w:p w:rsidR="0006444A" w:rsidRDefault="0006444A" w:rsidP="0006444A">
      <w:pPr>
        <w:jc w:val="center"/>
        <w:rPr>
          <w:b/>
          <w:lang w:eastAsia="lt-LT"/>
        </w:rPr>
      </w:pPr>
    </w:p>
    <w:p w:rsidR="0006444A" w:rsidRDefault="0006444A" w:rsidP="0006444A">
      <w:pPr>
        <w:jc w:val="center"/>
        <w:rPr>
          <w:b/>
          <w:lang w:eastAsia="lt-LT"/>
        </w:rPr>
      </w:pPr>
    </w:p>
    <w:p w:rsidR="0006444A" w:rsidRPr="00832CC9" w:rsidRDefault="0006444A" w:rsidP="0006444A">
      <w:pPr>
        <w:jc w:val="both"/>
      </w:pPr>
    </w:p>
    <w:p w:rsidR="00D57F27" w:rsidRPr="00832CC9" w:rsidRDefault="00D57F27" w:rsidP="00C86304">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34139A">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6444A"/>
    <w:rsid w:val="0019615E"/>
    <w:rsid w:val="0034139A"/>
    <w:rsid w:val="0034183E"/>
    <w:rsid w:val="004476DD"/>
    <w:rsid w:val="00597EE8"/>
    <w:rsid w:val="005B434A"/>
    <w:rsid w:val="005F495C"/>
    <w:rsid w:val="00832CC9"/>
    <w:rsid w:val="008354D5"/>
    <w:rsid w:val="008E6E82"/>
    <w:rsid w:val="00AF7D08"/>
    <w:rsid w:val="00B750B6"/>
    <w:rsid w:val="00C57681"/>
    <w:rsid w:val="00C86304"/>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C082"/>
  <w15:docId w15:val="{3DD5001E-C207-4D56-B903-7BF6D8BB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C8630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9124</Words>
  <Characters>5202</Characters>
  <Application>Microsoft Office Word</Application>
  <DocSecurity>4</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2021-05-03T12:55:00Z</dcterms:created>
  <dcterms:modified xsi:type="dcterms:W3CDTF">2021-05-03T12:55:00Z</dcterms:modified>
</cp:coreProperties>
</file>