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T2-133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A7538C" w:rsidRDefault="00A7538C" w:rsidP="00A7538C">
      <w:pPr>
        <w:widowControl w:val="0"/>
        <w:jc w:val="center"/>
        <w:rPr>
          <w:b/>
        </w:rPr>
      </w:pPr>
      <w:r w:rsidRPr="00A424B1">
        <w:rPr>
          <w:b/>
        </w:rPr>
        <w:t xml:space="preserve">BIUDŽETINĖS ĮSTAIGOS </w:t>
      </w:r>
      <w:r>
        <w:rPr>
          <w:b/>
        </w:rPr>
        <w:t>„</w:t>
      </w:r>
      <w:r w:rsidRPr="00A424B1">
        <w:rPr>
          <w:b/>
        </w:rPr>
        <w:t>KLAIPĖDOS PAPLŪDIMIAI</w:t>
      </w:r>
      <w:r>
        <w:rPr>
          <w:b/>
        </w:rPr>
        <w:t>“</w:t>
      </w:r>
      <w:r w:rsidRPr="00A424B1">
        <w:rPr>
          <w:b/>
        </w:rPr>
        <w:t xml:space="preserve"> </w:t>
      </w:r>
    </w:p>
    <w:p w:rsidR="00A7538C" w:rsidRPr="00A424B1" w:rsidRDefault="00A7538C" w:rsidP="00A7538C">
      <w:pPr>
        <w:widowControl w:val="0"/>
        <w:jc w:val="center"/>
        <w:rPr>
          <w:b/>
        </w:rPr>
      </w:pPr>
      <w:r>
        <w:rPr>
          <w:b/>
        </w:rPr>
        <w:t>2020</w:t>
      </w:r>
      <w:r w:rsidRPr="00A424B1">
        <w:rPr>
          <w:b/>
        </w:rPr>
        <w:t xml:space="preserve"> M. VEIKLOS ATASKAITA</w:t>
      </w:r>
    </w:p>
    <w:p w:rsidR="00832CC9" w:rsidRPr="00F72A1E" w:rsidRDefault="00832CC9" w:rsidP="0006079E">
      <w:pPr>
        <w:jc w:val="center"/>
      </w:pPr>
    </w:p>
    <w:p w:rsidR="00A7538C" w:rsidRPr="00A424B1" w:rsidRDefault="00A7538C" w:rsidP="00A7538C">
      <w:pPr>
        <w:widowControl w:val="0"/>
        <w:ind w:firstLine="567"/>
        <w:jc w:val="both"/>
        <w:rPr>
          <w:b/>
        </w:rPr>
      </w:pPr>
      <w:r w:rsidRPr="00A424B1">
        <w:rPr>
          <w:b/>
        </w:rPr>
        <w:t>1. Įstaigos pristatymas</w:t>
      </w:r>
    </w:p>
    <w:p w:rsidR="00A7538C" w:rsidRPr="00F133E8" w:rsidRDefault="00A7538C" w:rsidP="00A7538C">
      <w:pPr>
        <w:widowControl w:val="0"/>
        <w:ind w:firstLine="567"/>
        <w:jc w:val="both"/>
      </w:pPr>
      <w:r w:rsidRPr="00A424B1">
        <w:t xml:space="preserve">1.1. Biudžetinė įstaiga </w:t>
      </w:r>
      <w:r>
        <w:t>„</w:t>
      </w:r>
      <w:r w:rsidRPr="00A424B1">
        <w:t>Klaipėdos paplūdimiai</w:t>
      </w:r>
      <w:r>
        <w:t>“</w:t>
      </w:r>
      <w:r w:rsidRPr="00A424B1">
        <w:t xml:space="preserve"> </w:t>
      </w:r>
      <w:r>
        <w:t xml:space="preserve">(buveinės adresas - </w:t>
      </w:r>
      <w:r w:rsidRPr="00A424B1">
        <w:t>G</w:t>
      </w:r>
      <w:r>
        <w:t xml:space="preserve">aražų </w:t>
      </w:r>
      <w:r w:rsidRPr="00A424B1">
        <w:t xml:space="preserve">g. </w:t>
      </w:r>
      <w:r>
        <w:t>6</w:t>
      </w:r>
      <w:r w:rsidRPr="00A424B1">
        <w:t xml:space="preserve">, Klaipėda, </w:t>
      </w:r>
      <w:r>
        <w:t xml:space="preserve">kontaktinė informacija: </w:t>
      </w:r>
      <w:r w:rsidRPr="00A424B1">
        <w:t xml:space="preserve">tel. </w:t>
      </w:r>
      <w:r>
        <w:t xml:space="preserve">(8-46) </w:t>
      </w:r>
      <w:r w:rsidRPr="00A424B1">
        <w:t>402728,</w:t>
      </w:r>
      <w:r>
        <w:t xml:space="preserve"> el. p.</w:t>
      </w:r>
      <w:r w:rsidRPr="00A424B1">
        <w:t xml:space="preserve"> </w:t>
      </w:r>
      <w:hyperlink r:id="rId7" w:history="1">
        <w:r w:rsidRPr="00387E2C">
          <w:rPr>
            <w:rStyle w:val="Hipersaitas"/>
          </w:rPr>
          <w:t>info@klpp.lt</w:t>
        </w:r>
      </w:hyperlink>
      <w:r>
        <w:t xml:space="preserve">, </w:t>
      </w:r>
      <w:hyperlink r:id="rId8" w:history="1">
        <w:r w:rsidRPr="00387E2C">
          <w:rPr>
            <w:rStyle w:val="Hipersaitas"/>
          </w:rPr>
          <w:t>www.klaipedospapludimiai.lt</w:t>
        </w:r>
      </w:hyperlink>
      <w:r>
        <w:t>)</w:t>
      </w:r>
      <w:r w:rsidRPr="00E707C5">
        <w:t xml:space="preserve"> – įstatymų nustatyta tvarka įsteigta savivaldybės biudžetinė įstaiga, išlaikoma iš </w:t>
      </w:r>
      <w:r>
        <w:t>Klaipėdos miesto savivaldybės biudžeto.</w:t>
      </w:r>
    </w:p>
    <w:p w:rsidR="00A7538C" w:rsidRDefault="00A7538C" w:rsidP="00A7538C">
      <w:pPr>
        <w:widowControl w:val="0"/>
        <w:ind w:firstLine="567"/>
        <w:jc w:val="both"/>
      </w:pPr>
      <w:r w:rsidRPr="00A424B1">
        <w:t xml:space="preserve">1.2. Įstaigos </w:t>
      </w:r>
      <w:r>
        <w:t>vadovas</w:t>
      </w:r>
      <w:r w:rsidRPr="00A424B1">
        <w:t xml:space="preserve"> – </w:t>
      </w:r>
      <w:r>
        <w:t>Oleg Marinič.</w:t>
      </w:r>
    </w:p>
    <w:p w:rsidR="00A7538C" w:rsidRDefault="00A7538C" w:rsidP="00A7538C">
      <w:pPr>
        <w:widowControl w:val="0"/>
        <w:ind w:firstLine="567"/>
        <w:jc w:val="both"/>
      </w:pPr>
      <w:r>
        <w:t>1.3. Darbuotojų ir pareigybių skaičius:</w:t>
      </w:r>
    </w:p>
    <w:p w:rsidR="00A7538C" w:rsidRDefault="00A7538C" w:rsidP="00A7538C">
      <w:pPr>
        <w:widowControl w:val="0"/>
        <w:ind w:firstLine="567"/>
        <w:jc w:val="both"/>
      </w:pPr>
    </w:p>
    <w:p w:rsidR="00A7538C" w:rsidRPr="000420AD" w:rsidRDefault="00DE6222" w:rsidP="00DE6222">
      <w:r>
        <w:t xml:space="preserve">I. </w:t>
      </w:r>
      <w:r w:rsidR="00A7538C">
        <w:t xml:space="preserve"> PAGRINDINIAI DABUOTOJAI: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2166"/>
      </w:tblGrid>
      <w:tr w:rsidR="00A7538C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Eil. </w:t>
            </w:r>
            <w:r w:rsidRPr="00BE3D0C">
              <w:rPr>
                <w:rFonts w:eastAsia="Calibri"/>
              </w:rPr>
              <w:t>Nr.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pavadinimas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lygis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</w:t>
            </w:r>
            <w:r w:rsidRPr="00BE3D0C">
              <w:rPr>
                <w:rFonts w:eastAsia="Calibri"/>
              </w:rPr>
              <w:t xml:space="preserve"> skaičius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Direktorius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Direktoriaus pavaduotojas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2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Specialistai: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 xml:space="preserve">Vyr. specialistas 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Vyr. specialistas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B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Sekretorius-referentas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Budėtojas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Valytojas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5.3.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8,5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5.4.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Pirties kasininkas-kontrolierius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5.5.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Pirties prižiūrėtojas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A7538C" w:rsidRPr="006B6407" w:rsidTr="00BA4497">
        <w:tc>
          <w:tcPr>
            <w:tcW w:w="5070" w:type="dxa"/>
            <w:gridSpan w:val="2"/>
            <w:shd w:val="clear" w:color="auto" w:fill="auto"/>
          </w:tcPr>
          <w:p w:rsidR="00A7538C" w:rsidRPr="00BE3D0C" w:rsidRDefault="00A7538C" w:rsidP="00BA449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22,5</w:t>
            </w:r>
          </w:p>
        </w:tc>
      </w:tr>
    </w:tbl>
    <w:p w:rsidR="00A7538C" w:rsidRDefault="00A7538C" w:rsidP="00A7538C"/>
    <w:p w:rsidR="00A7538C" w:rsidRDefault="00A7538C" w:rsidP="00A7538C">
      <w:r>
        <w:t>II. SEZONINIAI DARBUOTOJAI: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2166"/>
      </w:tblGrid>
      <w:tr w:rsidR="00A7538C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Eil. </w:t>
            </w:r>
            <w:r w:rsidRPr="00BE3D0C">
              <w:rPr>
                <w:rFonts w:eastAsia="Calibri"/>
              </w:rPr>
              <w:t>Nr.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pavadinimas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lygis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</w:t>
            </w:r>
            <w:r w:rsidRPr="00BE3D0C">
              <w:rPr>
                <w:rFonts w:eastAsia="Calibri"/>
              </w:rPr>
              <w:t xml:space="preserve"> skaičius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Vyriausiasis bendrosios praktikos slaugytojas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Bendrosios praktikos slaugytojas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Bendrosios praktikos slaugytojas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Vyriausiasis gelbėtojas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1.5.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Gelbėtojas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1.6.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Laivavedys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1.7.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Narai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1.8.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Vyriausiasis technikas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1.9.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Traktoriaus vairuotojas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403" w:type="dxa"/>
            <w:gridSpan w:val="3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Kasininkas-kontrolierius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2.3.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Tualeto prižiūrėtojas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538C" w:rsidRPr="006B6407" w:rsidTr="00BA4497">
        <w:tc>
          <w:tcPr>
            <w:tcW w:w="5070" w:type="dxa"/>
            <w:gridSpan w:val="2"/>
            <w:shd w:val="clear" w:color="auto" w:fill="auto"/>
          </w:tcPr>
          <w:p w:rsidR="00A7538C" w:rsidRPr="00BE3D0C" w:rsidRDefault="00A7538C" w:rsidP="00BA449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Iš viso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</w:tc>
      </w:tr>
    </w:tbl>
    <w:p w:rsidR="00A7538C" w:rsidRDefault="00A7538C" w:rsidP="00A7538C">
      <w:pPr>
        <w:widowControl w:val="0"/>
      </w:pPr>
    </w:p>
    <w:p w:rsidR="00A7538C" w:rsidRPr="00A424B1" w:rsidRDefault="00A7538C" w:rsidP="00A7538C">
      <w:pPr>
        <w:widowControl w:val="0"/>
        <w:numPr>
          <w:ilvl w:val="1"/>
          <w:numId w:val="2"/>
        </w:numPr>
        <w:tabs>
          <w:tab w:val="left" w:pos="426"/>
        </w:tabs>
        <w:ind w:left="0" w:firstLine="0"/>
      </w:pPr>
      <w:r>
        <w:t>Patikėjimo teise valdomos patalpos:</w:t>
      </w:r>
    </w:p>
    <w:p w:rsidR="00A7538C" w:rsidRPr="00A424B1" w:rsidRDefault="00A7538C" w:rsidP="00A7538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26"/>
      </w:tblGrid>
      <w:tr w:rsidR="00A7538C" w:rsidRPr="00A424B1" w:rsidTr="00BA4497">
        <w:tc>
          <w:tcPr>
            <w:tcW w:w="7196" w:type="dxa"/>
          </w:tcPr>
          <w:p w:rsidR="00A7538C" w:rsidRPr="00A424B1" w:rsidRDefault="00A7538C" w:rsidP="00BA4497">
            <w:pPr>
              <w:widowControl w:val="0"/>
            </w:pPr>
            <w:r>
              <w:t>Pastatai:</w:t>
            </w:r>
          </w:p>
        </w:tc>
        <w:tc>
          <w:tcPr>
            <w:tcW w:w="2126" w:type="dxa"/>
          </w:tcPr>
          <w:p w:rsidR="00A7538C" w:rsidRPr="00A424B1" w:rsidRDefault="00A7538C" w:rsidP="00BA4497">
            <w:pPr>
              <w:widowControl w:val="0"/>
              <w:jc w:val="center"/>
            </w:pPr>
            <w:r w:rsidRPr="00A424B1">
              <w:t>Plotas</w:t>
            </w:r>
            <w:r>
              <w:t>,</w:t>
            </w:r>
            <w:r w:rsidRPr="00A424B1">
              <w:t xml:space="preserve"> </w:t>
            </w:r>
            <w:r>
              <w:t>(kv. m.)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>
              <w:t>Pastatai</w:t>
            </w:r>
            <w:r w:rsidRPr="00FC20DA">
              <w:t xml:space="preserve"> - Garažų g. 6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>
              <w:t>425,21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Gelbėjimo stotis - 2-osios Melnragės g. 12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145,93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Plaukiojimo priemonių elingas – 2-osios Melnragės g. 12,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127,04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Ge</w:t>
            </w:r>
            <w:r>
              <w:t>lbėjimo stotis - Smiltynė g. 15C,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334,89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>
              <w:t>Viešasis tualetas - Kopų g. 1A,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92,62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Viešasis tualetas - Stovyklos g. 4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21,79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Viešasis tualetas – H. Manto g. 81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54,51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>
              <w:t>Kiti statiniai: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</w:p>
        </w:tc>
      </w:tr>
      <w:tr w:rsidR="00A7538C" w:rsidRPr="00A424B1" w:rsidTr="00BA4497">
        <w:tc>
          <w:tcPr>
            <w:tcW w:w="7196" w:type="dxa"/>
          </w:tcPr>
          <w:p w:rsidR="00A7538C" w:rsidRDefault="00A7538C" w:rsidP="00BA4497">
            <w:pPr>
              <w:widowControl w:val="0"/>
            </w:pPr>
            <w:r>
              <w:t>Konteineriniai tualetai, 6 vnt.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</w:p>
        </w:tc>
      </w:tr>
      <w:tr w:rsidR="00A7538C" w:rsidRPr="00A424B1" w:rsidTr="00BA4497">
        <w:tc>
          <w:tcPr>
            <w:tcW w:w="7196" w:type="dxa"/>
          </w:tcPr>
          <w:p w:rsidR="00A7538C" w:rsidRPr="00706D0A" w:rsidRDefault="00A7538C" w:rsidP="00BA4497">
            <w:pPr>
              <w:widowControl w:val="0"/>
            </w:pPr>
            <w:r w:rsidRPr="00706D0A">
              <w:t>Mobilūs paplūdimio gelbėtojų stebėjimo nameliai, 9 vnt.</w:t>
            </w:r>
          </w:p>
        </w:tc>
        <w:tc>
          <w:tcPr>
            <w:tcW w:w="2126" w:type="dxa"/>
          </w:tcPr>
          <w:p w:rsidR="00A7538C" w:rsidRPr="005B3C5C" w:rsidRDefault="00A7538C" w:rsidP="00BA4497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:rsidR="00A7538C" w:rsidRDefault="00A7538C" w:rsidP="00A7538C">
      <w:pPr>
        <w:widowControl w:val="0"/>
        <w:jc w:val="both"/>
      </w:pPr>
    </w:p>
    <w:p w:rsidR="00A7538C" w:rsidRDefault="00A7538C" w:rsidP="00A7538C">
      <w:pPr>
        <w:widowControl w:val="0"/>
        <w:numPr>
          <w:ilvl w:val="1"/>
          <w:numId w:val="2"/>
        </w:numPr>
        <w:tabs>
          <w:tab w:val="left" w:pos="426"/>
        </w:tabs>
        <w:ind w:left="0" w:firstLine="57"/>
        <w:jc w:val="both"/>
      </w:pPr>
      <w:r>
        <w:t xml:space="preserve"> Finansinė informacija:</w:t>
      </w:r>
    </w:p>
    <w:p w:rsidR="00A7538C" w:rsidRDefault="00A7538C" w:rsidP="00A7538C">
      <w:pPr>
        <w:widowControl w:val="0"/>
        <w:tabs>
          <w:tab w:val="left" w:pos="426"/>
        </w:tabs>
        <w:ind w:left="57"/>
        <w:jc w:val="both"/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495"/>
        <w:gridCol w:w="1445"/>
        <w:gridCol w:w="1583"/>
        <w:gridCol w:w="3016"/>
      </w:tblGrid>
      <w:tr w:rsidR="00A7538C" w:rsidTr="00BA4497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center"/>
            </w:pPr>
            <w:r w:rsidRPr="00372A58">
              <w:t>Finansavimo šaltinis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center"/>
            </w:pPr>
            <w:r w:rsidRPr="00372A58">
              <w:t>Lėšos (tūkst. eurų)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Default="00A7538C" w:rsidP="00BA4497">
            <w:pPr>
              <w:jc w:val="both"/>
            </w:pPr>
            <w:r w:rsidRPr="00FD5E33">
              <w:t>Pastabos</w:t>
            </w:r>
          </w:p>
          <w:p w:rsidR="00A7538C" w:rsidRPr="00372A58" w:rsidRDefault="00A7538C" w:rsidP="00BA4497">
            <w:pPr>
              <w:jc w:val="center"/>
            </w:pPr>
          </w:p>
        </w:tc>
      </w:tr>
      <w:tr w:rsidR="00A7538C" w:rsidTr="00BA4497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8C" w:rsidRPr="00372A58" w:rsidRDefault="00A7538C" w:rsidP="00BA4497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BE2239" w:rsidRDefault="00A7538C" w:rsidP="00BA4497">
            <w:pPr>
              <w:rPr>
                <w:sz w:val="22"/>
                <w:szCs w:val="22"/>
              </w:rPr>
            </w:pPr>
            <w:r w:rsidRPr="00BE2239">
              <w:rPr>
                <w:sz w:val="22"/>
                <w:szCs w:val="22"/>
              </w:rPr>
              <w:t>Planas (patikslintas)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Panaudota lėšų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center"/>
            </w:pPr>
            <w:r w:rsidRPr="00372A58">
              <w:t>Įvykdymas (%)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41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Savivaldybės biudžetas (SB)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 xml:space="preserve">990.200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865.250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  <w:r>
              <w:t>87,38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Specialioji tikslinė dotacija (VB)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Įstaigos gautos pajamos (surinkta pajamų SP), iš jų: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29.215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26.507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  <w:r>
              <w:t>90,73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Pajamų išlaidos (SP)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12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Projektų finansavimas (ES; VB;SB)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Kitos lėšos (parama 2 % GM ir kt.)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43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Iš viso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1.019.415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891.757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  <w:r>
              <w:t>87,48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r w:rsidRPr="00372A58">
              <w:t xml:space="preserve">Kreditinis įsiskolinimas </w:t>
            </w:r>
            <w:r>
              <w:t>(pagal visus finansavimo šaltinius) 2021</w:t>
            </w:r>
            <w:r w:rsidRPr="00372A58">
              <w:t xml:space="preserve"> m. sausio 1 d.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2D584F" w:rsidRDefault="00A7538C" w:rsidP="00BA4497">
            <w:pPr>
              <w:rPr>
                <w:sz w:val="20"/>
                <w:szCs w:val="20"/>
              </w:rPr>
            </w:pPr>
            <w:r w:rsidRPr="002D584F">
              <w:rPr>
                <w:sz w:val="20"/>
                <w:szCs w:val="20"/>
              </w:rPr>
              <w:t xml:space="preserve">2155,26 </w:t>
            </w:r>
            <w:r>
              <w:rPr>
                <w:sz w:val="20"/>
                <w:szCs w:val="20"/>
              </w:rPr>
              <w:t>EUR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</w:tbl>
    <w:p w:rsidR="00A7538C" w:rsidRPr="00A424B1" w:rsidRDefault="00A7538C" w:rsidP="00A7538C">
      <w:pPr>
        <w:widowControl w:val="0"/>
        <w:jc w:val="both"/>
        <w:outlineLvl w:val="0"/>
      </w:pPr>
    </w:p>
    <w:p w:rsidR="00A7538C" w:rsidRDefault="00A7538C" w:rsidP="00A7538C">
      <w:pPr>
        <w:widowControl w:val="0"/>
        <w:ind w:firstLine="567"/>
        <w:jc w:val="both"/>
        <w:outlineLvl w:val="0"/>
        <w:rPr>
          <w:b/>
        </w:rPr>
      </w:pPr>
      <w:r w:rsidRPr="00A424B1">
        <w:rPr>
          <w:b/>
        </w:rPr>
        <w:t>2. Įstaigos veiklos rezultatai</w:t>
      </w:r>
    </w:p>
    <w:p w:rsidR="00A7538C" w:rsidRPr="00A424B1" w:rsidRDefault="00A7538C" w:rsidP="00A7538C">
      <w:pPr>
        <w:widowControl w:val="0"/>
        <w:ind w:firstLine="567"/>
        <w:jc w:val="both"/>
        <w:outlineLv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14"/>
      </w:tblGrid>
      <w:tr w:rsidR="00A7538C" w:rsidRPr="001A383D" w:rsidTr="00BA4497">
        <w:trPr>
          <w:trHeight w:val="437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BA4497">
            <w:pPr>
              <w:rPr>
                <w:b/>
              </w:rPr>
            </w:pPr>
            <w:r w:rsidRPr="001A383D">
              <w:rPr>
                <w:b/>
              </w:rPr>
              <w:t xml:space="preserve">1. Tikslas – </w:t>
            </w:r>
            <w:r w:rsidRPr="001A383D">
              <w:t>rūpintis poilsiautojų gyvybių saugumu Klaipėdos miestui priklausančiuose paplūdimiuose.</w:t>
            </w:r>
          </w:p>
        </w:tc>
      </w:tr>
      <w:tr w:rsidR="00A7538C" w:rsidRPr="001A383D" w:rsidTr="00BA4497">
        <w:trPr>
          <w:trHeight w:val="415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visapusišku prevenciniu įstaigos darbu siekti išvengti skaudžių nelaimių.</w:t>
            </w:r>
          </w:p>
        </w:tc>
      </w:tr>
      <w:tr w:rsidR="00A7538C" w:rsidRPr="001A383D" w:rsidTr="00BA4497">
        <w:trPr>
          <w:trHeight w:val="686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569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230"/>
                <w:tab w:val="left" w:pos="567"/>
              </w:tabs>
              <w:ind w:left="0" w:right="62" w:firstLine="0"/>
            </w:pPr>
            <w:r>
              <w:t>Atlikti darbuotojų paiešką, atranką ir apmokymus</w:t>
            </w:r>
            <w:r w:rsidRPr="001A383D">
              <w:t xml:space="preserve"> (gelbėtojai, laivavedžiai, narai, bendrosios praktikos slaugytojai).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Iki sezono pradžios.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Užtikrintas optimalus darbuotojų skaičius pagal sudarytą darbo grafiką.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0"/>
              </w:tabs>
            </w:pPr>
            <w:r w:rsidRPr="001A383D">
              <w:t>1.1.2. Atnaujinti vaizdinę ir garsinę informavimo sistema</w:t>
            </w:r>
            <w:r>
              <w:t>s</w:t>
            </w:r>
            <w:r w:rsidRPr="001A383D"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Iki sezono pradžios.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Parengta vaizdinė ir garsinė poilsiautojų informavimo sistema.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 xml:space="preserve">1.1.3. Teikti įvairiapusišką informaciją </w:t>
            </w:r>
            <w:r>
              <w:t>ir socialinę reklamą.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Visus metus.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>
              <w:t>N</w:t>
            </w:r>
            <w:r w:rsidRPr="001A383D">
              <w:t xml:space="preserve">uolat teikta </w:t>
            </w:r>
            <w:r>
              <w:t>i</w:t>
            </w:r>
            <w:r w:rsidRPr="001A383D">
              <w:t>nformacija masinio informavimo priemonėmis (spauda, televizija, internetas).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1.1.4. Organizuoti edukacines veiklas apie saugų elgesį vandenyje</w:t>
            </w:r>
            <w:r>
              <w:t xml:space="preserve"> ir paplūdimiuose.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 xml:space="preserve">Surengti mokymai apie saugų elgesį vandenyje </w:t>
            </w:r>
            <w:r>
              <w:t xml:space="preserve">ir paplūdimiuose </w:t>
            </w:r>
            <w:r w:rsidRPr="001A383D">
              <w:t>Klaipėdos miesto mokyklų mokiniams, vasaros vaikų stovykloms, 11 vnt.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3"/>
              </w:numPr>
              <w:tabs>
                <w:tab w:val="left" w:pos="567"/>
              </w:tabs>
              <w:ind w:left="0" w:firstLine="0"/>
            </w:pPr>
            <w:r w:rsidRPr="001A383D">
              <w:t>Kelti gelbėtojų kvalifikaciją, tobulinti įgūdžius: organizuoti mokymus viso sezono metu.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2 k. per mėn., 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Rengti mokymai gelbėtojų kvalifikacijai tobulinti, 12 vnt.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3"/>
              </w:numPr>
              <w:tabs>
                <w:tab w:val="left" w:pos="567"/>
              </w:tabs>
              <w:ind w:left="0" w:firstLine="0"/>
            </w:pPr>
            <w:r w:rsidRPr="001A383D">
              <w:t>Atnaujinti gelbėjimo techniką, reikalingą įrangą, ryšio bei paplūdimių susisiekimo priemones, atitinkančias tarptautinius reikalavimus.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Įsigytas pusiau automatinis defibriliatorius</w:t>
            </w:r>
            <w:r>
              <w:t xml:space="preserve"> - 1 vnt., radijo stotys - 11 vnt., žiūronai - 19 vnt., diktofonai - </w:t>
            </w:r>
            <w:r w:rsidRPr="001A383D">
              <w:t>5 vnt.</w:t>
            </w:r>
            <w:r>
              <w:t>, hidrokostiumai -</w:t>
            </w:r>
            <w:r w:rsidRPr="001A383D">
              <w:t xml:space="preserve"> 15</w:t>
            </w:r>
            <w:r>
              <w:t xml:space="preserve"> vnt., vėliavos -</w:t>
            </w:r>
            <w:r w:rsidRPr="001A383D">
              <w:t xml:space="preserve"> 33 vnt.</w:t>
            </w:r>
          </w:p>
        </w:tc>
      </w:tr>
      <w:tr w:rsidR="00A7538C" w:rsidRPr="001A383D" w:rsidTr="00BA4497">
        <w:trPr>
          <w:trHeight w:val="420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modernių technologijų diegimas gelbėjimo darbams.</w:t>
            </w:r>
          </w:p>
        </w:tc>
      </w:tr>
      <w:tr w:rsidR="00A7538C" w:rsidRPr="001A383D" w:rsidTr="00BA4497">
        <w:trPr>
          <w:trHeight w:val="554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 xml:space="preserve"> Išman</w:t>
            </w:r>
            <w:r>
              <w:t>iojo</w:t>
            </w:r>
            <w:r w:rsidRPr="001A383D">
              <w:t xml:space="preserve"> gelbėjimo plaust</w:t>
            </w:r>
            <w:r>
              <w:t>o</w:t>
            </w:r>
            <w:r w:rsidRPr="001A383D">
              <w:t xml:space="preserve"> panaudojimas </w:t>
            </w:r>
            <w:r>
              <w:t>skęstančiųjų gelbėjimui</w:t>
            </w:r>
            <w:r w:rsidRPr="001A383D"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Pagal poreikį, 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3F14A8">
              <w:t xml:space="preserve">Išmanusis gelbėjimo plaustas naudotas gelbėjimo darbams ir </w:t>
            </w:r>
            <w:r w:rsidRPr="009F5636">
              <w:t>pratybose gelbėjimo įgūdžių tobulinimui.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Įsigyti nuotolinio valdymo išmanųjį gelbėjimo plūdurą.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Įsigytas išmanusis gelbėjimo plūduras</w:t>
            </w:r>
            <w:r>
              <w:t>, valdomas nuotoliniu būdu</w:t>
            </w:r>
            <w:r w:rsidRPr="001A383D">
              <w:t>.</w:t>
            </w:r>
          </w:p>
        </w:tc>
      </w:tr>
      <w:tr w:rsidR="00A7538C" w:rsidRPr="001A383D" w:rsidTr="00BA4497"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BA4497">
            <w:r w:rsidRPr="001A383D">
              <w:rPr>
                <w:b/>
              </w:rPr>
              <w:t>1.3.Uždavinys</w:t>
            </w:r>
            <w:r w:rsidRPr="001A383D">
              <w:t xml:space="preserve"> - teikti pirminę, kvalifikuotą medicininę pagalbą.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1.3.1. Teikta pirminė, kvalifikuota medicininė pagalba.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Pirminė medicininė pagalba suteikta 428 poilsiautojams, 25 k. iškviesta GMP.</w:t>
            </w:r>
          </w:p>
        </w:tc>
      </w:tr>
      <w:tr w:rsidR="00A7538C" w:rsidRPr="001A383D" w:rsidTr="00BA4497">
        <w:trPr>
          <w:trHeight w:val="43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0"/>
                <w:numId w:val="4"/>
              </w:numPr>
              <w:tabs>
                <w:tab w:val="left" w:pos="353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Tikslas – </w:t>
            </w:r>
            <w:r w:rsidRPr="001A383D">
              <w:t>vykdyti infrastruktūros vystymą ir paplūdimių priežiūrą pagal „Mėlynosios vėliavos“ paplūdimiams keliamus reikalavimus.</w:t>
            </w:r>
          </w:p>
        </w:tc>
      </w:tr>
      <w:tr w:rsidR="00A7538C" w:rsidRPr="001A383D" w:rsidTr="00BA4497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siekti didesnio paplūdimių patrauklumo neįgaliesiems ir šeimoms, auginančioms vaikus.</w:t>
            </w:r>
          </w:p>
        </w:tc>
      </w:tr>
      <w:tr w:rsidR="00A7538C" w:rsidRPr="001A383D" w:rsidTr="00BA4497">
        <w:trPr>
          <w:trHeight w:val="328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Prižiūrėti, nuolat atnaujinti:</w:t>
            </w:r>
          </w:p>
          <w:p w:rsidR="00A7538C" w:rsidRPr="001A383D" w:rsidRDefault="00A7538C" w:rsidP="00BA4497">
            <w:pPr>
              <w:tabs>
                <w:tab w:val="left" w:pos="567"/>
              </w:tabs>
            </w:pPr>
            <w:r w:rsidRPr="001A383D">
              <w:t xml:space="preserve">- </w:t>
            </w:r>
            <w:r>
              <w:t>takus</w:t>
            </w:r>
            <w:r w:rsidRPr="001A383D">
              <w:t xml:space="preserve">, skirtus neįgaliesiems, </w:t>
            </w:r>
          </w:p>
          <w:p w:rsidR="00A7538C" w:rsidRPr="001A383D" w:rsidRDefault="00A7538C" w:rsidP="00BA4497">
            <w:r w:rsidRPr="001A383D">
              <w:t xml:space="preserve">- sporto aikšteles, </w:t>
            </w:r>
          </w:p>
          <w:p w:rsidR="00A7538C" w:rsidRPr="001A383D" w:rsidRDefault="00A7538C" w:rsidP="00BA4497">
            <w:r w:rsidRPr="001A383D">
              <w:t xml:space="preserve">- muzikines aikšteles, </w:t>
            </w:r>
          </w:p>
          <w:p w:rsidR="00A7538C" w:rsidRDefault="00A7538C" w:rsidP="00BA4497">
            <w:r w:rsidRPr="001A383D">
              <w:t xml:space="preserve">- apžvalgos aikšteles, </w:t>
            </w:r>
          </w:p>
          <w:p w:rsidR="00A7538C" w:rsidRPr="001A383D" w:rsidRDefault="00A7538C" w:rsidP="00BA4497">
            <w:r>
              <w:t>- vaikų žaidimo aikštelę,</w:t>
            </w:r>
          </w:p>
          <w:p w:rsidR="00A7538C" w:rsidRPr="001A383D" w:rsidRDefault="00A7538C" w:rsidP="00BA4497">
            <w:r w:rsidRPr="001A383D">
              <w:t>- užtikrinti reikalingos pagalbos iškvietimą,</w:t>
            </w:r>
            <w:r>
              <w:t xml:space="preserve"> panaudojant multifunkcines viešųjų erdvių stoteles,</w:t>
            </w:r>
            <w:r w:rsidRPr="001A383D">
              <w:t xml:space="preserve">  </w:t>
            </w:r>
          </w:p>
          <w:p w:rsidR="00A7538C" w:rsidRPr="001A383D" w:rsidRDefault="00A7538C" w:rsidP="00BA4497">
            <w:r w:rsidRPr="001A383D">
              <w:t>- teikti asistento paslaugas neįgaliesiems.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 xml:space="preserve"> </w:t>
            </w:r>
          </w:p>
          <w:p w:rsidR="00A7538C" w:rsidRPr="001A383D" w:rsidRDefault="00A7538C" w:rsidP="00BA4497">
            <w:r w:rsidRPr="001A383D">
              <w:t>5 vnt.</w:t>
            </w:r>
          </w:p>
          <w:p w:rsidR="00A7538C" w:rsidRPr="001A383D" w:rsidRDefault="00A7538C" w:rsidP="00BA4497">
            <w:r w:rsidRPr="001A383D">
              <w:t xml:space="preserve">5 vnt. </w:t>
            </w:r>
          </w:p>
          <w:p w:rsidR="00A7538C" w:rsidRPr="001A383D" w:rsidRDefault="00A7538C" w:rsidP="00BA4497">
            <w:r w:rsidRPr="001A383D">
              <w:t xml:space="preserve">2 vnt. </w:t>
            </w:r>
          </w:p>
          <w:p w:rsidR="00A7538C" w:rsidRPr="001A383D" w:rsidRDefault="00A7538C" w:rsidP="00BA4497">
            <w:r w:rsidRPr="001A383D">
              <w:t>3 vnt.</w:t>
            </w:r>
          </w:p>
          <w:p w:rsidR="00A7538C" w:rsidRPr="001A383D" w:rsidRDefault="00A7538C" w:rsidP="00BA4497">
            <w:r>
              <w:t>1 vnt.</w:t>
            </w:r>
          </w:p>
          <w:p w:rsidR="00A7538C" w:rsidRDefault="00A7538C" w:rsidP="00BA4497"/>
          <w:p w:rsidR="00A7538C" w:rsidRDefault="00A7538C" w:rsidP="00BA4497"/>
          <w:p w:rsidR="00A7538C" w:rsidRDefault="00A7538C" w:rsidP="00BA4497"/>
          <w:p w:rsidR="00A7538C" w:rsidRPr="001A383D" w:rsidRDefault="00A7538C" w:rsidP="00BA4497">
            <w:r w:rsidRPr="001A383D">
              <w:t>2 vnt.</w:t>
            </w:r>
          </w:p>
          <w:p w:rsidR="00A7538C" w:rsidRDefault="00A7538C" w:rsidP="00BA4497"/>
          <w:p w:rsidR="00A7538C" w:rsidRPr="001A383D" w:rsidRDefault="00A7538C" w:rsidP="00BA4497">
            <w:r w:rsidRPr="001A383D">
              <w:t>40 neįgaliųjų.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Prižiūrėti, atnaujinti privažiavimai, skirti neįgaliesiems</w:t>
            </w:r>
            <w:r>
              <w:t xml:space="preserve"> -</w:t>
            </w:r>
            <w:r w:rsidRPr="001A383D">
              <w:t xml:space="preserve"> 5 vnt., sporto</w:t>
            </w:r>
            <w:r>
              <w:t xml:space="preserve"> -</w:t>
            </w:r>
            <w:r w:rsidRPr="001A383D">
              <w:t xml:space="preserve"> 5 vnt., muzikinės</w:t>
            </w:r>
            <w:r>
              <w:t xml:space="preserve"> - </w:t>
            </w:r>
            <w:r w:rsidRPr="001A383D">
              <w:t>2 vnt., apžvalgos aikštelės</w:t>
            </w:r>
            <w:r>
              <w:t xml:space="preserve"> - </w:t>
            </w:r>
            <w:r w:rsidRPr="001A383D">
              <w:t>3 vnt</w:t>
            </w:r>
            <w:r w:rsidRPr="003F14A8">
              <w:t>., vaikų žaidimų aikštelė – 1 vnt., užtikrintas reikalingos pagalbos iškvietimas, panaudojant multifunkcines viešųjų erdvių stoteles viso sezono metu – 2 vnt.,  asistento paslauga suteikta 40 neįgaliųjų.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Default="00A7538C" w:rsidP="00BA4497">
            <w:r w:rsidRPr="001A383D">
              <w:t xml:space="preserve">2.1.2. Prižiūrėti paplūdimiuose įrengtus: </w:t>
            </w:r>
          </w:p>
          <w:p w:rsidR="00A7538C" w:rsidRPr="001A383D" w:rsidRDefault="00A7538C" w:rsidP="00BA4497">
            <w:r w:rsidRPr="001A383D">
              <w:t xml:space="preserve">- geriamojo vandens fontanėlius, </w:t>
            </w:r>
          </w:p>
          <w:p w:rsidR="00A7538C" w:rsidRPr="001A383D" w:rsidRDefault="00A7538C" w:rsidP="00BA4497">
            <w:r w:rsidRPr="001A383D">
              <w:t>- dušines.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/>
          <w:p w:rsidR="00A7538C" w:rsidRDefault="00A7538C" w:rsidP="00BA4497"/>
          <w:p w:rsidR="00A7538C" w:rsidRPr="001A383D" w:rsidRDefault="00A7538C" w:rsidP="00BA4497">
            <w:r w:rsidRPr="001A383D">
              <w:t>7 vnt.</w:t>
            </w:r>
          </w:p>
          <w:p w:rsidR="00A7538C" w:rsidRPr="001A383D" w:rsidRDefault="00A7538C" w:rsidP="00BA4497">
            <w:r w:rsidRPr="001A383D">
              <w:t>5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Geriamojo vandens fontanėliai, dušinės prižiūrėtos, esant poreikiui remontuojamos viso sezono metu.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2.1.3. Įsigyti naujas nerūdijančio plieno</w:t>
            </w:r>
            <w:r>
              <w:t xml:space="preserve"> </w:t>
            </w:r>
            <w:r w:rsidRPr="001A383D">
              <w:t>dušines paplūdimiuose.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5 vnt.</w:t>
            </w:r>
          </w:p>
        </w:tc>
        <w:tc>
          <w:tcPr>
            <w:tcW w:w="3714" w:type="dxa"/>
            <w:shd w:val="clear" w:color="auto" w:fill="auto"/>
          </w:tcPr>
          <w:p w:rsidR="00A7538C" w:rsidRPr="00DB4CA7" w:rsidRDefault="00A7538C" w:rsidP="00BA4497">
            <w:r w:rsidRPr="00DB4CA7">
              <w:t xml:space="preserve">Įrengtos </w:t>
            </w:r>
            <w:r w:rsidRPr="003F14A8">
              <w:t>5</w:t>
            </w:r>
            <w:r w:rsidRPr="00DB4CA7">
              <w:t xml:space="preserve"> naujos nerūdijančio plieno dušinės</w:t>
            </w:r>
            <w:r w:rsidRPr="003F14A8">
              <w:t>.</w:t>
            </w:r>
          </w:p>
        </w:tc>
      </w:tr>
      <w:tr w:rsidR="00A7538C" w:rsidRPr="001A383D" w:rsidTr="00BA4497">
        <w:trPr>
          <w:trHeight w:val="55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užtikrinti švarą ir tvarką Klaipėdos miesto paplūdimiuose, Melnragės parko zonoje.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203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Nuolat tvarkomi paplūdimiai ir jų prieigos</w:t>
            </w:r>
            <w:r>
              <w:t>, Smiltynės marių pakrantė</w:t>
            </w:r>
            <w:r w:rsidRPr="001A383D"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Ištisus metus (100 proc.).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Paplūdimiuose užtikrinta optimali švara ir tvarka.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</w:pPr>
            <w:r w:rsidRPr="001A383D">
              <w:t>2.2.2. Vykdomas paplūdimių smėlio viršutinio sluoksnio valymas.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Viso sezono metu (100 proc.)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Paplūdimių smėlis valytas pagal higienos normų reikalavimus.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</w:pPr>
            <w:r w:rsidRPr="001A383D">
              <w:t>2.2.3. Paplūdimiuose atliekami vandens kokybės tyrimai.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10 vnt. per sezoną.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Sezono metu atlikta 13 vnt. vandens tyrimų.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2.2.4. Teikti kokybiškas viešųjų tualetų paslaug</w:t>
            </w:r>
            <w:r>
              <w:t>as poilsiautojams paplūdimiuose ir miesto Poilsio parke,</w:t>
            </w:r>
            <w:r w:rsidRPr="001A383D">
              <w:t xml:space="preserve"> siekiant maksimaliai patenkinti jų poreikius.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Melnragė-Giruliai – 5</w:t>
            </w:r>
            <w:r w:rsidRPr="001A383D">
              <w:t xml:space="preserve"> vnt.</w:t>
            </w:r>
          </w:p>
          <w:p w:rsidR="00A7538C" w:rsidRDefault="00A7538C" w:rsidP="00BA4497">
            <w:r>
              <w:t>Smiltynė – 3</w:t>
            </w:r>
            <w:r w:rsidRPr="001A383D">
              <w:t xml:space="preserve"> vnt.</w:t>
            </w:r>
          </w:p>
          <w:p w:rsidR="00A7538C" w:rsidRPr="001A383D" w:rsidRDefault="00A7538C" w:rsidP="00BA4497">
            <w:r>
              <w:t>Poilsio parkas – 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Optimaliai patenkinti poilsiautojų poreikiai.</w:t>
            </w:r>
          </w:p>
          <w:p w:rsidR="00A7538C" w:rsidRPr="001A383D" w:rsidRDefault="00A7538C" w:rsidP="00BA4497">
            <w:r w:rsidRPr="001A383D">
              <w:t xml:space="preserve">Gautos pajamos (viešasis tualetas Kopų g.1A – </w:t>
            </w:r>
            <w:r w:rsidRPr="00C7321B">
              <w:rPr>
                <w:color w:val="222222"/>
                <w:shd w:val="clear" w:color="auto" w:fill="FFFFFF"/>
              </w:rPr>
              <w:t>6189,30</w:t>
            </w:r>
            <w:r w:rsidRPr="001A383D">
              <w:t xml:space="preserve"> eur.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2.2.5. Teikti kokybiškas pirties paslaugas poilsiautojams paplūdimiuose, siekiant maksimaliai patenkinti jų poreikius.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Smiltynės pirtis – 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Gautos pajamos – 16000 eur. Karantino laikotarpiu nuo kovo 13 d. iki birželio 11 d., nuo lapkričio 7 d. iki gruodžio 31 d. pirtis buvo uždaryta.</w:t>
            </w:r>
          </w:p>
        </w:tc>
      </w:tr>
      <w:tr w:rsidR="00A7538C" w:rsidRPr="001A383D" w:rsidTr="00BA4497">
        <w:trPr>
          <w:trHeight w:val="55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garantuoti saugų poilsiautojų judėjimą bei apsaugoti kopas nuo neigiamos žmogaus veiklos įtakos.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203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Prižiūrėti ir atnaujinti medinius takus ir laiptus paplūdimiuose.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1400 m</w:t>
            </w:r>
            <w:r w:rsidRPr="003F14A8">
              <w:rPr>
                <w:vertAlign w:val="superscript"/>
              </w:rPr>
              <w:t>2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Įrengta 2208,88 m</w:t>
            </w:r>
            <w:r w:rsidRPr="003F14A8">
              <w:rPr>
                <w:vertAlign w:val="superscript"/>
              </w:rPr>
              <w:t>2</w:t>
            </w:r>
            <w:r w:rsidRPr="001A383D">
              <w:t xml:space="preserve"> naujų medinių takų ir 143,45 m</w:t>
            </w:r>
            <w:r w:rsidRPr="003F14A8">
              <w:rPr>
                <w:vertAlign w:val="superscript"/>
              </w:rPr>
              <w:t>2</w:t>
            </w:r>
            <w:r w:rsidRPr="001A383D">
              <w:t xml:space="preserve"> naujų medinių laiptų Melnragės-Girulių poilsio zonoje.</w:t>
            </w:r>
          </w:p>
        </w:tc>
      </w:tr>
      <w:tr w:rsidR="00A7538C" w:rsidRPr="001A383D" w:rsidTr="00BA4497">
        <w:trPr>
          <w:trHeight w:val="43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0"/>
                <w:numId w:val="4"/>
              </w:numPr>
              <w:tabs>
                <w:tab w:val="left" w:pos="353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Tikslas – </w:t>
            </w:r>
            <w:r w:rsidRPr="001A383D">
              <w:t>užtikrinti saugią ir patrauklią laivybą Danės upėje.</w:t>
            </w:r>
          </w:p>
        </w:tc>
      </w:tr>
      <w:tr w:rsidR="00A7538C" w:rsidRPr="001A383D" w:rsidTr="00BA4497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360"/>
              </w:tabs>
              <w:ind w:left="0" w:firstLine="0"/>
            </w:pPr>
            <w:r w:rsidRPr="001A383D">
              <w:rPr>
                <w:b/>
              </w:rPr>
              <w:t xml:space="preserve"> Uždavinys – </w:t>
            </w:r>
            <w:r w:rsidRPr="001A383D">
              <w:t>siekti išvengti nelaimingų atsitikimų ir laivybos incidentų Danės upėje.</w:t>
            </w:r>
          </w:p>
        </w:tc>
      </w:tr>
      <w:tr w:rsidR="00A7538C" w:rsidRPr="001A383D" w:rsidTr="00BA4497">
        <w:trPr>
          <w:trHeight w:val="328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 w:rsidRPr="001A383D">
              <w:rPr>
                <w:rFonts w:eastAsia="SimSun"/>
                <w:kern w:val="3"/>
                <w:lang w:eastAsia="en-GB"/>
              </w:rPr>
              <w:t xml:space="preserve">Prižiūrėti ir atnaujinti </w:t>
            </w:r>
            <w:r>
              <w:rPr>
                <w:rFonts w:eastAsia="SimSun"/>
                <w:kern w:val="3"/>
                <w:lang w:eastAsia="en-GB"/>
              </w:rPr>
              <w:t xml:space="preserve">vandens lygio liniuotę, </w:t>
            </w:r>
            <w:r w:rsidRPr="001A383D">
              <w:rPr>
                <w:rFonts w:eastAsia="SimSun"/>
                <w:kern w:val="3"/>
                <w:lang w:eastAsia="en-GB"/>
              </w:rPr>
              <w:t>navigacinius ženklus ir žiburius.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Default="00A7538C" w:rsidP="00BA4497">
            <w:r>
              <w:t xml:space="preserve">2020 m. atnaujinta Danės upės ženklinimo schema. </w:t>
            </w:r>
          </w:p>
          <w:p w:rsidR="00A7538C" w:rsidRDefault="00A7538C" w:rsidP="00BA4497">
            <w:r>
              <w:t>Pagaminti ir pakabinti nauji ženklai.</w:t>
            </w:r>
          </w:p>
          <w:p w:rsidR="00A7538C" w:rsidRPr="001A383D" w:rsidRDefault="00A7538C" w:rsidP="00BA4497">
            <w:r>
              <w:t>Atnaujinta vandens lygio liniuotės gradacijos skalė.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5B5D9B" w:rsidRDefault="00A7538C" w:rsidP="00A7538C">
            <w:pPr>
              <w:numPr>
                <w:ilvl w:val="2"/>
                <w:numId w:val="4"/>
              </w:numPr>
              <w:tabs>
                <w:tab w:val="left" w:pos="709"/>
              </w:tabs>
              <w:ind w:left="0" w:firstLine="0"/>
              <w:rPr>
                <w:rFonts w:eastAsia="SimSun" w:cs="Mangal"/>
                <w:kern w:val="3"/>
                <w:lang w:eastAsia="en-GB"/>
              </w:rPr>
            </w:pPr>
            <w:r w:rsidRPr="001A383D">
              <w:rPr>
                <w:rFonts w:eastAsia="SimSun" w:cs="Mangal"/>
                <w:kern w:val="3"/>
                <w:lang w:eastAsia="en-GB"/>
              </w:rPr>
              <w:t xml:space="preserve">Prižiūrėti gelbėjimosi ratus </w:t>
            </w:r>
            <w:r>
              <w:rPr>
                <w:rFonts w:eastAsia="SimSun" w:cs="Mangal"/>
                <w:kern w:val="3"/>
                <w:lang w:eastAsia="en-GB"/>
              </w:rPr>
              <w:t xml:space="preserve">Danės </w:t>
            </w:r>
            <w:r w:rsidRPr="001A383D">
              <w:rPr>
                <w:rFonts w:eastAsia="SimSun" w:cs="Mangal"/>
                <w:kern w:val="3"/>
                <w:lang w:eastAsia="en-GB"/>
              </w:rPr>
              <w:t>upės krantinėse</w:t>
            </w:r>
            <w:r>
              <w:rPr>
                <w:rFonts w:eastAsia="SimSun" w:cs="Mangal"/>
                <w:kern w:val="3"/>
                <w:lang w:eastAsia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12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>
              <w:t>Pagal poreikį pakeistos gelbėjimosi ratų virvės, dingęs ratas pakeistas nauju.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AC6BFE" w:rsidRDefault="00A7538C" w:rsidP="00A7538C">
            <w:pPr>
              <w:numPr>
                <w:ilvl w:val="2"/>
                <w:numId w:val="4"/>
              </w:numPr>
              <w:tabs>
                <w:tab w:val="left" w:pos="709"/>
              </w:tabs>
              <w:ind w:left="0" w:firstLine="0"/>
              <w:rPr>
                <w:rFonts w:eastAsia="SimSun" w:cs="Mangal"/>
                <w:kern w:val="3"/>
                <w:lang w:eastAsia="en-GB"/>
              </w:rPr>
            </w:pPr>
            <w:r w:rsidRPr="001A383D">
              <w:rPr>
                <w:rFonts w:eastAsia="SimSun" w:cs="Mangal"/>
                <w:kern w:val="3"/>
                <w:lang w:eastAsia="en-GB"/>
              </w:rPr>
              <w:t>Užtikrinti gelbėtojų budėjimą renginių upėje ir prie jos metu, pagal poreikį.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>
              <w:t>8 budėjimai.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  <w:rPr>
                <w:rFonts w:eastAsia="SimSun" w:cs="Mangal"/>
                <w:kern w:val="3"/>
                <w:lang w:eastAsia="en-GB"/>
              </w:rPr>
            </w:pPr>
            <w:r>
              <w:rPr>
                <w:rFonts w:eastAsia="SimSun" w:cs="Mangal"/>
                <w:kern w:val="3"/>
                <w:lang w:eastAsia="en-GB"/>
              </w:rPr>
              <w:t>Inicijuoti krantinių techninės būklės patikrą.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r>
              <w:t>1 k/metus</w:t>
            </w:r>
          </w:p>
        </w:tc>
        <w:tc>
          <w:tcPr>
            <w:tcW w:w="3714" w:type="dxa"/>
            <w:shd w:val="clear" w:color="auto" w:fill="auto"/>
          </w:tcPr>
          <w:p w:rsidR="00A7538C" w:rsidRDefault="00A7538C" w:rsidP="00BA4497">
            <w:r>
              <w:t>Atliktas krantinių patikrinimas dalyvaujant Klaipėdos miesto savivaldybės administracijos ir UAB „Pilies uostas“ atstovams.</w:t>
            </w:r>
          </w:p>
        </w:tc>
      </w:tr>
      <w:tr w:rsidR="00A7538C" w:rsidRPr="001A383D" w:rsidTr="00BA4497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5B5D9B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1A383D">
              <w:rPr>
                <w:b/>
              </w:rPr>
              <w:t xml:space="preserve">Uždavinys – </w:t>
            </w:r>
            <w:r>
              <w:rPr>
                <w:sz w:val="22"/>
                <w:szCs w:val="22"/>
              </w:rPr>
              <w:t>skatinti laivybą ir vandens turizmą Danės upėje.</w:t>
            </w:r>
          </w:p>
        </w:tc>
      </w:tr>
      <w:tr w:rsidR="00A7538C" w:rsidRPr="001A383D" w:rsidTr="00BA4497">
        <w:trPr>
          <w:trHeight w:val="328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>
              <w:t>Optimalaus valdymo metodo parinkimas vietinės reikšmės vidaus vandenų kelio įveiklinimui.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5B5D9B">
              <w:t>Parengta Danės upės ir krantinių valdymo modelio parinkimo galimybių studija.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>
              <w:t>Koordinaciniai darbai kuriant Klaipėdos miesto savivaldybės tinklalapio vietinės reikšmės vidaus vandenų kelio puslapį.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r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Pr="005B5D9B" w:rsidRDefault="00A7538C" w:rsidP="00BA4497">
            <w:r>
              <w:t>Sukurta puslapio stilistika ir pateikta informacija viešinimui.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>
              <w:t>Inicijuotas Pilies tilto kėlimas pagal grafiką.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r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Default="00A7538C" w:rsidP="00BA4497">
            <w:r>
              <w:t>Atnaujintas Pilies tilto kėlimo grafikas.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3F14A8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 w:rsidRPr="00DB4CA7">
              <w:t>Pramoginių laivų švartavimosi vietų</w:t>
            </w:r>
            <w:r w:rsidRPr="003F14A8">
              <w:t xml:space="preserve"> tarp Pilies ir Biržos tiltų įrengimas.</w:t>
            </w:r>
          </w:p>
        </w:tc>
        <w:tc>
          <w:tcPr>
            <w:tcW w:w="2126" w:type="dxa"/>
            <w:shd w:val="clear" w:color="auto" w:fill="auto"/>
          </w:tcPr>
          <w:p w:rsidR="00A7538C" w:rsidRPr="003F14A8" w:rsidRDefault="00A7538C" w:rsidP="00BA4497">
            <w:r w:rsidRPr="003F14A8">
              <w:t>19 vnt.</w:t>
            </w:r>
          </w:p>
        </w:tc>
        <w:tc>
          <w:tcPr>
            <w:tcW w:w="3714" w:type="dxa"/>
            <w:shd w:val="clear" w:color="auto" w:fill="auto"/>
          </w:tcPr>
          <w:p w:rsidR="00A7538C" w:rsidRPr="003F14A8" w:rsidRDefault="00A7538C" w:rsidP="00BA4497">
            <w:r>
              <w:t xml:space="preserve">Navigacinio sezono metu </w:t>
            </w:r>
            <w:r w:rsidRPr="00DB4CA7">
              <w:t>į</w:t>
            </w:r>
            <w:r w:rsidRPr="003F14A8">
              <w:t xml:space="preserve">rengtos švartavimosi vietos: 19 vnt. pontonų. </w:t>
            </w:r>
          </w:p>
          <w:p w:rsidR="00A7538C" w:rsidRPr="003F14A8" w:rsidRDefault="00A7538C" w:rsidP="00BA4497">
            <w:r w:rsidRPr="003F14A8">
              <w:t>Vykdyta t</w:t>
            </w:r>
            <w:r w:rsidRPr="00DB4CA7">
              <w:t>echninė pontonų priežiūra.</w:t>
            </w:r>
          </w:p>
        </w:tc>
      </w:tr>
    </w:tbl>
    <w:p w:rsidR="00A7538C" w:rsidRDefault="00A7538C" w:rsidP="00A7538C">
      <w:pPr>
        <w:spacing w:line="276" w:lineRule="auto"/>
        <w:jc w:val="both"/>
        <w:rPr>
          <w:rFonts w:eastAsia="SimSun"/>
          <w:kern w:val="3"/>
        </w:rPr>
      </w:pPr>
    </w:p>
    <w:p w:rsidR="00A7538C" w:rsidRDefault="00A7538C" w:rsidP="00A7538C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2020 m. BĮ „Klaipėdos paplūdimiai“ iš sutaupytų lėšų atliko šiuos papildomus darbus: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Smiltynės gelbėjimo stotyje įrengta priešgaisrinė signalizacija, atlikti </w:t>
      </w:r>
      <w:r w:rsidRPr="007E55FC">
        <w:rPr>
          <w:rFonts w:eastAsia="SimSun"/>
          <w:kern w:val="3"/>
        </w:rPr>
        <w:t>žaibosaugos įžemintuvo į</w:t>
      </w:r>
      <w:r>
        <w:rPr>
          <w:rFonts w:eastAsia="SimSun"/>
          <w:kern w:val="3"/>
        </w:rPr>
        <w:t>žeminimo varžos matavimo darbai, elektros instaliacijos remontas;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2-osios Melnragės gelbėjimo stotyje atliktas elektros instaliacijos ir vidaus patalpų remontas, </w:t>
      </w:r>
      <w:r w:rsidRPr="007E55FC">
        <w:rPr>
          <w:rFonts w:eastAsia="SimSun"/>
          <w:kern w:val="3"/>
        </w:rPr>
        <w:t>žaibosaugos įžemintuvo į</w:t>
      </w:r>
      <w:r>
        <w:rPr>
          <w:rFonts w:eastAsia="SimSun"/>
          <w:kern w:val="3"/>
        </w:rPr>
        <w:t>žeminimo varžos matavimo darbai;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atlikti didelės apimties paplūdimių infrastruktūros atstatymo darbai likviduojant audros padarinius </w:t>
      </w:r>
      <w:r w:rsidRPr="00BF2409">
        <w:rPr>
          <w:rFonts w:eastAsia="SimSun"/>
          <w:kern w:val="3"/>
        </w:rPr>
        <w:t>(medinės pakylos II</w:t>
      </w:r>
      <w:r>
        <w:rPr>
          <w:rFonts w:eastAsia="SimSun"/>
          <w:kern w:val="3"/>
        </w:rPr>
        <w:t>-osios Melnragės paplūdimyje,</w:t>
      </w:r>
      <w:r w:rsidRPr="00BF2409">
        <w:rPr>
          <w:rFonts w:eastAsia="SimSun"/>
          <w:kern w:val="3"/>
        </w:rPr>
        <w:t xml:space="preserve"> neįgali</w:t>
      </w:r>
      <w:r>
        <w:rPr>
          <w:rFonts w:eastAsia="SimSun"/>
          <w:kern w:val="3"/>
        </w:rPr>
        <w:t>ųjų nuvažiavimų takų</w:t>
      </w:r>
      <w:r w:rsidRPr="00BF2409">
        <w:rPr>
          <w:rFonts w:eastAsia="SimSun"/>
          <w:kern w:val="3"/>
        </w:rPr>
        <w:t xml:space="preserve"> </w:t>
      </w:r>
      <w:r>
        <w:rPr>
          <w:rFonts w:eastAsia="SimSun"/>
          <w:kern w:val="3"/>
        </w:rPr>
        <w:t>ir vamzdynų paplūdimiuose</w:t>
      </w:r>
      <w:r w:rsidRPr="00BF2409">
        <w:rPr>
          <w:rFonts w:eastAsia="SimSun"/>
          <w:kern w:val="3"/>
        </w:rPr>
        <w:t xml:space="preserve"> remonto darbai)</w:t>
      </w:r>
      <w:r>
        <w:rPr>
          <w:rFonts w:eastAsia="SimSun"/>
          <w:kern w:val="3"/>
        </w:rPr>
        <w:t>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atliktas katerio, naudojamo gelbėjimo darbams, kapitalinis remontas (pagamintas naujas tentas, atnaujintas katerio korpusas, atliktas kapitalinis variklio remontas, pakeista elektros instaliacija);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įdiegta įstaigos tarnybinio transporto GPS kontrolės sistema.</w:t>
      </w:r>
    </w:p>
    <w:p w:rsidR="00A7538C" w:rsidRDefault="00A7538C" w:rsidP="00A7538C">
      <w:pPr>
        <w:tabs>
          <w:tab w:val="left" w:pos="851"/>
        </w:tabs>
        <w:spacing w:line="276" w:lineRule="auto"/>
        <w:ind w:left="567"/>
        <w:jc w:val="both"/>
        <w:rPr>
          <w:rFonts w:eastAsia="SimSun"/>
          <w:kern w:val="3"/>
        </w:rPr>
      </w:pPr>
    </w:p>
    <w:p w:rsidR="00A7538C" w:rsidRDefault="00A7538C" w:rsidP="00A7538C">
      <w:pPr>
        <w:tabs>
          <w:tab w:val="left" w:pos="851"/>
        </w:tabs>
        <w:spacing w:line="276" w:lineRule="auto"/>
        <w:ind w:left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2020 m. įstaiga iš sutaupytų lėšų įsigijo papildomą ūkinį inventorių: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įsigytas stacionarus lyno suktukas (gervė) vandens technikos nuleidimui/ištraukimui į/iš jūros;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 mobili kuro kolonėlė, kuro transportavimui ir kuro sąnaudų kontrolei (vandens motociklams ir keturračiams);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įsigytas biuro daugiafunkcinis kopijavimo aparatas.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</w:t>
      </w:r>
      <w:r w:rsidRPr="007E55FC">
        <w:rPr>
          <w:rFonts w:eastAsia="SimSun"/>
          <w:kern w:val="3"/>
        </w:rPr>
        <w:t>sigytos asmeninės apsaugos ir dezinfekcinės priemonės, siekiant užtikrinti sveikatos saugos reikalavimus ka</w:t>
      </w:r>
      <w:r>
        <w:rPr>
          <w:rFonts w:eastAsia="SimSun"/>
          <w:kern w:val="3"/>
        </w:rPr>
        <w:t>rantino metu.</w:t>
      </w:r>
    </w:p>
    <w:p w:rsidR="00A7538C" w:rsidRPr="00E2417B" w:rsidRDefault="00A7538C" w:rsidP="00E2417B">
      <w:pPr>
        <w:tabs>
          <w:tab w:val="left" w:pos="851"/>
        </w:tabs>
        <w:spacing w:line="276" w:lineRule="auto"/>
        <w:ind w:firstLine="567"/>
        <w:jc w:val="both"/>
        <w:rPr>
          <w:rFonts w:eastAsia="SimSun"/>
          <w:kern w:val="3"/>
        </w:rPr>
      </w:pPr>
      <w:r w:rsidRPr="007E55FC">
        <w:rPr>
          <w:rFonts w:eastAsia="SimSun"/>
          <w:kern w:val="3"/>
        </w:rPr>
        <w:t>2020 m. BĮ „Klaipėdos paplūdimiai” pradėjo</w:t>
      </w:r>
      <w:r>
        <w:rPr>
          <w:rFonts w:eastAsia="SimSun"/>
          <w:kern w:val="3"/>
        </w:rPr>
        <w:t xml:space="preserve"> eksploatuoti ir</w:t>
      </w:r>
      <w:r w:rsidRPr="007E55FC">
        <w:rPr>
          <w:rFonts w:eastAsia="SimSun"/>
          <w:kern w:val="3"/>
        </w:rPr>
        <w:t xml:space="preserve"> prižiūrėti konteinerinį tualetą, esantį Smiltynės g. 33, Klaipėda. Iš įstaigos neplaninių lėšų viešasis tualetas sezono metu buvo aprūpinamas vandeniu, organizuotas nuotekų išvežimas. </w:t>
      </w:r>
    </w:p>
    <w:p w:rsidR="00A7538C" w:rsidRPr="00575C7E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5C7E">
        <w:rPr>
          <w:rFonts w:ascii="Times New Roman" w:hAnsi="Times New Roman"/>
          <w:b/>
          <w:sz w:val="24"/>
          <w:szCs w:val="24"/>
          <w:lang w:val="lt-LT"/>
        </w:rPr>
        <w:t>3</w:t>
      </w:r>
      <w:r w:rsidRPr="00575C7E">
        <w:rPr>
          <w:rFonts w:ascii="Times New Roman" w:hAnsi="Times New Roman" w:cs="Times New Roman"/>
          <w:b/>
          <w:sz w:val="24"/>
          <w:szCs w:val="24"/>
          <w:lang w:val="lt-LT"/>
        </w:rPr>
        <w:t>. Atlikti patikrinimai, auditai. Tikrinusių institucijų išvados.</w:t>
      </w:r>
    </w:p>
    <w:p w:rsidR="00A7538C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A2CFE">
        <w:rPr>
          <w:rFonts w:ascii="Times New Roman" w:hAnsi="Times New Roman" w:cs="Times New Roman"/>
          <w:sz w:val="24"/>
          <w:szCs w:val="24"/>
          <w:lang w:val="lt-LT"/>
        </w:rPr>
        <w:t xml:space="preserve">3.1. </w:t>
      </w:r>
      <w:r w:rsidRPr="000A2C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DI </w:t>
      </w:r>
      <w:r w:rsidRPr="000A2C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 teritorinio skyriaus pa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tikrinimas</w:t>
      </w:r>
      <w:r w:rsidRPr="000A2C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</w:p>
    <w:p w:rsidR="00A7538C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Pateiktos rekomendacijos įvykdytos</w:t>
      </w:r>
      <w:r w:rsidRPr="003F14A8"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lt-LT"/>
        </w:rPr>
        <w:t xml:space="preserve">: </w:t>
      </w:r>
      <w:r w:rsidRPr="003F14A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įsigytas stacionarus lyno suktukas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, atliktas profesinės rizikos vertinimas.</w:t>
      </w:r>
    </w:p>
    <w:p w:rsidR="00A7538C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3.2. Planiniai priešgaisrinės saugos patikrinimai (2-osios Melnragės ir Smiltynės gelbėjimo stotyse).</w:t>
      </w:r>
    </w:p>
    <w:p w:rsidR="00A7538C" w:rsidRPr="00E70606" w:rsidRDefault="00A7538C" w:rsidP="00E2417B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Trūkumų nerasta.</w:t>
      </w:r>
    </w:p>
    <w:p w:rsidR="00A7538C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</w:t>
      </w:r>
      <w:r w:rsidRPr="005E66CD">
        <w:rPr>
          <w:rFonts w:ascii="Times New Roman" w:hAnsi="Times New Roman"/>
          <w:b/>
          <w:sz w:val="24"/>
          <w:szCs w:val="24"/>
          <w:lang w:val="lt-LT"/>
        </w:rPr>
        <w:t>. Problemos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(sąlygotos vidaus ir išorės faktorių).</w:t>
      </w:r>
    </w:p>
    <w:p w:rsidR="00A7538C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 xml:space="preserve">Neigiamos įtakos įstaigos darbo kokybei turi maži </w:t>
      </w:r>
      <w:r w:rsidR="00EA525E">
        <w:rPr>
          <w:rFonts w:ascii="Times New Roman" w:hAnsi="Times New Roman"/>
          <w:sz w:val="24"/>
          <w:szCs w:val="24"/>
          <w:lang w:val="lt-LT"/>
        </w:rPr>
        <w:t>pagalbinių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D6878">
        <w:rPr>
          <w:rFonts w:ascii="Times New Roman" w:hAnsi="Times New Roman"/>
          <w:sz w:val="24"/>
          <w:szCs w:val="24"/>
          <w:lang w:val="lt-LT"/>
        </w:rPr>
        <w:t>darbuotojų atlyginimai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9D6878">
        <w:rPr>
          <w:rFonts w:ascii="Times New Roman" w:hAnsi="Times New Roman"/>
          <w:sz w:val="24"/>
          <w:szCs w:val="24"/>
          <w:lang w:val="lt-LT"/>
        </w:rPr>
        <w:t>darbo sezoniškumas</w:t>
      </w:r>
      <w:r>
        <w:rPr>
          <w:rFonts w:ascii="Times New Roman" w:hAnsi="Times New Roman"/>
          <w:sz w:val="24"/>
          <w:szCs w:val="24"/>
          <w:lang w:val="lt-LT"/>
        </w:rPr>
        <w:t xml:space="preserve"> bei jo specifika.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Sudėtinga situacija </w:t>
      </w:r>
      <w:r w:rsidR="00D1057F">
        <w:rPr>
          <w:rFonts w:ascii="Times New Roman" w:hAnsi="Times New Roman"/>
          <w:sz w:val="24"/>
          <w:szCs w:val="24"/>
          <w:lang w:val="lt-LT"/>
        </w:rPr>
        <w:t>pagalbinių</w:t>
      </w:r>
      <w:r>
        <w:rPr>
          <w:rFonts w:ascii="Times New Roman" w:hAnsi="Times New Roman"/>
          <w:sz w:val="24"/>
          <w:szCs w:val="24"/>
          <w:lang w:val="lt-LT"/>
        </w:rPr>
        <w:t xml:space="preserve"> darbuotojų paieškoje specifiniams viešųjų tualetų priežiūros darbams.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Dalis į</w:t>
      </w:r>
      <w:r w:rsidRPr="009D6878">
        <w:rPr>
          <w:rFonts w:ascii="Times New Roman" w:hAnsi="Times New Roman"/>
          <w:sz w:val="24"/>
          <w:szCs w:val="24"/>
          <w:lang w:val="lt-LT"/>
        </w:rPr>
        <w:t>staigos turimų vandens ir sausumos transporto priemonių yra te</w:t>
      </w:r>
      <w:r>
        <w:rPr>
          <w:rFonts w:ascii="Times New Roman" w:hAnsi="Times New Roman"/>
          <w:sz w:val="24"/>
          <w:szCs w:val="24"/>
          <w:lang w:val="lt-LT"/>
        </w:rPr>
        <w:t>chniškai nusidėvėjusios, todėl į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staiga nemažą dalį gautų lėšų skiria jų remontui. Siekiant sumažinti remonto išlaidas, Įstaiga planuoja </w:t>
      </w:r>
      <w:r>
        <w:rPr>
          <w:rFonts w:ascii="Times New Roman" w:hAnsi="Times New Roman"/>
          <w:sz w:val="24"/>
          <w:szCs w:val="24"/>
          <w:lang w:val="lt-LT"/>
        </w:rPr>
        <w:t xml:space="preserve">nurašyti senas ir neefektyvias transporto priemones; 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įsigyti </w:t>
      </w:r>
      <w:r>
        <w:rPr>
          <w:rFonts w:ascii="Times New Roman" w:hAnsi="Times New Roman"/>
          <w:sz w:val="24"/>
          <w:szCs w:val="24"/>
          <w:lang w:val="lt-LT"/>
        </w:rPr>
        <w:t>naujas</w:t>
      </w:r>
      <w:r w:rsidRPr="009D6878">
        <w:rPr>
          <w:rFonts w:ascii="Times New Roman" w:hAnsi="Times New Roman"/>
          <w:sz w:val="24"/>
          <w:szCs w:val="24"/>
          <w:lang w:val="lt-LT"/>
        </w:rPr>
        <w:t>, kurios užtikrintų ekonomišką gautų lėšų naudojimą bei padėtų siekti užsibrėžtų tikslų.</w:t>
      </w:r>
    </w:p>
    <w:p w:rsidR="00A7538C" w:rsidRPr="009D6878" w:rsidRDefault="00A7538C" w:rsidP="00E2417B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Sumažintas įstaigos finansavimas tampa kli</w:t>
      </w:r>
      <w:r>
        <w:rPr>
          <w:rFonts w:ascii="Times New Roman" w:hAnsi="Times New Roman"/>
          <w:sz w:val="24"/>
          <w:szCs w:val="24"/>
          <w:lang w:val="lt-LT"/>
        </w:rPr>
        <w:t>ūtimi įgyvendinant naujus projektus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paplūdimiuose.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D6878">
        <w:rPr>
          <w:rFonts w:ascii="Times New Roman" w:hAnsi="Times New Roman"/>
          <w:b/>
          <w:sz w:val="24"/>
          <w:szCs w:val="24"/>
          <w:lang w:val="lt-LT"/>
        </w:rPr>
        <w:t>5. Kitų metų veiklos prioritetai, tikslai ar kryptys.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5.1. Rūpintis poilsiautojų gyvybių saugumu Klaipėdos miestui priklausančiuose paplūdimiuose.</w:t>
      </w:r>
    </w:p>
    <w:p w:rsidR="00A7538C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5.2. Siekti paplūdimių kokybės pagal tarptautinius reikalavimus, atitinkančius Mėlynosios vėliavos normatyvus.</w:t>
      </w:r>
    </w:p>
    <w:p w:rsidR="00A7538C" w:rsidRPr="009D6878" w:rsidRDefault="00A7538C" w:rsidP="00A7538C">
      <w:pPr>
        <w:ind w:firstLine="567"/>
      </w:pPr>
      <w:r>
        <w:t>5.3</w:t>
      </w:r>
      <w:r w:rsidRPr="009D6878">
        <w:t>. Skatinti laivybą ir vandens turizmą</w:t>
      </w:r>
      <w:r>
        <w:t xml:space="preserve">, </w:t>
      </w:r>
      <w:r w:rsidRPr="009D6878">
        <w:t>Danės up</w:t>
      </w:r>
      <w:r>
        <w:t>ės tolimesnį įveiklinimą.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.4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. Užtikrinti </w:t>
      </w:r>
      <w:r>
        <w:rPr>
          <w:rFonts w:ascii="Times New Roman" w:hAnsi="Times New Roman"/>
          <w:sz w:val="24"/>
          <w:szCs w:val="24"/>
          <w:lang w:val="lt-LT"/>
        </w:rPr>
        <w:t xml:space="preserve">optimalią </w:t>
      </w:r>
      <w:r w:rsidRPr="009D6878">
        <w:rPr>
          <w:rFonts w:ascii="Times New Roman" w:hAnsi="Times New Roman"/>
          <w:sz w:val="24"/>
          <w:szCs w:val="24"/>
          <w:lang w:val="lt-LT"/>
        </w:rPr>
        <w:t>švarą</w:t>
      </w:r>
      <w:r>
        <w:rPr>
          <w:rFonts w:ascii="Times New Roman" w:hAnsi="Times New Roman"/>
          <w:sz w:val="24"/>
          <w:szCs w:val="24"/>
          <w:lang w:val="lt-LT"/>
        </w:rPr>
        <w:t xml:space="preserve"> ir tvarką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Klaipėdos miesto paplūdimiuose.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.5</w:t>
      </w:r>
      <w:r w:rsidRPr="009D6878">
        <w:rPr>
          <w:rFonts w:ascii="Times New Roman" w:hAnsi="Times New Roman"/>
          <w:sz w:val="24"/>
          <w:szCs w:val="24"/>
          <w:lang w:val="lt-LT"/>
        </w:rPr>
        <w:t>. Užtikrinti viešųjų tualetų priežiūrą Kl</w:t>
      </w:r>
      <w:r>
        <w:rPr>
          <w:rFonts w:ascii="Times New Roman" w:hAnsi="Times New Roman"/>
          <w:sz w:val="24"/>
          <w:szCs w:val="24"/>
          <w:lang w:val="lt-LT"/>
        </w:rPr>
        <w:t>aipėdos miestui priklausančių paplūdimių prieigose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bei Poilsio parke, teikti Smiltynės paplūdimyje esančios pirties paslaugą.</w:t>
      </w:r>
    </w:p>
    <w:p w:rsidR="00A7538C" w:rsidRDefault="00A7538C" w:rsidP="00E2417B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7538C" w:rsidRDefault="00A7538C" w:rsidP="00A7538C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Oleg Marinič</w:t>
      </w:r>
    </w:p>
    <w:p w:rsidR="00A7538C" w:rsidRPr="00E812DB" w:rsidRDefault="00A7538C" w:rsidP="00A7538C">
      <w:pPr>
        <w:widowControl w:val="0"/>
        <w:suppressAutoHyphens/>
        <w:rPr>
          <w:rFonts w:eastAsia="HG Mincho Light J"/>
          <w:color w:val="000000"/>
        </w:rPr>
      </w:pPr>
    </w:p>
    <w:p w:rsidR="00A7538C" w:rsidRDefault="00A7538C" w:rsidP="00A7538C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57F27" w:rsidRPr="00832CC9" w:rsidRDefault="00D57F27" w:rsidP="00A7538C">
      <w:pPr>
        <w:ind w:firstLine="709"/>
        <w:jc w:val="both"/>
      </w:pPr>
    </w:p>
    <w:sectPr w:rsidR="00D57F27" w:rsidRPr="00832CC9" w:rsidSect="00D57F2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30">
          <w:rPr>
            <w:noProof/>
          </w:rPr>
          <w:t>6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4AFB"/>
    <w:multiLevelType w:val="multilevel"/>
    <w:tmpl w:val="0018CF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211E58"/>
    <w:multiLevelType w:val="hybridMultilevel"/>
    <w:tmpl w:val="8FE83D6A"/>
    <w:lvl w:ilvl="0" w:tplc="C9E62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445A57"/>
    <w:multiLevelType w:val="hybridMultilevel"/>
    <w:tmpl w:val="70AE2D4A"/>
    <w:lvl w:ilvl="0" w:tplc="3B5E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657058"/>
    <w:multiLevelType w:val="multilevel"/>
    <w:tmpl w:val="609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E70D02"/>
    <w:multiLevelType w:val="multilevel"/>
    <w:tmpl w:val="901610AE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5" w15:restartNumberingAfterBreak="0">
    <w:nsid w:val="754F1EEA"/>
    <w:multiLevelType w:val="hybridMultilevel"/>
    <w:tmpl w:val="49EC762A"/>
    <w:lvl w:ilvl="0" w:tplc="021088E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D0"/>
    <w:rsid w:val="0019615E"/>
    <w:rsid w:val="0034183E"/>
    <w:rsid w:val="004476DD"/>
    <w:rsid w:val="0058305C"/>
    <w:rsid w:val="00597EE8"/>
    <w:rsid w:val="005B434A"/>
    <w:rsid w:val="005F495C"/>
    <w:rsid w:val="006F2930"/>
    <w:rsid w:val="00832CC9"/>
    <w:rsid w:val="008354D5"/>
    <w:rsid w:val="008E6E82"/>
    <w:rsid w:val="00A7538C"/>
    <w:rsid w:val="00A92927"/>
    <w:rsid w:val="00AF7D08"/>
    <w:rsid w:val="00B750B6"/>
    <w:rsid w:val="00C57681"/>
    <w:rsid w:val="00CA4D3B"/>
    <w:rsid w:val="00D1057F"/>
    <w:rsid w:val="00D42B72"/>
    <w:rsid w:val="00D57F27"/>
    <w:rsid w:val="00DE6222"/>
    <w:rsid w:val="00E2417B"/>
    <w:rsid w:val="00E33871"/>
    <w:rsid w:val="00E56A73"/>
    <w:rsid w:val="00EA525E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92E5"/>
  <w15:docId w15:val="{43A68758-BDAA-4F89-9F2B-AF33B004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A7538C"/>
    <w:rPr>
      <w:color w:val="0000FF"/>
      <w:u w:val="single"/>
    </w:rPr>
  </w:style>
  <w:style w:type="paragraph" w:customStyle="1" w:styleId="Standard">
    <w:name w:val="Standard"/>
    <w:rsid w:val="00A7538C"/>
    <w:pPr>
      <w:suppressAutoHyphens/>
      <w:autoSpaceDN w:val="0"/>
    </w:pPr>
    <w:rPr>
      <w:rFonts w:ascii="Calibri" w:eastAsia="SimSun" w:hAnsi="Calibri" w:cs="Calibri"/>
      <w:kern w:val="3"/>
      <w:lang w:val="en-US"/>
    </w:rPr>
  </w:style>
  <w:style w:type="paragraph" w:styleId="Sraopastraipa">
    <w:name w:val="List Paragraph"/>
    <w:basedOn w:val="prastasis"/>
    <w:uiPriority w:val="34"/>
    <w:qFormat/>
    <w:rsid w:val="00A7538C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ospapludim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p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8201</Words>
  <Characters>4675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2021-05-31T11:31:00Z</dcterms:created>
  <dcterms:modified xsi:type="dcterms:W3CDTF">2021-05-31T11:31:00Z</dcterms:modified>
</cp:coreProperties>
</file>