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397" w:rsidRPr="002B0F16" w:rsidRDefault="00880397" w:rsidP="00880397">
      <w:pPr>
        <w:pStyle w:val="Betarp"/>
        <w:jc w:val="center"/>
        <w:rPr>
          <w:rFonts w:ascii="Times New Roman" w:hAnsi="Times New Roman"/>
          <w:b/>
          <w:sz w:val="24"/>
          <w:szCs w:val="24"/>
        </w:rPr>
      </w:pPr>
      <w:bookmarkStart w:id="0" w:name="_GoBack"/>
      <w:bookmarkEnd w:id="0"/>
      <w:r w:rsidRPr="002B0F16">
        <w:rPr>
          <w:rFonts w:ascii="Times New Roman" w:hAnsi="Times New Roman"/>
          <w:b/>
          <w:sz w:val="24"/>
          <w:szCs w:val="24"/>
        </w:rPr>
        <w:t>AIŠKINAMASIS RAŠTAS</w:t>
      </w:r>
    </w:p>
    <w:p w:rsidR="00880397" w:rsidRPr="002B0F16" w:rsidRDefault="00880397" w:rsidP="00880397">
      <w:pPr>
        <w:pStyle w:val="Betarp"/>
        <w:jc w:val="center"/>
        <w:rPr>
          <w:rFonts w:ascii="Times New Roman" w:hAnsi="Times New Roman"/>
          <w:b/>
          <w:sz w:val="24"/>
          <w:szCs w:val="24"/>
        </w:rPr>
      </w:pPr>
      <w:r w:rsidRPr="002B0F16">
        <w:rPr>
          <w:rFonts w:ascii="Times New Roman" w:hAnsi="Times New Roman"/>
          <w:b/>
          <w:sz w:val="24"/>
          <w:szCs w:val="24"/>
        </w:rPr>
        <w:t>PRIE SAVIVALDYBĖS TARYBOS SPRENDIMO PROJEKTO</w:t>
      </w:r>
    </w:p>
    <w:p w:rsidR="00880397" w:rsidRPr="002B0F16" w:rsidRDefault="00880397" w:rsidP="00880397">
      <w:pPr>
        <w:jc w:val="center"/>
        <w:rPr>
          <w:b/>
          <w:caps/>
        </w:rPr>
      </w:pPr>
      <w:r w:rsidRPr="002B0F16">
        <w:rPr>
          <w:b/>
        </w:rPr>
        <w:t>„DĖL KLAIPĖDOS MIESTO SAVIVALDYBĖS BIUDŽETINIŲ KULTŪROS ĮSTAIGŲ TEIKIAMŲ ATLYGINTINŲ PASLAUGŲ KAINŲ PATVIRTINIMO“</w:t>
      </w:r>
    </w:p>
    <w:p w:rsidR="00880397" w:rsidRPr="002B0F16" w:rsidRDefault="00880397" w:rsidP="00880397">
      <w:pPr>
        <w:jc w:val="both"/>
      </w:pPr>
    </w:p>
    <w:p w:rsidR="00880397" w:rsidRPr="002B0F16" w:rsidRDefault="00880397" w:rsidP="00880397">
      <w:pPr>
        <w:ind w:firstLine="720"/>
        <w:jc w:val="both"/>
        <w:rPr>
          <w:b/>
        </w:rPr>
      </w:pPr>
      <w:r w:rsidRPr="002B0F16">
        <w:rPr>
          <w:b/>
        </w:rPr>
        <w:t>1. Naujo Klaipėdos miesto savivaldybės biudžetinių kultūros įstaigų teikiamų atlygintinų paslaugų kainų patvirtinimo projekto rengimą paskatinusios priežastys.</w:t>
      </w:r>
    </w:p>
    <w:p w:rsidR="00880397" w:rsidRPr="002B0F16" w:rsidRDefault="00880397" w:rsidP="00880397">
      <w:pPr>
        <w:ind w:firstLine="720"/>
        <w:jc w:val="both"/>
      </w:pPr>
      <w:r w:rsidRPr="002B0F16">
        <w:t xml:space="preserve">Klaipėdos miesto savivaldybės biudžetinės kultūros įstaigos vadovaujasi Klaipėdos miesto savivaldybės tarybos 2014 m. rugsėjo 15 d. sprendimu Nr. T2-246 „Dėl Klaipėdos miesto savivaldybės biudžetinių kultūros įstaigų teikiamų atlygintinų paslaugų kainų patvirtinimo“. </w:t>
      </w:r>
      <w:r w:rsidR="002B0F16" w:rsidRPr="007A0185">
        <w:t>2014 m. sprendimas priimtas kainas keičiant lito konvertavimo į eurus principu.</w:t>
      </w:r>
      <w:r w:rsidR="002B0F16">
        <w:t xml:space="preserve"> </w:t>
      </w:r>
      <w:r w:rsidRPr="002B0F16">
        <w:t xml:space="preserve">Peržiūrėjus visų biudžetinių kultūros įstaigų teikiamų atlygintinų paslaugų kainas, buvo nustatyta, kad jos nebeatitinka šiandienos situacijos, nes pasikeitė paslaugų, prekių kainos, taip pat didėjo patiriamos sąnaudos edukaciniams renginiams, bilietams ir kt. Atlikta panašaus  profilio </w:t>
      </w:r>
      <w:r w:rsidRPr="007A0185">
        <w:t xml:space="preserve">respublikos bei regiono muziejų, parodų rūmų, centrų  lankymo bilietų kainų analizė, kuri parodė, kad kai kuriose </w:t>
      </w:r>
      <w:r w:rsidR="002B0F16" w:rsidRPr="007A0185">
        <w:t xml:space="preserve">Klaipėdos </w:t>
      </w:r>
      <w:r w:rsidRPr="007A0185">
        <w:t xml:space="preserve">įstaigose bilietų kainos mažiausios respublikoje. Dalis paslaugų tapo </w:t>
      </w:r>
      <w:r w:rsidR="002B0F16" w:rsidRPr="007A0185">
        <w:t>neaktualios ar</w:t>
      </w:r>
      <w:r w:rsidRPr="007A0185">
        <w:t xml:space="preserve"> nebepaklausios</w:t>
      </w:r>
      <w:r w:rsidRPr="002B0F16">
        <w:t>, keičiantis įstaigų veiklos pobūdžiui, atsirado poreikis organizuoti  naujus edukacinius užsiėmimus, veiklas. Dėl minėtų priežasčių atlikus išsamią, šiuo metu teikiamų atlygintinų paslaugų kainų analizę buvo peržiūrėtos edukacinių užsiėmimų, įstaigų lankymo, kainos.</w:t>
      </w:r>
    </w:p>
    <w:p w:rsidR="00880397" w:rsidRPr="002B0F16" w:rsidRDefault="00880397" w:rsidP="00880397">
      <w:pPr>
        <w:ind w:firstLine="720"/>
        <w:jc w:val="both"/>
        <w:rPr>
          <w:b/>
        </w:rPr>
      </w:pPr>
      <w:r w:rsidRPr="002B0F16">
        <w:rPr>
          <w:b/>
        </w:rPr>
        <w:t>2. Sprendimo projekto esmė, tikslai ir uždaviniai.</w:t>
      </w:r>
    </w:p>
    <w:p w:rsidR="00880397" w:rsidRPr="002B0F16" w:rsidRDefault="00880397" w:rsidP="00880397">
      <w:pPr>
        <w:ind w:firstLine="720"/>
        <w:jc w:val="both"/>
        <w:rPr>
          <w:b/>
        </w:rPr>
      </w:pPr>
      <w:r w:rsidRPr="002B0F16">
        <w:t>Projekto tikslas – patvirtinti suteikiamų paslaugų sąnaudomis grįstą kainodarą pakeičiant įstaigos teikiamų atlygintinų paslaugų kainas.</w:t>
      </w:r>
    </w:p>
    <w:p w:rsidR="00880397" w:rsidRPr="002B0F16" w:rsidRDefault="00880397" w:rsidP="00880397">
      <w:pPr>
        <w:ind w:firstLine="720"/>
        <w:jc w:val="both"/>
        <w:rPr>
          <w:b/>
        </w:rPr>
      </w:pPr>
      <w:r w:rsidRPr="002B0F16">
        <w:t>Sprendimo uždaviniai:</w:t>
      </w:r>
    </w:p>
    <w:p w:rsidR="00880397" w:rsidRPr="002B0F16" w:rsidRDefault="00880397" w:rsidP="00880397">
      <w:pPr>
        <w:ind w:firstLine="720"/>
        <w:jc w:val="both"/>
        <w:rPr>
          <w:b/>
        </w:rPr>
      </w:pPr>
      <w:r w:rsidRPr="002B0F16">
        <w:t xml:space="preserve">2.1. Išgryninti </w:t>
      </w:r>
      <w:r w:rsidR="00950A9B">
        <w:t>Klaipėdos miesto savivaldybės</w:t>
      </w:r>
      <w:r w:rsidR="00C81D3B">
        <w:t xml:space="preserve"> viešosios Imanuelio Kanto bibliotekos </w:t>
      </w:r>
      <w:r w:rsidRPr="002B0F16">
        <w:t xml:space="preserve">teikiamų paslaugų sąrašą vadovaujantis Lietuvos Respublikos kultūros ministro  2005 m. lapkričio 2 d. įsakymu Nr. ĮV-502 „Dėl valstybės ar savivaldybių įsteigtų bibliotekų teikiamų mokamų paslaugų sąrašo patvirtinimo“ bei  2016 m. lapkričio 9 d.  įsakymu Nr. ĮV-860 (nauja redakcija) patvirtintu rekomendaciniu „Valstybės ir savivaldybių įsteigtų bibliotekų teikiamų mokamų paslaugų sąrašu“. </w:t>
      </w:r>
    </w:p>
    <w:p w:rsidR="00880397" w:rsidRPr="002B0F16" w:rsidRDefault="00880397" w:rsidP="00880397">
      <w:pPr>
        <w:ind w:firstLine="720"/>
        <w:jc w:val="both"/>
        <w:rPr>
          <w:b/>
        </w:rPr>
      </w:pPr>
      <w:r w:rsidRPr="002B0F16">
        <w:t>2.2. Paskaičiuoti teikiamų atlygintinų paslaugų patiriamas sąnaudas. Kainas skaičiuoti vadovaujantis Lietuvos Respublikos Vyriausybės 2015 m. rugpjūčio 5 d. nutarimu Nr. 826 „Dėl atlyginimo už viešąsias ir administracines paslaugas dydžio nustatymo kriterijų aprašo patvirtinimo“, kuriuo nustatoma, kad iš valstybės ir savivaldybių biudžetų išlaikomos įstaigos už teikiamas paslaugas negali gauti jokių papildomų pajamų, o gaunamos pajamos gali padengti tik įstaigos patiriamas išlaidas. Tos pačios sąlygos numatytos ir Klaipėdos miesto savivaldybės administracijos direktoriaus 2018 m. sausio 16 d. įsakyme Nr. AD1-123 „Dėl viešųjų paslaugų, kurias teikia Klaipėdos miesto savivaldybės kontroliuojamos įmonės ir įstaigos, kainų (tarifų) projektų parengimo, pateikimo, svarstymo ir tvirtinimo tvarkos aprašo patvirtinimo“.</w:t>
      </w:r>
    </w:p>
    <w:p w:rsidR="00880397" w:rsidRPr="002B0F16" w:rsidRDefault="00880397" w:rsidP="00880397">
      <w:pPr>
        <w:ind w:firstLine="720"/>
        <w:jc w:val="both"/>
        <w:rPr>
          <w:b/>
        </w:rPr>
      </w:pPr>
      <w:r w:rsidRPr="002B0F16">
        <w:t>2.3. Klaipėdos miesto savivaldybės biudžetinių kultūros įstaigų teikiamų paslaugų kainas skaičiuoti vertinant tik su paslaugomis susijusias įstaigos patiriamas išlaidas (darbo užmokestį, išlaidas įstaigos veiklai užtikrinti: nežinybinei apsaugai, elektros ir jos perdavimo, vandentiekio ir kanalizacijos, prekės skirtos edukaciniams užsiėmimams, samdomų lektorių honorarai, kompiuterinio tinklo konfigūravimo ir priežiūros išlaidos, interneto ryšio ir duomenų perdavimo išlaidos, patalpų priežiūros išlaidos (smulkus remontas, valymo ir kt. priemonės), kitas bendrąsias administracinės išlaidas).</w:t>
      </w:r>
    </w:p>
    <w:p w:rsidR="00880397" w:rsidRPr="002B0F16" w:rsidRDefault="00880397" w:rsidP="00880397">
      <w:pPr>
        <w:ind w:firstLine="720"/>
        <w:jc w:val="both"/>
        <w:rPr>
          <w:b/>
        </w:rPr>
      </w:pPr>
      <w:r w:rsidRPr="002B0F16">
        <w:rPr>
          <w:b/>
          <w:bCs/>
        </w:rPr>
        <w:t>3. Kaip šiuo metu yra teisiškai reglamentuojami projekte aptarti klausimai</w:t>
      </w:r>
    </w:p>
    <w:p w:rsidR="00880397" w:rsidRPr="002B0F16" w:rsidRDefault="00880397" w:rsidP="00880397">
      <w:pPr>
        <w:ind w:firstLine="720"/>
        <w:jc w:val="both"/>
        <w:rPr>
          <w:bCs/>
        </w:rPr>
      </w:pPr>
      <w:r w:rsidRPr="002B0F16">
        <w:rPr>
          <w:lang w:eastAsia="lt-LT"/>
        </w:rPr>
        <w:t xml:space="preserve">Projektas parengtas vadovaujantis Lietuvos Respublikos vietos savivaldos įstatymo 16 straipsnio 2 dalies 37 punktu, kuriame numatyta išimtinė tarybos kompetencija. Viena iš tokių – kainų ir tarifų už savivaldybės biudžetinių įstaigų teikiamas atlygintinas </w:t>
      </w:r>
      <w:r w:rsidR="00950A9B">
        <w:rPr>
          <w:lang w:eastAsia="lt-LT"/>
        </w:rPr>
        <w:t xml:space="preserve">viešąsias </w:t>
      </w:r>
      <w:r w:rsidRPr="002B0F16">
        <w:rPr>
          <w:lang w:eastAsia="lt-LT"/>
        </w:rPr>
        <w:t xml:space="preserve">paslaugas nustatymas. </w:t>
      </w:r>
      <w:r w:rsidRPr="002B0F16">
        <w:rPr>
          <w:bCs/>
        </w:rPr>
        <w:t>Klaipėdos miesto savivaldybės biudžetinių kultūros įstaigų teikiamų atlygintinų paslaugų įkainiai patvirtinti  Klaipėdos miesto savivaldybės tarybos sprendimais „Dėl Klaipėdos miesto savivaldybės biudžetinių kultūros įstaigų teikiamų atlygintinų paslaugų kainų patvirtinimo” (2014 m. rugsėjo 15 d. Nr. T2-246, 2016 m. gegužės 26 d. Nr. T2-137, 2017 m. gruodžio 21 d. Nr. T2-323).</w:t>
      </w:r>
    </w:p>
    <w:p w:rsidR="00880397" w:rsidRPr="002B0F16" w:rsidRDefault="00880397" w:rsidP="00880397">
      <w:pPr>
        <w:ind w:firstLine="720"/>
        <w:jc w:val="both"/>
        <w:rPr>
          <w:bCs/>
        </w:rPr>
      </w:pPr>
      <w:r w:rsidRPr="002B0F16">
        <w:rPr>
          <w:b/>
          <w:bCs/>
        </w:rPr>
        <w:lastRenderedPageBreak/>
        <w:t>4. </w:t>
      </w:r>
      <w:r w:rsidRPr="002B0F16">
        <w:rPr>
          <w:b/>
          <w:lang w:eastAsia="lt-LT"/>
        </w:rPr>
        <w:t>Kokios numatomos naujos teisinio reglamentavimo nuostatos ir kokių rezultatų laukiama.</w:t>
      </w:r>
    </w:p>
    <w:p w:rsidR="00880397" w:rsidRPr="002B0F16" w:rsidRDefault="00950A9B" w:rsidP="007A0185">
      <w:pPr>
        <w:ind w:firstLine="720"/>
        <w:jc w:val="both"/>
      </w:pPr>
      <w:r>
        <w:rPr>
          <w:bCs/>
        </w:rPr>
        <w:t>P</w:t>
      </w:r>
      <w:r w:rsidR="00880397" w:rsidRPr="002B0F16">
        <w:rPr>
          <w:bCs/>
        </w:rPr>
        <w:t xml:space="preserve">atvirtinus </w:t>
      </w:r>
      <w:r>
        <w:rPr>
          <w:bCs/>
        </w:rPr>
        <w:t xml:space="preserve">šį tarybos sprendimą </w:t>
      </w:r>
      <w:r w:rsidR="00880397" w:rsidRPr="002B0F16">
        <w:rPr>
          <w:bCs/>
        </w:rPr>
        <w:t>atsiras didesnės galimybės naudoti įstaigų turimą įrangą edukaciniams užsiėmimams, galimybė kurti ir platinti įstaigas reprezentuojančius suvenyrus, patvirtinti nauji įkainiai padengs teikiamų atlygintinų paslaugų  kaštus</w:t>
      </w:r>
      <w:r>
        <w:rPr>
          <w:bCs/>
        </w:rPr>
        <w:t xml:space="preserve">. </w:t>
      </w:r>
      <w:r w:rsidR="00880397" w:rsidRPr="002B0F16">
        <w:rPr>
          <w:bCs/>
        </w:rPr>
        <w:t xml:space="preserve"> </w:t>
      </w:r>
      <w:r w:rsidR="009777C1">
        <w:rPr>
          <w:bCs/>
        </w:rPr>
        <w:t>A</w:t>
      </w:r>
      <w:r w:rsidR="00880397" w:rsidRPr="002B0F16">
        <w:rPr>
          <w:bCs/>
        </w:rPr>
        <w:t>tsiras galimybė naudotis bibliotekos infrastruktūra  seminarų, konferencijų, renginių organizavimui, tai didins  kūrybinių bendruomenių aktyvumą, jų veiklos matomumą. Dokumentų tiražavimo, skaitmeninimo, įrišimo paslaugos gerins informacijos naudojimo sąlygas. Vykdant edukacines veiklas, augs gyventojų informacinis raštingumas, didės užimtumas. Kultūros įstaigų suvenyrinės produkcijos su įstaigos atributika platinimas didins įstaigų matomumą</w:t>
      </w:r>
      <w:r w:rsidR="00972D54" w:rsidRPr="002B0F16">
        <w:rPr>
          <w:bCs/>
        </w:rPr>
        <w:t>, stiprins įstaigos įvaizdį</w:t>
      </w:r>
      <w:r w:rsidR="00880397" w:rsidRPr="002B0F16">
        <w:rPr>
          <w:bCs/>
        </w:rPr>
        <w:t>.</w:t>
      </w:r>
    </w:p>
    <w:p w:rsidR="00880397" w:rsidRPr="002B0F16" w:rsidRDefault="00880397" w:rsidP="00880397">
      <w:pPr>
        <w:ind w:firstLine="720"/>
        <w:jc w:val="both"/>
        <w:rPr>
          <w:bCs/>
        </w:rPr>
      </w:pPr>
      <w:r w:rsidRPr="002B0F16">
        <w:rPr>
          <w:b/>
          <w:bCs/>
        </w:rPr>
        <w:t>5. Sprendimo projekto rengimo metu gauti specialistų vertinimai.</w:t>
      </w:r>
    </w:p>
    <w:p w:rsidR="00880397" w:rsidRPr="002B0F16" w:rsidRDefault="00880397" w:rsidP="00880397">
      <w:pPr>
        <w:ind w:firstLine="720"/>
        <w:jc w:val="both"/>
      </w:pPr>
      <w:r w:rsidRPr="002B0F16">
        <w:t>Sprendimo projekto derinimo metu pastabų negauta.</w:t>
      </w:r>
    </w:p>
    <w:p w:rsidR="00880397" w:rsidRPr="002B0F16" w:rsidRDefault="00880397" w:rsidP="00880397">
      <w:pPr>
        <w:ind w:firstLine="720"/>
        <w:jc w:val="both"/>
        <w:rPr>
          <w:b/>
          <w:bCs/>
        </w:rPr>
      </w:pPr>
      <w:r w:rsidRPr="002B0F16">
        <w:rPr>
          <w:b/>
          <w:bCs/>
        </w:rPr>
        <w:t>6. Išlaidų sąmatos, skaičiavimai, reikalingi pagrindimai ir paaiškinimai.</w:t>
      </w:r>
    </w:p>
    <w:p w:rsidR="00880397" w:rsidRPr="002B0F16" w:rsidRDefault="00880397" w:rsidP="00880397">
      <w:pPr>
        <w:ind w:firstLine="720"/>
        <w:jc w:val="both"/>
        <w:rPr>
          <w:bCs/>
        </w:rPr>
      </w:pPr>
      <w:r w:rsidRPr="002B0F16">
        <w:rPr>
          <w:bCs/>
        </w:rPr>
        <w:t>Atlikta palyginamoji analiz</w:t>
      </w:r>
      <w:r w:rsidR="00494390" w:rsidRPr="002B0F16">
        <w:rPr>
          <w:bCs/>
        </w:rPr>
        <w:t xml:space="preserve">ė apie biudžetinių kultūros įstaigų surinktas pajamas už paslaugas 2019 – 2020 m. </w:t>
      </w:r>
      <w:r w:rsidRPr="002B0F16">
        <w:rPr>
          <w:bCs/>
        </w:rPr>
        <w:t>ir planuojam</w:t>
      </w:r>
      <w:r w:rsidR="00494390" w:rsidRPr="002B0F16">
        <w:rPr>
          <w:bCs/>
        </w:rPr>
        <w:t>a</w:t>
      </w:r>
      <w:r w:rsidRPr="002B0F16">
        <w:rPr>
          <w:bCs/>
        </w:rPr>
        <w:t xml:space="preserve"> pajamų prognoz</w:t>
      </w:r>
      <w:r w:rsidR="00494390" w:rsidRPr="002B0F16">
        <w:rPr>
          <w:bCs/>
        </w:rPr>
        <w:t>ė</w:t>
      </w:r>
      <w:r w:rsidRPr="002B0F16">
        <w:rPr>
          <w:bCs/>
        </w:rPr>
        <w:t xml:space="preserve"> 202</w:t>
      </w:r>
      <w:r w:rsidR="00494390" w:rsidRPr="002B0F16">
        <w:rPr>
          <w:bCs/>
        </w:rPr>
        <w:t>1</w:t>
      </w:r>
      <w:r w:rsidRPr="002B0F16">
        <w:rPr>
          <w:bCs/>
        </w:rPr>
        <w:t xml:space="preserve"> </w:t>
      </w:r>
      <w:r w:rsidR="00113758" w:rsidRPr="002B0F16">
        <w:rPr>
          <w:bCs/>
        </w:rPr>
        <w:t xml:space="preserve">– 2022 </w:t>
      </w:r>
      <w:r w:rsidRPr="002B0F16">
        <w:rPr>
          <w:bCs/>
        </w:rPr>
        <w:t xml:space="preserve">m. parodė, kad patvirtinus naujas paslaugų kainas </w:t>
      </w:r>
      <w:r w:rsidR="00112979" w:rsidRPr="002B0F16">
        <w:rPr>
          <w:bCs/>
        </w:rPr>
        <w:t xml:space="preserve">nuo </w:t>
      </w:r>
      <w:r w:rsidR="00113758" w:rsidRPr="002B0F16">
        <w:rPr>
          <w:bCs/>
        </w:rPr>
        <w:t xml:space="preserve">2021 m. </w:t>
      </w:r>
      <w:r w:rsidR="007A0185">
        <w:rPr>
          <w:bCs/>
        </w:rPr>
        <w:t xml:space="preserve">rugsėjo </w:t>
      </w:r>
      <w:r w:rsidR="00112979" w:rsidRPr="002B0F16">
        <w:rPr>
          <w:bCs/>
        </w:rPr>
        <w:t xml:space="preserve">1 d. </w:t>
      </w:r>
      <w:r w:rsidRPr="002B0F16">
        <w:rPr>
          <w:bCs/>
        </w:rPr>
        <w:t xml:space="preserve">Klaipėdos miesto savivaldybės biudžetinėse kultūros įstaigose  būtų surenkama daugiau pajamų </w:t>
      </w:r>
      <w:r w:rsidR="000E191B" w:rsidRPr="002B0F16">
        <w:rPr>
          <w:bCs/>
        </w:rPr>
        <w:t xml:space="preserve">2021 m. – </w:t>
      </w:r>
      <w:r w:rsidRPr="002B0F16">
        <w:rPr>
          <w:bCs/>
        </w:rPr>
        <w:t xml:space="preserve">apie </w:t>
      </w:r>
      <w:r w:rsidR="00972D54" w:rsidRPr="002B0F16">
        <w:rPr>
          <w:bCs/>
        </w:rPr>
        <w:t>10,9</w:t>
      </w:r>
      <w:r w:rsidRPr="002B0F16">
        <w:rPr>
          <w:bCs/>
        </w:rPr>
        <w:t xml:space="preserve"> tūkst. Eur (</w:t>
      </w:r>
      <w:r w:rsidR="00972D54" w:rsidRPr="002B0F16">
        <w:rPr>
          <w:bCs/>
        </w:rPr>
        <w:t>2,1</w:t>
      </w:r>
      <w:r w:rsidRPr="002B0F16">
        <w:rPr>
          <w:bCs/>
        </w:rPr>
        <w:t xml:space="preserve"> proc.</w:t>
      </w:r>
      <w:r w:rsidR="000E191B" w:rsidRPr="002B0F16">
        <w:rPr>
          <w:bCs/>
        </w:rPr>
        <w:t xml:space="preserve"> lyginant su 2019 m.</w:t>
      </w:r>
      <w:r w:rsidRPr="002B0F16">
        <w:rPr>
          <w:bCs/>
        </w:rPr>
        <w:t>)</w:t>
      </w:r>
      <w:r w:rsidR="00113758" w:rsidRPr="002B0F16">
        <w:rPr>
          <w:bCs/>
        </w:rPr>
        <w:t xml:space="preserve"> ir </w:t>
      </w:r>
      <w:r w:rsidR="000E191B" w:rsidRPr="002B0F16">
        <w:rPr>
          <w:bCs/>
        </w:rPr>
        <w:t xml:space="preserve">2022 m. – pajamų surinkimas padidėtų apie </w:t>
      </w:r>
      <w:r w:rsidR="00113758" w:rsidRPr="002B0F16">
        <w:rPr>
          <w:bCs/>
        </w:rPr>
        <w:t>32,9 tūkst. Eur (6,43 proc.</w:t>
      </w:r>
      <w:r w:rsidR="000E191B" w:rsidRPr="002B0F16">
        <w:rPr>
          <w:bCs/>
        </w:rPr>
        <w:t xml:space="preserve"> lyginant su 2019 m.). Vertinant 2020 m. prasidėjusią pasaulinę Covid-19 pandemiją ir dėl įstaigų lankomumo ribojimų sumažėjusias pajamas, 2021 – 2022 m. prognozuojamų papildomų pajamų augimas</w:t>
      </w:r>
      <w:r w:rsidR="00F820F2" w:rsidRPr="002B0F16">
        <w:rPr>
          <w:bCs/>
        </w:rPr>
        <w:t xml:space="preserve"> lyginamas su 2019 m.</w:t>
      </w:r>
      <w:r w:rsidR="000E191B" w:rsidRPr="002B0F16">
        <w:rPr>
          <w:bCs/>
        </w:rPr>
        <w:t xml:space="preserve"> </w:t>
      </w:r>
    </w:p>
    <w:p w:rsidR="00880397" w:rsidRPr="002B0F16" w:rsidRDefault="00880397" w:rsidP="00880397">
      <w:pPr>
        <w:ind w:firstLine="720"/>
        <w:jc w:val="both"/>
        <w:rPr>
          <w:bCs/>
        </w:rPr>
      </w:pPr>
    </w:p>
    <w:tbl>
      <w:tblPr>
        <w:tblStyle w:val="Lentelstinklelis"/>
        <w:tblpPr w:leftFromText="180" w:rightFromText="180" w:vertAnchor="text" w:tblpY="1"/>
        <w:tblOverlap w:val="never"/>
        <w:tblW w:w="9634" w:type="dxa"/>
        <w:tblLayout w:type="fixed"/>
        <w:tblLook w:val="04A0" w:firstRow="1" w:lastRow="0" w:firstColumn="1" w:lastColumn="0" w:noHBand="0" w:noVBand="1"/>
      </w:tblPr>
      <w:tblGrid>
        <w:gridCol w:w="1555"/>
        <w:gridCol w:w="1701"/>
        <w:gridCol w:w="1559"/>
        <w:gridCol w:w="1701"/>
        <w:gridCol w:w="1559"/>
        <w:gridCol w:w="1559"/>
      </w:tblGrid>
      <w:tr w:rsidR="00F820F2" w:rsidRPr="002B0F16" w:rsidTr="00F820F2">
        <w:tc>
          <w:tcPr>
            <w:tcW w:w="3256" w:type="dxa"/>
            <w:gridSpan w:val="2"/>
            <w:vAlign w:val="center"/>
          </w:tcPr>
          <w:p w:rsidR="00F820F2" w:rsidRPr="002B0F16" w:rsidRDefault="00F820F2" w:rsidP="00113758">
            <w:pPr>
              <w:jc w:val="center"/>
              <w:rPr>
                <w:bCs/>
              </w:rPr>
            </w:pPr>
            <w:r w:rsidRPr="002B0F16">
              <w:rPr>
                <w:bCs/>
              </w:rPr>
              <w:t>Surinkta pajamų, tūkst. Eur</w:t>
            </w:r>
          </w:p>
        </w:tc>
        <w:tc>
          <w:tcPr>
            <w:tcW w:w="6378" w:type="dxa"/>
            <w:gridSpan w:val="4"/>
            <w:vAlign w:val="center"/>
          </w:tcPr>
          <w:p w:rsidR="00F820F2" w:rsidRPr="002B0F16" w:rsidRDefault="00F820F2" w:rsidP="00113758">
            <w:pPr>
              <w:jc w:val="center"/>
              <w:rPr>
                <w:bCs/>
              </w:rPr>
            </w:pPr>
            <w:r w:rsidRPr="002B0F16">
              <w:rPr>
                <w:bCs/>
              </w:rPr>
              <w:t>Prognozuojamos papildomos pajamos</w:t>
            </w:r>
          </w:p>
        </w:tc>
      </w:tr>
      <w:tr w:rsidR="00F820F2" w:rsidRPr="002B0F16" w:rsidTr="00F820F2">
        <w:tc>
          <w:tcPr>
            <w:tcW w:w="1555" w:type="dxa"/>
            <w:vMerge w:val="restart"/>
            <w:vAlign w:val="center"/>
          </w:tcPr>
          <w:p w:rsidR="00F820F2" w:rsidRPr="002B0F16" w:rsidRDefault="00F820F2" w:rsidP="0025082D">
            <w:pPr>
              <w:jc w:val="center"/>
              <w:rPr>
                <w:bCs/>
              </w:rPr>
            </w:pPr>
            <w:r w:rsidRPr="002B0F16">
              <w:rPr>
                <w:bCs/>
              </w:rPr>
              <w:t>2019 m.</w:t>
            </w:r>
          </w:p>
        </w:tc>
        <w:tc>
          <w:tcPr>
            <w:tcW w:w="1701" w:type="dxa"/>
            <w:vMerge w:val="restart"/>
            <w:vAlign w:val="center"/>
          </w:tcPr>
          <w:p w:rsidR="00F820F2" w:rsidRPr="002B0F16" w:rsidRDefault="00F820F2" w:rsidP="0025082D">
            <w:pPr>
              <w:jc w:val="center"/>
              <w:rPr>
                <w:bCs/>
              </w:rPr>
            </w:pPr>
            <w:r w:rsidRPr="002B0F16">
              <w:rPr>
                <w:bCs/>
              </w:rPr>
              <w:t>2020 m.</w:t>
            </w:r>
          </w:p>
        </w:tc>
        <w:tc>
          <w:tcPr>
            <w:tcW w:w="3260" w:type="dxa"/>
            <w:gridSpan w:val="2"/>
            <w:vAlign w:val="center"/>
          </w:tcPr>
          <w:p w:rsidR="00F820F2" w:rsidRPr="002B0F16" w:rsidRDefault="00F820F2" w:rsidP="00F305A2">
            <w:pPr>
              <w:jc w:val="center"/>
              <w:rPr>
                <w:bCs/>
              </w:rPr>
            </w:pPr>
            <w:r w:rsidRPr="002B0F16">
              <w:rPr>
                <w:bCs/>
              </w:rPr>
              <w:t xml:space="preserve">2021 m. (įsigaliojus sprendimui nuo </w:t>
            </w:r>
            <w:r w:rsidR="00F305A2">
              <w:rPr>
                <w:bCs/>
              </w:rPr>
              <w:t>liepos</w:t>
            </w:r>
            <w:r w:rsidR="00F305A2" w:rsidRPr="002B0F16">
              <w:rPr>
                <w:bCs/>
              </w:rPr>
              <w:t xml:space="preserve"> </w:t>
            </w:r>
            <w:r w:rsidRPr="002B0F16">
              <w:rPr>
                <w:bCs/>
              </w:rPr>
              <w:t>1 d.)</w:t>
            </w:r>
          </w:p>
        </w:tc>
        <w:tc>
          <w:tcPr>
            <w:tcW w:w="3118" w:type="dxa"/>
            <w:gridSpan w:val="2"/>
            <w:vAlign w:val="center"/>
          </w:tcPr>
          <w:p w:rsidR="00F820F2" w:rsidRPr="002B0F16" w:rsidRDefault="00F820F2" w:rsidP="00C2750A">
            <w:pPr>
              <w:jc w:val="center"/>
              <w:rPr>
                <w:bCs/>
              </w:rPr>
            </w:pPr>
            <w:r w:rsidRPr="002B0F16">
              <w:rPr>
                <w:bCs/>
              </w:rPr>
              <w:t>2022 m.</w:t>
            </w:r>
          </w:p>
        </w:tc>
      </w:tr>
      <w:tr w:rsidR="00F820F2" w:rsidRPr="002B0F16" w:rsidTr="00F820F2">
        <w:tc>
          <w:tcPr>
            <w:tcW w:w="1555" w:type="dxa"/>
            <w:vMerge/>
            <w:vAlign w:val="center"/>
          </w:tcPr>
          <w:p w:rsidR="00F820F2" w:rsidRPr="002B0F16" w:rsidRDefault="00F820F2" w:rsidP="0025082D">
            <w:pPr>
              <w:jc w:val="center"/>
              <w:rPr>
                <w:bCs/>
              </w:rPr>
            </w:pPr>
          </w:p>
        </w:tc>
        <w:tc>
          <w:tcPr>
            <w:tcW w:w="1701" w:type="dxa"/>
            <w:vMerge/>
            <w:vAlign w:val="center"/>
          </w:tcPr>
          <w:p w:rsidR="00F820F2" w:rsidRPr="002B0F16" w:rsidRDefault="00F820F2" w:rsidP="0025082D">
            <w:pPr>
              <w:jc w:val="center"/>
              <w:rPr>
                <w:bCs/>
              </w:rPr>
            </w:pPr>
          </w:p>
        </w:tc>
        <w:tc>
          <w:tcPr>
            <w:tcW w:w="1559" w:type="dxa"/>
            <w:vAlign w:val="center"/>
          </w:tcPr>
          <w:p w:rsidR="00F820F2" w:rsidRPr="002B0F16" w:rsidRDefault="00F820F2" w:rsidP="0025082D">
            <w:pPr>
              <w:jc w:val="center"/>
              <w:rPr>
                <w:bCs/>
              </w:rPr>
            </w:pPr>
            <w:r w:rsidRPr="002B0F16">
              <w:rPr>
                <w:bCs/>
              </w:rPr>
              <w:t>Tūkst. Eur</w:t>
            </w:r>
          </w:p>
        </w:tc>
        <w:tc>
          <w:tcPr>
            <w:tcW w:w="1701" w:type="dxa"/>
            <w:vAlign w:val="center"/>
          </w:tcPr>
          <w:p w:rsidR="00F820F2" w:rsidRPr="002B0F16" w:rsidRDefault="00F820F2" w:rsidP="0025082D">
            <w:pPr>
              <w:jc w:val="center"/>
              <w:rPr>
                <w:bCs/>
              </w:rPr>
            </w:pPr>
            <w:r w:rsidRPr="002B0F16">
              <w:rPr>
                <w:bCs/>
              </w:rPr>
              <w:t>Proc.</w:t>
            </w:r>
          </w:p>
        </w:tc>
        <w:tc>
          <w:tcPr>
            <w:tcW w:w="1559" w:type="dxa"/>
            <w:vAlign w:val="center"/>
          </w:tcPr>
          <w:p w:rsidR="00F820F2" w:rsidRPr="002B0F16" w:rsidRDefault="00F820F2" w:rsidP="0025082D">
            <w:pPr>
              <w:jc w:val="center"/>
              <w:rPr>
                <w:bCs/>
              </w:rPr>
            </w:pPr>
            <w:r w:rsidRPr="002B0F16">
              <w:rPr>
                <w:bCs/>
              </w:rPr>
              <w:t>Tūkst. Eur</w:t>
            </w:r>
          </w:p>
        </w:tc>
        <w:tc>
          <w:tcPr>
            <w:tcW w:w="1559" w:type="dxa"/>
            <w:vAlign w:val="center"/>
          </w:tcPr>
          <w:p w:rsidR="00F820F2" w:rsidRPr="002B0F16" w:rsidRDefault="00F820F2" w:rsidP="0025082D">
            <w:pPr>
              <w:jc w:val="center"/>
              <w:rPr>
                <w:bCs/>
              </w:rPr>
            </w:pPr>
            <w:r w:rsidRPr="002B0F16">
              <w:rPr>
                <w:bCs/>
              </w:rPr>
              <w:t>Proc.</w:t>
            </w:r>
          </w:p>
        </w:tc>
      </w:tr>
      <w:tr w:rsidR="00F820F2" w:rsidRPr="002B0F16" w:rsidTr="00F820F2">
        <w:tc>
          <w:tcPr>
            <w:tcW w:w="1555" w:type="dxa"/>
          </w:tcPr>
          <w:p w:rsidR="00F820F2" w:rsidRPr="00EB6A59" w:rsidRDefault="00F820F2" w:rsidP="0025082D">
            <w:pPr>
              <w:jc w:val="center"/>
              <w:rPr>
                <w:bCs/>
              </w:rPr>
            </w:pPr>
            <w:r w:rsidRPr="00EB6A59">
              <w:rPr>
                <w:bCs/>
              </w:rPr>
              <w:t>511,7</w:t>
            </w:r>
          </w:p>
        </w:tc>
        <w:tc>
          <w:tcPr>
            <w:tcW w:w="1701" w:type="dxa"/>
          </w:tcPr>
          <w:p w:rsidR="00F820F2" w:rsidRPr="00EB6A59" w:rsidRDefault="00F820F2" w:rsidP="0025082D">
            <w:pPr>
              <w:jc w:val="center"/>
              <w:rPr>
                <w:bCs/>
              </w:rPr>
            </w:pPr>
            <w:r w:rsidRPr="00EB6A59">
              <w:rPr>
                <w:bCs/>
              </w:rPr>
              <w:t>231,1</w:t>
            </w:r>
          </w:p>
        </w:tc>
        <w:tc>
          <w:tcPr>
            <w:tcW w:w="1559" w:type="dxa"/>
          </w:tcPr>
          <w:p w:rsidR="00F820F2" w:rsidRPr="00EB6A59" w:rsidRDefault="00105AD7" w:rsidP="0025082D">
            <w:pPr>
              <w:jc w:val="center"/>
              <w:rPr>
                <w:bCs/>
              </w:rPr>
            </w:pPr>
            <w:r w:rsidRPr="00EB6A59">
              <w:rPr>
                <w:bCs/>
              </w:rPr>
              <w:t>10</w:t>
            </w:r>
            <w:r w:rsidR="00F820F2" w:rsidRPr="00EB6A59">
              <w:rPr>
                <w:bCs/>
              </w:rPr>
              <w:t>,9</w:t>
            </w:r>
          </w:p>
        </w:tc>
        <w:tc>
          <w:tcPr>
            <w:tcW w:w="1701" w:type="dxa"/>
          </w:tcPr>
          <w:p w:rsidR="00F820F2" w:rsidRPr="00EB6A59" w:rsidRDefault="00105AD7" w:rsidP="0025082D">
            <w:pPr>
              <w:jc w:val="center"/>
              <w:rPr>
                <w:bCs/>
              </w:rPr>
            </w:pPr>
            <w:r w:rsidRPr="00EB6A59">
              <w:rPr>
                <w:bCs/>
              </w:rPr>
              <w:t>2,1</w:t>
            </w:r>
          </w:p>
        </w:tc>
        <w:tc>
          <w:tcPr>
            <w:tcW w:w="1559" w:type="dxa"/>
          </w:tcPr>
          <w:p w:rsidR="00F820F2" w:rsidRPr="00EB6A59" w:rsidRDefault="00F820F2" w:rsidP="0025082D">
            <w:pPr>
              <w:jc w:val="center"/>
              <w:rPr>
                <w:bCs/>
              </w:rPr>
            </w:pPr>
            <w:r w:rsidRPr="00EB6A59">
              <w:rPr>
                <w:bCs/>
              </w:rPr>
              <w:t>32,9</w:t>
            </w:r>
          </w:p>
        </w:tc>
        <w:tc>
          <w:tcPr>
            <w:tcW w:w="1559" w:type="dxa"/>
          </w:tcPr>
          <w:p w:rsidR="00F820F2" w:rsidRPr="00EB6A59" w:rsidRDefault="00F820F2" w:rsidP="0025082D">
            <w:pPr>
              <w:jc w:val="center"/>
              <w:rPr>
                <w:bCs/>
              </w:rPr>
            </w:pPr>
            <w:r w:rsidRPr="00EB6A59">
              <w:rPr>
                <w:bCs/>
              </w:rPr>
              <w:t>6,43</w:t>
            </w:r>
          </w:p>
        </w:tc>
      </w:tr>
    </w:tbl>
    <w:p w:rsidR="00880397" w:rsidRPr="002B0F16" w:rsidRDefault="00880397" w:rsidP="00880397">
      <w:pPr>
        <w:ind w:firstLine="720"/>
        <w:jc w:val="both"/>
      </w:pPr>
    </w:p>
    <w:p w:rsidR="00880397" w:rsidRPr="002B0F16" w:rsidRDefault="00880397" w:rsidP="00880397">
      <w:pPr>
        <w:ind w:firstLine="720"/>
        <w:jc w:val="both"/>
      </w:pPr>
      <w:r w:rsidRPr="002B0F16">
        <w:rPr>
          <w:b/>
        </w:rPr>
        <w:t>7.</w:t>
      </w:r>
      <w:r w:rsidRPr="002B0F16">
        <w:t xml:space="preserve"> </w:t>
      </w:r>
      <w:r w:rsidRPr="002B0F16">
        <w:rPr>
          <w:b/>
        </w:rPr>
        <w:t>Lėšų poreikis sprendimo įgyvendinimui.</w:t>
      </w:r>
    </w:p>
    <w:p w:rsidR="00880397" w:rsidRPr="002B0F16" w:rsidRDefault="00635CC2" w:rsidP="00880397">
      <w:pPr>
        <w:ind w:firstLine="720"/>
        <w:jc w:val="both"/>
        <w:rPr>
          <w:bCs/>
        </w:rPr>
      </w:pPr>
      <w:r w:rsidRPr="002B0F16">
        <w:rPr>
          <w:bCs/>
        </w:rPr>
        <w:t>Papildomų lėšų iš savivaldybės biudžeto šio sprendimo įgyvendinimui nereikės</w:t>
      </w:r>
      <w:r w:rsidR="00E11D96" w:rsidRPr="002B0F16">
        <w:rPr>
          <w:bCs/>
        </w:rPr>
        <w:t>.</w:t>
      </w:r>
    </w:p>
    <w:p w:rsidR="00880397" w:rsidRPr="002B0F16" w:rsidRDefault="00880397" w:rsidP="00880397">
      <w:pPr>
        <w:ind w:firstLine="720"/>
        <w:jc w:val="both"/>
        <w:rPr>
          <w:bCs/>
        </w:rPr>
      </w:pPr>
      <w:r w:rsidRPr="002B0F16">
        <w:rPr>
          <w:b/>
          <w:bCs/>
        </w:rPr>
        <w:t>8. Galimos teigiamos ar neigiamos sprendimo priėmimo pasekmės.</w:t>
      </w:r>
    </w:p>
    <w:p w:rsidR="00880397" w:rsidRPr="002B0F16" w:rsidRDefault="00880397" w:rsidP="00880397">
      <w:pPr>
        <w:ind w:firstLine="720"/>
        <w:jc w:val="both"/>
      </w:pPr>
      <w:r w:rsidRPr="002B0F16">
        <w:t xml:space="preserve">Teigiama – </w:t>
      </w:r>
      <w:r w:rsidR="00105AD7" w:rsidRPr="002B0F16">
        <w:t>atnaujintos ir susistemintos teikiamos paslaugos, patogesnės kainos bendruomenei ir įstaigoms (suapvalintos) po euro įvedimo.</w:t>
      </w:r>
    </w:p>
    <w:p w:rsidR="00880397" w:rsidRPr="002B0F16" w:rsidRDefault="00880397" w:rsidP="00880397">
      <w:pPr>
        <w:ind w:firstLine="720"/>
        <w:jc w:val="both"/>
      </w:pPr>
      <w:r w:rsidRPr="002B0F16">
        <w:t>Šio sprendimo įgyvendinimo neigiamų pasekmių nenumatomas.</w:t>
      </w:r>
    </w:p>
    <w:p w:rsidR="00880397" w:rsidRPr="002B0F16" w:rsidRDefault="00880397" w:rsidP="00880397">
      <w:pPr>
        <w:ind w:firstLine="720"/>
        <w:jc w:val="both"/>
      </w:pPr>
    </w:p>
    <w:p w:rsidR="00880397" w:rsidRPr="002B0F16" w:rsidRDefault="00880397" w:rsidP="00880397">
      <w:pPr>
        <w:ind w:firstLine="720"/>
        <w:jc w:val="both"/>
        <w:rPr>
          <w:b/>
        </w:rPr>
      </w:pPr>
      <w:r w:rsidRPr="002B0F16">
        <w:rPr>
          <w:b/>
        </w:rPr>
        <w:t>PRIDEDAMA.</w:t>
      </w:r>
    </w:p>
    <w:p w:rsidR="00880397" w:rsidRPr="002B0F16" w:rsidRDefault="00D713D6" w:rsidP="00D713D6">
      <w:pPr>
        <w:ind w:firstLine="709"/>
        <w:jc w:val="both"/>
      </w:pPr>
      <w:r w:rsidRPr="002B0F16">
        <w:t xml:space="preserve">1. </w:t>
      </w:r>
      <w:r w:rsidR="00880397" w:rsidRPr="002B0F16">
        <w:t>Teisės akto, nurodyto sprendimo projekto įžangoje, išrašas, 1 lapas.</w:t>
      </w:r>
    </w:p>
    <w:p w:rsidR="00880397" w:rsidRPr="002B0F16" w:rsidRDefault="00D713D6" w:rsidP="00D713D6">
      <w:pPr>
        <w:pStyle w:val="Sraopastraipa"/>
        <w:ind w:left="0" w:firstLine="720"/>
        <w:jc w:val="both"/>
      </w:pPr>
      <w:r w:rsidRPr="002B0F16">
        <w:t xml:space="preserve">2. </w:t>
      </w:r>
      <w:r w:rsidR="00880397" w:rsidRPr="002B0F16">
        <w:t>Klaipėdos miesto savivaldybės tarybos 2014 m. rugsėjo 15 d. sprendimas Nr. T2-246 „Dėl Klaipėdos miesto savivaldybės biudžetinių kultūros įstaigų teikiamų atlygintinų paslaugų kainų patvirtinimo”, 13 lapų.</w:t>
      </w:r>
    </w:p>
    <w:p w:rsidR="00880397" w:rsidRPr="002B0F16" w:rsidRDefault="00D713D6" w:rsidP="00D713D6">
      <w:pPr>
        <w:pStyle w:val="Sraopastraipa"/>
        <w:ind w:left="0" w:firstLine="709"/>
        <w:jc w:val="both"/>
      </w:pPr>
      <w:r w:rsidRPr="002B0F16">
        <w:t xml:space="preserve">3. </w:t>
      </w:r>
      <w:r w:rsidR="00880397" w:rsidRPr="002B0F16">
        <w:t>Klaipėdos miesto savivaldybės tarybos 2016 m. gegužės 26 d. sprendimas Nr. T2-137 „Dėl Klaipėdos miesto savivaldybės tarybos 2014 m. rugsėjo 15 d. sprendimo Nr. T2-246 „Dėl Klaipėdos miesto savivaldybės biudžetinių kultūros įstaigų teikiamų atlygintinų paslaugų kainų patvirtinimo” pakeitimo“, 5 lapai</w:t>
      </w:r>
    </w:p>
    <w:p w:rsidR="00880397" w:rsidRPr="002B0F16" w:rsidRDefault="00D713D6" w:rsidP="00D713D6">
      <w:pPr>
        <w:pStyle w:val="Sraopastraipa"/>
        <w:ind w:left="0" w:firstLine="709"/>
        <w:jc w:val="both"/>
      </w:pPr>
      <w:r w:rsidRPr="002B0F16">
        <w:t xml:space="preserve">4. </w:t>
      </w:r>
      <w:r w:rsidR="00880397" w:rsidRPr="002B0F16">
        <w:t>Klaipėdos miesto savivaldybės tarybos 2017 m. gruodžio 21 d. sprendimas Nr. T2-323 „Dėl Klaipėdos miesto savivaldybės tarybos 2014 m. rugsėjo 15 d. sprendimo Nr. T2-246 „Dėl Klaipėdos miesto savivaldybės biudžetinių kultūros įstaigų teikiamų atlygintinų paslaugų kainų patvirtinimo” pakeitimo“, 5 lapai</w:t>
      </w:r>
    </w:p>
    <w:p w:rsidR="00D713D6" w:rsidRPr="002B0F16" w:rsidRDefault="00D713D6" w:rsidP="00D713D6">
      <w:pPr>
        <w:ind w:firstLine="709"/>
        <w:jc w:val="both"/>
      </w:pPr>
      <w:r w:rsidRPr="002B0F16">
        <w:t xml:space="preserve">5. </w:t>
      </w:r>
      <w:r w:rsidR="00971078" w:rsidRPr="002B0F16">
        <w:t xml:space="preserve">Lyginamieji priedų variantai, </w:t>
      </w:r>
      <w:r w:rsidR="001C6393" w:rsidRPr="002B0F16">
        <w:t xml:space="preserve">14 </w:t>
      </w:r>
      <w:r w:rsidR="00971078" w:rsidRPr="002B0F16">
        <w:t>lap</w:t>
      </w:r>
      <w:r w:rsidR="001C6393" w:rsidRPr="002B0F16">
        <w:t>ų.</w:t>
      </w:r>
    </w:p>
    <w:p w:rsidR="00880397" w:rsidRPr="002B0F16" w:rsidRDefault="00880397" w:rsidP="00880397">
      <w:pPr>
        <w:ind w:left="720"/>
        <w:jc w:val="both"/>
      </w:pPr>
    </w:p>
    <w:p w:rsidR="00880397" w:rsidRPr="002B0F16" w:rsidRDefault="00880397" w:rsidP="00880397">
      <w:pPr>
        <w:ind w:left="720"/>
        <w:jc w:val="both"/>
      </w:pPr>
    </w:p>
    <w:p w:rsidR="00EE5EA0" w:rsidRPr="002B0F16" w:rsidRDefault="00880397" w:rsidP="00FE4EEF">
      <w:pPr>
        <w:jc w:val="both"/>
      </w:pPr>
      <w:r w:rsidRPr="002B0F16">
        <w:t>Planavimo ir analizės skyriaus vedėja</w:t>
      </w:r>
      <w:r w:rsidRPr="002B0F16">
        <w:tab/>
      </w:r>
      <w:r w:rsidRPr="002B0F16">
        <w:tab/>
      </w:r>
      <w:r w:rsidRPr="002B0F16">
        <w:tab/>
      </w:r>
      <w:r w:rsidRPr="002B0F16">
        <w:tab/>
        <w:t xml:space="preserve">    Jolanta Ceplienė</w:t>
      </w:r>
    </w:p>
    <w:sectPr w:rsidR="00EE5EA0" w:rsidRPr="002B0F16" w:rsidSect="00997107">
      <w:pgSz w:w="11906" w:h="16838"/>
      <w:pgMar w:top="1135"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75FF8"/>
    <w:multiLevelType w:val="hybridMultilevel"/>
    <w:tmpl w:val="42ECABDC"/>
    <w:lvl w:ilvl="0" w:tplc="734820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34B"/>
    <w:rsid w:val="00020D5B"/>
    <w:rsid w:val="000E191B"/>
    <w:rsid w:val="00105AD7"/>
    <w:rsid w:val="00112979"/>
    <w:rsid w:val="00113758"/>
    <w:rsid w:val="001C6393"/>
    <w:rsid w:val="001F4764"/>
    <w:rsid w:val="0025082D"/>
    <w:rsid w:val="00276F84"/>
    <w:rsid w:val="002B0F16"/>
    <w:rsid w:val="002B1C6B"/>
    <w:rsid w:val="002D2A0D"/>
    <w:rsid w:val="003A2984"/>
    <w:rsid w:val="00431E41"/>
    <w:rsid w:val="00490200"/>
    <w:rsid w:val="00494390"/>
    <w:rsid w:val="004E1EFE"/>
    <w:rsid w:val="004E58AD"/>
    <w:rsid w:val="0053067D"/>
    <w:rsid w:val="0054315D"/>
    <w:rsid w:val="00543329"/>
    <w:rsid w:val="005A233B"/>
    <w:rsid w:val="00627D04"/>
    <w:rsid w:val="00635CC2"/>
    <w:rsid w:val="00640BDD"/>
    <w:rsid w:val="006502EC"/>
    <w:rsid w:val="0067374F"/>
    <w:rsid w:val="00697ADF"/>
    <w:rsid w:val="007A0185"/>
    <w:rsid w:val="007B3ADD"/>
    <w:rsid w:val="008435DC"/>
    <w:rsid w:val="00880397"/>
    <w:rsid w:val="00881A6C"/>
    <w:rsid w:val="008A5364"/>
    <w:rsid w:val="00950A9B"/>
    <w:rsid w:val="00971078"/>
    <w:rsid w:val="00972D54"/>
    <w:rsid w:val="009777C1"/>
    <w:rsid w:val="009D71B6"/>
    <w:rsid w:val="00A00DBC"/>
    <w:rsid w:val="00A45AD6"/>
    <w:rsid w:val="00A464E5"/>
    <w:rsid w:val="00A54170"/>
    <w:rsid w:val="00A91D96"/>
    <w:rsid w:val="00AF2D80"/>
    <w:rsid w:val="00AF5EE6"/>
    <w:rsid w:val="00B21162"/>
    <w:rsid w:val="00B326AC"/>
    <w:rsid w:val="00B500BC"/>
    <w:rsid w:val="00B964B5"/>
    <w:rsid w:val="00BB4C0D"/>
    <w:rsid w:val="00C2750A"/>
    <w:rsid w:val="00C40142"/>
    <w:rsid w:val="00C6634B"/>
    <w:rsid w:val="00C81D3B"/>
    <w:rsid w:val="00C97532"/>
    <w:rsid w:val="00CD4457"/>
    <w:rsid w:val="00D713D6"/>
    <w:rsid w:val="00DB5133"/>
    <w:rsid w:val="00DF6825"/>
    <w:rsid w:val="00E11D96"/>
    <w:rsid w:val="00E22D8B"/>
    <w:rsid w:val="00E4751F"/>
    <w:rsid w:val="00E94755"/>
    <w:rsid w:val="00EA258D"/>
    <w:rsid w:val="00EB6A59"/>
    <w:rsid w:val="00EE5EA0"/>
    <w:rsid w:val="00F06913"/>
    <w:rsid w:val="00F261AF"/>
    <w:rsid w:val="00F305A2"/>
    <w:rsid w:val="00F70471"/>
    <w:rsid w:val="00F820F2"/>
    <w:rsid w:val="00FE4E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AE55D2-2F34-44BF-A925-547395DDB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31E41"/>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99"/>
    <w:qFormat/>
    <w:rsid w:val="00431E41"/>
    <w:pPr>
      <w:spacing w:after="0" w:line="240" w:lineRule="auto"/>
    </w:pPr>
    <w:rPr>
      <w:rFonts w:ascii="Calibri" w:eastAsia="Calibri" w:hAnsi="Calibri" w:cs="Times New Roman"/>
    </w:rPr>
  </w:style>
  <w:style w:type="paragraph" w:styleId="Debesliotekstas">
    <w:name w:val="Balloon Text"/>
    <w:basedOn w:val="prastasis"/>
    <w:link w:val="DebesliotekstasDiagrama"/>
    <w:uiPriority w:val="99"/>
    <w:semiHidden/>
    <w:unhideWhenUsed/>
    <w:rsid w:val="00DF682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F6825"/>
    <w:rPr>
      <w:rFonts w:ascii="Segoe UI" w:eastAsia="Times New Roman" w:hAnsi="Segoe UI" w:cs="Segoe UI"/>
      <w:sz w:val="18"/>
      <w:szCs w:val="18"/>
    </w:rPr>
  </w:style>
  <w:style w:type="table" w:styleId="Lentelstinklelis">
    <w:name w:val="Table Grid"/>
    <w:basedOn w:val="prastojilentel"/>
    <w:uiPriority w:val="39"/>
    <w:rsid w:val="00BB4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80397"/>
    <w:pPr>
      <w:ind w:left="720"/>
      <w:contextualSpacing/>
    </w:pPr>
  </w:style>
  <w:style w:type="character" w:styleId="Komentaronuoroda">
    <w:name w:val="annotation reference"/>
    <w:basedOn w:val="Numatytasispastraiposriftas"/>
    <w:uiPriority w:val="99"/>
    <w:semiHidden/>
    <w:unhideWhenUsed/>
    <w:rsid w:val="00950A9B"/>
    <w:rPr>
      <w:sz w:val="16"/>
      <w:szCs w:val="16"/>
    </w:rPr>
  </w:style>
  <w:style w:type="paragraph" w:styleId="Komentarotekstas">
    <w:name w:val="annotation text"/>
    <w:basedOn w:val="prastasis"/>
    <w:link w:val="KomentarotekstasDiagrama"/>
    <w:uiPriority w:val="99"/>
    <w:semiHidden/>
    <w:unhideWhenUsed/>
    <w:rsid w:val="00950A9B"/>
    <w:rPr>
      <w:sz w:val="20"/>
      <w:szCs w:val="20"/>
    </w:rPr>
  </w:style>
  <w:style w:type="character" w:customStyle="1" w:styleId="KomentarotekstasDiagrama">
    <w:name w:val="Komentaro tekstas Diagrama"/>
    <w:basedOn w:val="Numatytasispastraiposriftas"/>
    <w:link w:val="Komentarotekstas"/>
    <w:uiPriority w:val="99"/>
    <w:semiHidden/>
    <w:rsid w:val="00950A9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50A9B"/>
    <w:rPr>
      <w:b/>
      <w:bCs/>
    </w:rPr>
  </w:style>
  <w:style w:type="character" w:customStyle="1" w:styleId="KomentarotemaDiagrama">
    <w:name w:val="Komentaro tema Diagrama"/>
    <w:basedOn w:val="KomentarotekstasDiagrama"/>
    <w:link w:val="Komentarotema"/>
    <w:uiPriority w:val="99"/>
    <w:semiHidden/>
    <w:rsid w:val="00950A9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20190-0268-4228-B65B-1BE5D0FC0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4836</Words>
  <Characters>2757</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Dangirutė Pareigytė</dc:creator>
  <cp:keywords/>
  <dc:description/>
  <cp:lastModifiedBy>Julija Mažeikaitė</cp:lastModifiedBy>
  <cp:revision>2</cp:revision>
  <cp:lastPrinted>2020-02-20T14:56:00Z</cp:lastPrinted>
  <dcterms:created xsi:type="dcterms:W3CDTF">2021-06-08T09:29:00Z</dcterms:created>
  <dcterms:modified xsi:type="dcterms:W3CDTF">2021-06-08T09:29:00Z</dcterms:modified>
</cp:coreProperties>
</file>