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6A1DB2" w:rsidTr="00EC21AD">
        <w:tc>
          <w:tcPr>
            <w:tcW w:w="4110" w:type="dxa"/>
          </w:tcPr>
          <w:p w:rsidR="0006079E" w:rsidRPr="006A1DB2" w:rsidRDefault="0006079E" w:rsidP="0006079E">
            <w:pPr>
              <w:tabs>
                <w:tab w:val="left" w:pos="5070"/>
                <w:tab w:val="left" w:pos="5366"/>
                <w:tab w:val="left" w:pos="6771"/>
                <w:tab w:val="left" w:pos="7363"/>
              </w:tabs>
              <w:jc w:val="both"/>
            </w:pPr>
            <w:bookmarkStart w:id="0" w:name="_GoBack"/>
            <w:bookmarkEnd w:id="0"/>
            <w:r w:rsidRPr="006A1DB2">
              <w:t>PATVIRTINTA</w:t>
            </w:r>
          </w:p>
        </w:tc>
      </w:tr>
      <w:tr w:rsidR="0006079E" w:rsidRPr="006A1DB2" w:rsidTr="00EC21AD">
        <w:tc>
          <w:tcPr>
            <w:tcW w:w="4110" w:type="dxa"/>
          </w:tcPr>
          <w:p w:rsidR="0006079E" w:rsidRPr="006A1DB2" w:rsidRDefault="0006079E" w:rsidP="0006079E">
            <w:r w:rsidRPr="006A1DB2">
              <w:t>Klaipėdos miesto savivaldybės</w:t>
            </w:r>
          </w:p>
        </w:tc>
      </w:tr>
      <w:tr w:rsidR="0006079E" w:rsidRPr="006A1DB2" w:rsidTr="00EC21AD">
        <w:tc>
          <w:tcPr>
            <w:tcW w:w="4110" w:type="dxa"/>
          </w:tcPr>
          <w:p w:rsidR="0006079E" w:rsidRPr="006A1DB2" w:rsidRDefault="0006079E" w:rsidP="0006079E">
            <w:r w:rsidRPr="006A1DB2">
              <w:t xml:space="preserve">tarybos </w:t>
            </w:r>
            <w:bookmarkStart w:id="1" w:name="registravimoDataIlga"/>
            <w:r w:rsidRPr="006A1DB2">
              <w:rPr>
                <w:noProof/>
              </w:rPr>
              <w:fldChar w:fldCharType="begin">
                <w:ffData>
                  <w:name w:val="registravimoDataIlga"/>
                  <w:enabled/>
                  <w:calcOnExit w:val="0"/>
                  <w:textInput>
                    <w:maxLength w:val="1"/>
                  </w:textInput>
                </w:ffData>
              </w:fldChar>
            </w:r>
            <w:r w:rsidRPr="006A1DB2">
              <w:rPr>
                <w:noProof/>
              </w:rPr>
              <w:instrText xml:space="preserve"> FORMTEXT </w:instrText>
            </w:r>
            <w:r w:rsidRPr="006A1DB2">
              <w:rPr>
                <w:noProof/>
              </w:rPr>
            </w:r>
            <w:r w:rsidRPr="006A1DB2">
              <w:rPr>
                <w:noProof/>
              </w:rPr>
              <w:fldChar w:fldCharType="separate"/>
            </w:r>
            <w:r w:rsidRPr="006A1DB2">
              <w:rPr>
                <w:noProof/>
              </w:rPr>
              <w:t>2021 m. birželio 8 d.</w:t>
            </w:r>
            <w:r w:rsidRPr="006A1DB2">
              <w:rPr>
                <w:noProof/>
              </w:rPr>
              <w:fldChar w:fldCharType="end"/>
            </w:r>
            <w:bookmarkEnd w:id="1"/>
          </w:p>
        </w:tc>
      </w:tr>
      <w:tr w:rsidR="0006079E" w:rsidRPr="006A1DB2" w:rsidTr="00EC21AD">
        <w:tc>
          <w:tcPr>
            <w:tcW w:w="4110" w:type="dxa"/>
          </w:tcPr>
          <w:p w:rsidR="0006079E" w:rsidRPr="006A1DB2" w:rsidRDefault="0006079E" w:rsidP="004832C8">
            <w:pPr>
              <w:tabs>
                <w:tab w:val="left" w:pos="5070"/>
                <w:tab w:val="left" w:pos="5366"/>
                <w:tab w:val="left" w:pos="6771"/>
                <w:tab w:val="left" w:pos="7363"/>
              </w:tabs>
            </w:pPr>
            <w:r w:rsidRPr="006A1DB2">
              <w:t xml:space="preserve">sprendimu Nr. </w:t>
            </w:r>
            <w:bookmarkStart w:id="2" w:name="registravimoNr"/>
            <w:r w:rsidR="004832C8" w:rsidRPr="006A1DB2">
              <w:t>T1-176</w:t>
            </w:r>
            <w:bookmarkEnd w:id="2"/>
          </w:p>
        </w:tc>
      </w:tr>
    </w:tbl>
    <w:p w:rsidR="00A059D1" w:rsidRPr="006A1DB2" w:rsidRDefault="00A059D1" w:rsidP="00A059D1">
      <w:pPr>
        <w:rPr>
          <w:b/>
        </w:rPr>
      </w:pPr>
    </w:p>
    <w:p w:rsidR="006A1DB2" w:rsidRPr="006A1DB2" w:rsidRDefault="006A1DB2" w:rsidP="00A059D1">
      <w:pPr>
        <w:rPr>
          <w:b/>
        </w:rPr>
      </w:pPr>
    </w:p>
    <w:p w:rsidR="00A059D1" w:rsidRPr="006A1DB2" w:rsidRDefault="00A059D1" w:rsidP="00A059D1">
      <w:pPr>
        <w:jc w:val="center"/>
        <w:rPr>
          <w:b/>
        </w:rPr>
      </w:pPr>
      <w:r w:rsidRPr="006A1DB2">
        <w:rPr>
          <w:b/>
        </w:rPr>
        <w:t xml:space="preserve">VIETINĖS RINKLIAVOS UŽ LEIDIMO ORGANIZUOTI KOMERCINIUS </w:t>
      </w:r>
    </w:p>
    <w:p w:rsidR="00A059D1" w:rsidRPr="006A1DB2" w:rsidRDefault="00A059D1" w:rsidP="00A059D1">
      <w:pPr>
        <w:jc w:val="center"/>
        <w:rPr>
          <w:b/>
        </w:rPr>
      </w:pPr>
      <w:r w:rsidRPr="006A1DB2">
        <w:rPr>
          <w:b/>
        </w:rPr>
        <w:t>RENGINIUS KLAIPĖDOS MIESTO SAVIVALDYBEI PRIKLAUSANČIOSE AR VALDYTOJO TEISE VALDOMOSE VIEŠOJO NAUDOJIMO TERITORIJOSE IŠDAVIMĄ NUOSTATAI</w:t>
      </w:r>
    </w:p>
    <w:p w:rsidR="00A059D1" w:rsidRPr="006A1DB2" w:rsidRDefault="00A059D1" w:rsidP="00A059D1">
      <w:pPr>
        <w:jc w:val="center"/>
        <w:rPr>
          <w:b/>
        </w:rPr>
      </w:pPr>
    </w:p>
    <w:p w:rsidR="00A059D1" w:rsidRPr="006A1DB2" w:rsidRDefault="00A059D1" w:rsidP="00A059D1">
      <w:pPr>
        <w:keepNext/>
        <w:jc w:val="center"/>
        <w:outlineLvl w:val="3"/>
        <w:rPr>
          <w:b/>
        </w:rPr>
      </w:pPr>
      <w:r w:rsidRPr="006A1DB2">
        <w:rPr>
          <w:b/>
        </w:rPr>
        <w:t xml:space="preserve">I SKYRIUS </w:t>
      </w:r>
    </w:p>
    <w:p w:rsidR="00A059D1" w:rsidRPr="006A1DB2" w:rsidRDefault="00A059D1" w:rsidP="00A059D1">
      <w:pPr>
        <w:keepNext/>
        <w:jc w:val="center"/>
        <w:outlineLvl w:val="3"/>
        <w:rPr>
          <w:b/>
        </w:rPr>
      </w:pPr>
      <w:r w:rsidRPr="006A1DB2">
        <w:rPr>
          <w:b/>
        </w:rPr>
        <w:t>BENDROSIOS NUOSTATOS</w:t>
      </w:r>
    </w:p>
    <w:p w:rsidR="00A059D1" w:rsidRPr="006A1DB2" w:rsidRDefault="00A059D1" w:rsidP="00A059D1">
      <w:pPr>
        <w:keepNext/>
        <w:jc w:val="center"/>
        <w:outlineLvl w:val="3"/>
        <w:rPr>
          <w:b/>
        </w:rPr>
      </w:pPr>
    </w:p>
    <w:p w:rsidR="00A059D1" w:rsidRPr="006A1DB2" w:rsidRDefault="00A059D1" w:rsidP="00A059D1">
      <w:pPr>
        <w:ind w:firstLine="720"/>
        <w:jc w:val="both"/>
      </w:pPr>
      <w:r w:rsidRPr="006A1DB2">
        <w:t xml:space="preserve">1. Vietinės rinkliavos už leidimo organizuoti komercinius renginius Klaipėdos miesto savivaldybei priklausančiose ar valdytojo teise valdomose viešojo naudojimo teritorijose išdavimą nuostatai (toliau – Nuostatai) galioja visoje Klaipėdos miesto savivaldybės </w:t>
      </w:r>
      <w:r w:rsidR="006A1DB2" w:rsidRPr="006A1DB2">
        <w:t xml:space="preserve">(toliau – Savivaldybė) </w:t>
      </w:r>
      <w:r w:rsidRPr="006A1DB2">
        <w:t xml:space="preserve">teritorijoje. Nuostatai reglamentuoja </w:t>
      </w:r>
      <w:r w:rsidR="006A1DB2">
        <w:t>v</w:t>
      </w:r>
      <w:r w:rsidR="006A1DB2" w:rsidRPr="006A1DB2">
        <w:t xml:space="preserve">ietinės rinkliavos už leidimo organizuoti komercinius renginius </w:t>
      </w:r>
      <w:bookmarkStart w:id="3" w:name="_Hlk46989200"/>
      <w:r w:rsidR="006A1DB2" w:rsidRPr="006A1DB2">
        <w:t xml:space="preserve">(toliau – rinkliava) </w:t>
      </w:r>
      <w:r w:rsidRPr="006A1DB2">
        <w:t>dydžius, apskaičiavimo, mokėjimo tvarką, lengvatas rinkliavos mokėtojams, rinkliavos rinkimo kontrolę ir atsakomybę</w:t>
      </w:r>
      <w:bookmarkEnd w:id="3"/>
      <w:r w:rsidRPr="006A1DB2">
        <w:t xml:space="preserve">. </w:t>
      </w:r>
    </w:p>
    <w:p w:rsidR="00A059D1" w:rsidRPr="006A1DB2" w:rsidRDefault="00A059D1" w:rsidP="00A059D1">
      <w:pPr>
        <w:ind w:firstLine="720"/>
        <w:jc w:val="both"/>
      </w:pPr>
      <w:r w:rsidRPr="006A1DB2">
        <w:t xml:space="preserve">2. Rinkliava yra Savivaldybės tarybos nustatyta privaloma įmoka rinkliavos mokėtojams Renginių organizavimo viešojo naudojimo teritorijose taisyklių (toliau – Taisyklės) nustatyta tvarka organizuojantiems komercinius renginius.  </w:t>
      </w:r>
    </w:p>
    <w:p w:rsidR="00A059D1" w:rsidRPr="006A1DB2" w:rsidRDefault="00A059D1" w:rsidP="00A059D1">
      <w:pPr>
        <w:ind w:firstLine="720"/>
        <w:jc w:val="both"/>
      </w:pPr>
      <w:r w:rsidRPr="006A1DB2">
        <w:t>3. Rinkliavos mokėtojai yra fiziniai ir juridiniai asmenys (toliau – renginio organizatoriai), organizuojantys komercinius renginius.</w:t>
      </w:r>
    </w:p>
    <w:p w:rsidR="00A059D1" w:rsidRPr="006A1DB2" w:rsidRDefault="00A059D1" w:rsidP="00A059D1">
      <w:pPr>
        <w:ind w:firstLine="720"/>
        <w:jc w:val="both"/>
      </w:pPr>
      <w:r w:rsidRPr="006A1DB2">
        <w:t>4. Renginio organizatoriai Savivaldybei priklausančiose ar valdytojo teise valdomose viešojo naudojimo teritorijose vykdyti renginį gali tik sumokėję rinkliavą ir gavę Savivaldybės administracijos išduotą leidimą organizuoti renginį (toliau – Leidimas).</w:t>
      </w:r>
    </w:p>
    <w:p w:rsidR="00A059D1" w:rsidRPr="006A1DB2" w:rsidRDefault="00A059D1" w:rsidP="00A059D1">
      <w:pPr>
        <w:ind w:firstLine="720"/>
        <w:jc w:val="both"/>
      </w:pPr>
      <w:r w:rsidRPr="006A1DB2">
        <w:t>5. Rinkliava nerenkama už komercinius renginius, kurie organizuojami fizinių ir juridinių asmenų teisėtu pagrindu valdomose teritorijose.</w:t>
      </w:r>
    </w:p>
    <w:p w:rsidR="00A059D1" w:rsidRPr="006A1DB2" w:rsidRDefault="00A059D1" w:rsidP="00A059D1">
      <w:pPr>
        <w:ind w:firstLine="720"/>
        <w:jc w:val="both"/>
      </w:pPr>
      <w:r w:rsidRPr="006A1DB2">
        <w:t>6. Nuostatuose vartojamos sąvokos suprantamos taip, kaip jos apibrėžtos Taisyklėse.</w:t>
      </w:r>
    </w:p>
    <w:p w:rsidR="00A059D1" w:rsidRPr="006A1DB2" w:rsidRDefault="00A059D1" w:rsidP="00A059D1">
      <w:pPr>
        <w:jc w:val="center"/>
        <w:rPr>
          <w:b/>
        </w:rPr>
      </w:pPr>
    </w:p>
    <w:p w:rsidR="00A059D1" w:rsidRPr="006A1DB2" w:rsidRDefault="00A059D1" w:rsidP="00A059D1">
      <w:pPr>
        <w:keepNext/>
        <w:jc w:val="center"/>
        <w:rPr>
          <w:b/>
        </w:rPr>
      </w:pPr>
      <w:r w:rsidRPr="006A1DB2">
        <w:rPr>
          <w:b/>
        </w:rPr>
        <w:t>II SKYRIUS</w:t>
      </w:r>
    </w:p>
    <w:p w:rsidR="00A059D1" w:rsidRPr="006A1DB2" w:rsidRDefault="00A059D1" w:rsidP="00A059D1">
      <w:pPr>
        <w:keepNext/>
        <w:jc w:val="center"/>
        <w:rPr>
          <w:b/>
        </w:rPr>
      </w:pPr>
      <w:r w:rsidRPr="006A1DB2">
        <w:rPr>
          <w:b/>
        </w:rPr>
        <w:t>RINKLIAVOS DYDŽIAI</w:t>
      </w:r>
    </w:p>
    <w:p w:rsidR="00A059D1" w:rsidRPr="006A1DB2" w:rsidRDefault="00A059D1" w:rsidP="00A059D1">
      <w:pPr>
        <w:keepNext/>
        <w:jc w:val="center"/>
        <w:rPr>
          <w:b/>
          <w:strike/>
          <w:u w:val="single"/>
        </w:rPr>
      </w:pPr>
    </w:p>
    <w:p w:rsidR="00A059D1" w:rsidRPr="006A1DB2" w:rsidRDefault="00A059D1" w:rsidP="00A059D1">
      <w:pPr>
        <w:tabs>
          <w:tab w:val="left" w:pos="993"/>
        </w:tabs>
        <w:ind w:firstLine="741"/>
        <w:jc w:val="both"/>
      </w:pPr>
      <w:r w:rsidRPr="006A1DB2">
        <w:t xml:space="preserve">7. </w:t>
      </w:r>
      <w:r w:rsidR="000A09EB">
        <w:t>R</w:t>
      </w:r>
      <w:r w:rsidRPr="006A1DB2">
        <w:t>inkliavos dydžiai už Leidimo išdavimą:</w:t>
      </w:r>
    </w:p>
    <w:p w:rsidR="00A059D1" w:rsidRPr="006A1DB2" w:rsidRDefault="00A059D1" w:rsidP="00A059D1">
      <w:pPr>
        <w:tabs>
          <w:tab w:val="left" w:pos="993"/>
        </w:tabs>
        <w:ind w:firstLine="741"/>
        <w:jc w:val="both"/>
      </w:pPr>
    </w:p>
    <w:tbl>
      <w:tblPr>
        <w:tblW w:w="9811" w:type="dxa"/>
        <w:tblInd w:w="-38" w:type="dxa"/>
        <w:tblLayout w:type="fixed"/>
        <w:tblLook w:val="0000" w:firstRow="0" w:lastRow="0" w:firstColumn="0" w:lastColumn="0" w:noHBand="0" w:noVBand="0"/>
      </w:tblPr>
      <w:tblGrid>
        <w:gridCol w:w="3610"/>
        <w:gridCol w:w="3508"/>
        <w:gridCol w:w="2693"/>
      </w:tblGrid>
      <w:tr w:rsidR="00A059D1" w:rsidRPr="006A1DB2" w:rsidTr="006A1DB2">
        <w:trPr>
          <w:trHeight w:val="290"/>
        </w:trPr>
        <w:tc>
          <w:tcPr>
            <w:tcW w:w="3610" w:type="dxa"/>
            <w:tcBorders>
              <w:top w:val="single" w:sz="6" w:space="0" w:color="auto"/>
              <w:left w:val="single" w:sz="6" w:space="0" w:color="auto"/>
              <w:bottom w:val="single" w:sz="6" w:space="0" w:color="auto"/>
              <w:right w:val="single" w:sz="6" w:space="0" w:color="auto"/>
            </w:tcBorders>
          </w:tcPr>
          <w:p w:rsidR="00A059D1" w:rsidRPr="006A1DB2" w:rsidRDefault="00A059D1" w:rsidP="00D05127">
            <w:pPr>
              <w:autoSpaceDE w:val="0"/>
              <w:autoSpaceDN w:val="0"/>
              <w:adjustRightInd w:val="0"/>
              <w:jc w:val="center"/>
              <w:rPr>
                <w:rFonts w:eastAsiaTheme="minorHAnsi"/>
                <w:b/>
                <w:bCs/>
                <w:color w:val="000000"/>
              </w:rPr>
            </w:pPr>
            <w:r w:rsidRPr="006A1DB2">
              <w:rPr>
                <w:rFonts w:eastAsiaTheme="minorHAnsi"/>
                <w:b/>
                <w:bCs/>
                <w:color w:val="000000"/>
              </w:rPr>
              <w:t>Renginio tipas</w:t>
            </w:r>
          </w:p>
        </w:tc>
        <w:tc>
          <w:tcPr>
            <w:tcW w:w="3508" w:type="dxa"/>
            <w:tcBorders>
              <w:top w:val="single" w:sz="6" w:space="0" w:color="auto"/>
              <w:left w:val="single" w:sz="6" w:space="0" w:color="auto"/>
              <w:bottom w:val="single" w:sz="6" w:space="0" w:color="auto"/>
              <w:right w:val="single" w:sz="6" w:space="0" w:color="auto"/>
            </w:tcBorders>
            <w:vAlign w:val="center"/>
          </w:tcPr>
          <w:p w:rsidR="00A059D1" w:rsidRPr="006A1DB2" w:rsidRDefault="00A059D1" w:rsidP="006A1DB2">
            <w:pPr>
              <w:autoSpaceDE w:val="0"/>
              <w:autoSpaceDN w:val="0"/>
              <w:adjustRightInd w:val="0"/>
              <w:rPr>
                <w:rFonts w:eastAsiaTheme="minorHAnsi"/>
                <w:b/>
                <w:bCs/>
                <w:color w:val="000000"/>
              </w:rPr>
            </w:pPr>
            <w:r w:rsidRPr="006A1DB2">
              <w:rPr>
                <w:rFonts w:eastAsiaTheme="minorHAnsi"/>
                <w:b/>
                <w:bCs/>
                <w:color w:val="000000"/>
              </w:rPr>
              <w:t>Renginio trukmė</w:t>
            </w:r>
          </w:p>
        </w:tc>
        <w:tc>
          <w:tcPr>
            <w:tcW w:w="2693" w:type="dxa"/>
            <w:tcBorders>
              <w:top w:val="single" w:sz="6" w:space="0" w:color="auto"/>
              <w:left w:val="single" w:sz="6" w:space="0" w:color="auto"/>
              <w:bottom w:val="single" w:sz="6" w:space="0" w:color="auto"/>
              <w:right w:val="single" w:sz="6" w:space="0" w:color="auto"/>
            </w:tcBorders>
            <w:vAlign w:val="center"/>
          </w:tcPr>
          <w:p w:rsidR="00A059D1" w:rsidRPr="006A1DB2" w:rsidRDefault="00A059D1" w:rsidP="006A1DB2">
            <w:pPr>
              <w:autoSpaceDE w:val="0"/>
              <w:autoSpaceDN w:val="0"/>
              <w:adjustRightInd w:val="0"/>
              <w:rPr>
                <w:rFonts w:eastAsiaTheme="minorHAnsi"/>
                <w:b/>
                <w:bCs/>
                <w:color w:val="000000"/>
              </w:rPr>
            </w:pPr>
            <w:r w:rsidRPr="006A1DB2">
              <w:rPr>
                <w:rFonts w:eastAsiaTheme="minorHAnsi"/>
                <w:b/>
                <w:bCs/>
                <w:color w:val="000000"/>
              </w:rPr>
              <w:t>Fiksuotas mokestis Eur</w:t>
            </w:r>
          </w:p>
        </w:tc>
      </w:tr>
      <w:tr w:rsidR="00A059D1" w:rsidRPr="006A1DB2" w:rsidTr="006A1DB2">
        <w:trPr>
          <w:trHeight w:val="290"/>
        </w:trPr>
        <w:tc>
          <w:tcPr>
            <w:tcW w:w="3610" w:type="dxa"/>
            <w:tcBorders>
              <w:top w:val="single" w:sz="6" w:space="0" w:color="auto"/>
              <w:left w:val="single" w:sz="6" w:space="0" w:color="auto"/>
              <w:bottom w:val="single" w:sz="6" w:space="0" w:color="auto"/>
              <w:right w:val="single" w:sz="6" w:space="0" w:color="auto"/>
            </w:tcBorders>
          </w:tcPr>
          <w:p w:rsidR="00A059D1" w:rsidRPr="006A1DB2" w:rsidRDefault="00A059D1" w:rsidP="00D05127">
            <w:pPr>
              <w:autoSpaceDE w:val="0"/>
              <w:autoSpaceDN w:val="0"/>
              <w:adjustRightInd w:val="0"/>
              <w:rPr>
                <w:rFonts w:eastAsiaTheme="minorHAnsi"/>
                <w:color w:val="000000"/>
              </w:rPr>
            </w:pPr>
            <w:r w:rsidRPr="006A1DB2">
              <w:rPr>
                <w:rFonts w:eastAsiaTheme="minorHAnsi"/>
                <w:color w:val="000000"/>
              </w:rPr>
              <w:t>Bet kokio dydžio renginys</w:t>
            </w:r>
          </w:p>
        </w:tc>
        <w:tc>
          <w:tcPr>
            <w:tcW w:w="3508" w:type="dxa"/>
            <w:tcBorders>
              <w:top w:val="single" w:sz="6" w:space="0" w:color="auto"/>
              <w:left w:val="single" w:sz="6" w:space="0" w:color="auto"/>
              <w:bottom w:val="single" w:sz="6" w:space="0" w:color="auto"/>
              <w:right w:val="single" w:sz="6" w:space="0" w:color="auto"/>
            </w:tcBorders>
            <w:vAlign w:val="center"/>
          </w:tcPr>
          <w:p w:rsidR="00A059D1" w:rsidRPr="006A1DB2" w:rsidRDefault="00A059D1" w:rsidP="006A1DB2">
            <w:pPr>
              <w:autoSpaceDE w:val="0"/>
              <w:autoSpaceDN w:val="0"/>
              <w:adjustRightInd w:val="0"/>
              <w:rPr>
                <w:rFonts w:eastAsiaTheme="minorHAnsi"/>
                <w:color w:val="000000"/>
              </w:rPr>
            </w:pPr>
            <w:r w:rsidRPr="006A1DB2">
              <w:rPr>
                <w:rFonts w:eastAsiaTheme="minorHAnsi"/>
                <w:color w:val="000000"/>
              </w:rPr>
              <w:t>1 para</w:t>
            </w:r>
          </w:p>
        </w:tc>
        <w:tc>
          <w:tcPr>
            <w:tcW w:w="2693" w:type="dxa"/>
            <w:tcBorders>
              <w:top w:val="single" w:sz="6" w:space="0" w:color="auto"/>
              <w:left w:val="single" w:sz="6" w:space="0" w:color="auto"/>
              <w:bottom w:val="single" w:sz="6" w:space="0" w:color="auto"/>
              <w:right w:val="single" w:sz="6" w:space="0" w:color="auto"/>
            </w:tcBorders>
            <w:vAlign w:val="center"/>
          </w:tcPr>
          <w:p w:rsidR="00A059D1" w:rsidRPr="006A1DB2" w:rsidRDefault="00A059D1" w:rsidP="006A1DB2">
            <w:pPr>
              <w:autoSpaceDE w:val="0"/>
              <w:autoSpaceDN w:val="0"/>
              <w:adjustRightInd w:val="0"/>
              <w:rPr>
                <w:rFonts w:eastAsiaTheme="minorHAnsi"/>
                <w:color w:val="000000"/>
              </w:rPr>
            </w:pPr>
            <w:r w:rsidRPr="006A1DB2">
              <w:rPr>
                <w:rFonts w:eastAsiaTheme="minorHAnsi"/>
                <w:color w:val="000000"/>
              </w:rPr>
              <w:t>1,0</w:t>
            </w:r>
          </w:p>
        </w:tc>
      </w:tr>
      <w:tr w:rsidR="00A059D1" w:rsidRPr="006A1DB2" w:rsidTr="006A1DB2">
        <w:trPr>
          <w:trHeight w:val="290"/>
        </w:trPr>
        <w:tc>
          <w:tcPr>
            <w:tcW w:w="3610" w:type="dxa"/>
            <w:tcBorders>
              <w:top w:val="nil"/>
              <w:left w:val="single" w:sz="6" w:space="0" w:color="auto"/>
              <w:bottom w:val="nil"/>
              <w:right w:val="single" w:sz="6" w:space="0" w:color="auto"/>
            </w:tcBorders>
          </w:tcPr>
          <w:p w:rsidR="00A059D1" w:rsidRPr="006A1DB2" w:rsidRDefault="00A059D1" w:rsidP="00D05127">
            <w:pPr>
              <w:autoSpaceDE w:val="0"/>
              <w:autoSpaceDN w:val="0"/>
              <w:adjustRightInd w:val="0"/>
              <w:rPr>
                <w:rFonts w:eastAsiaTheme="minorHAnsi"/>
                <w:color w:val="000000"/>
              </w:rPr>
            </w:pPr>
            <w:r w:rsidRPr="006A1DB2">
              <w:rPr>
                <w:rFonts w:eastAsiaTheme="minorHAnsi"/>
                <w:color w:val="000000"/>
              </w:rPr>
              <w:t>Reklaminė akcija, filmavimas</w:t>
            </w:r>
          </w:p>
        </w:tc>
        <w:tc>
          <w:tcPr>
            <w:tcW w:w="3508" w:type="dxa"/>
            <w:tcBorders>
              <w:top w:val="single" w:sz="6" w:space="0" w:color="auto"/>
              <w:left w:val="single" w:sz="6" w:space="0" w:color="auto"/>
              <w:bottom w:val="single" w:sz="6" w:space="0" w:color="auto"/>
              <w:right w:val="single" w:sz="6" w:space="0" w:color="auto"/>
            </w:tcBorders>
            <w:vAlign w:val="center"/>
          </w:tcPr>
          <w:p w:rsidR="00A059D1" w:rsidRPr="006A1DB2" w:rsidRDefault="006A1DB2" w:rsidP="006A1DB2">
            <w:pPr>
              <w:autoSpaceDE w:val="0"/>
              <w:autoSpaceDN w:val="0"/>
              <w:adjustRightInd w:val="0"/>
              <w:rPr>
                <w:rFonts w:eastAsiaTheme="minorHAnsi"/>
                <w:color w:val="000000"/>
              </w:rPr>
            </w:pPr>
            <w:r>
              <w:rPr>
                <w:rFonts w:eastAsiaTheme="minorHAnsi"/>
                <w:color w:val="000000"/>
              </w:rPr>
              <w:t>I</w:t>
            </w:r>
            <w:r w:rsidR="00A059D1" w:rsidRPr="006A1DB2">
              <w:rPr>
                <w:rFonts w:eastAsiaTheme="minorHAnsi"/>
                <w:color w:val="000000"/>
              </w:rPr>
              <w:t>ki 3 val.</w:t>
            </w:r>
          </w:p>
        </w:tc>
        <w:tc>
          <w:tcPr>
            <w:tcW w:w="2693" w:type="dxa"/>
            <w:tcBorders>
              <w:top w:val="single" w:sz="6" w:space="0" w:color="auto"/>
              <w:left w:val="single" w:sz="6" w:space="0" w:color="auto"/>
              <w:bottom w:val="single" w:sz="6" w:space="0" w:color="auto"/>
              <w:right w:val="single" w:sz="6" w:space="0" w:color="auto"/>
            </w:tcBorders>
            <w:vAlign w:val="center"/>
          </w:tcPr>
          <w:p w:rsidR="00A059D1" w:rsidRPr="006A1DB2" w:rsidRDefault="00A059D1" w:rsidP="006A1DB2">
            <w:pPr>
              <w:autoSpaceDE w:val="0"/>
              <w:autoSpaceDN w:val="0"/>
              <w:adjustRightInd w:val="0"/>
              <w:rPr>
                <w:rFonts w:eastAsiaTheme="minorHAnsi"/>
                <w:color w:val="000000"/>
              </w:rPr>
            </w:pPr>
            <w:r w:rsidRPr="006A1DB2">
              <w:rPr>
                <w:rFonts w:eastAsiaTheme="minorHAnsi"/>
                <w:color w:val="000000"/>
              </w:rPr>
              <w:t>7,2</w:t>
            </w:r>
          </w:p>
        </w:tc>
      </w:tr>
      <w:tr w:rsidR="00A059D1" w:rsidRPr="006A1DB2" w:rsidTr="006A1DB2">
        <w:trPr>
          <w:trHeight w:val="290"/>
        </w:trPr>
        <w:tc>
          <w:tcPr>
            <w:tcW w:w="3610" w:type="dxa"/>
            <w:tcBorders>
              <w:top w:val="nil"/>
              <w:left w:val="single" w:sz="6" w:space="0" w:color="auto"/>
              <w:bottom w:val="nil"/>
              <w:right w:val="single" w:sz="6" w:space="0" w:color="auto"/>
            </w:tcBorders>
          </w:tcPr>
          <w:p w:rsidR="00A059D1" w:rsidRPr="006A1DB2" w:rsidRDefault="00A059D1" w:rsidP="00D05127">
            <w:pPr>
              <w:autoSpaceDE w:val="0"/>
              <w:autoSpaceDN w:val="0"/>
              <w:adjustRightInd w:val="0"/>
              <w:rPr>
                <w:rFonts w:eastAsiaTheme="minorHAnsi"/>
                <w:color w:val="000000"/>
              </w:rPr>
            </w:pPr>
          </w:p>
        </w:tc>
        <w:tc>
          <w:tcPr>
            <w:tcW w:w="3508" w:type="dxa"/>
            <w:tcBorders>
              <w:top w:val="single" w:sz="6" w:space="0" w:color="auto"/>
              <w:left w:val="single" w:sz="6" w:space="0" w:color="auto"/>
              <w:bottom w:val="single" w:sz="6" w:space="0" w:color="auto"/>
              <w:right w:val="single" w:sz="6" w:space="0" w:color="auto"/>
            </w:tcBorders>
            <w:vAlign w:val="center"/>
          </w:tcPr>
          <w:p w:rsidR="00A059D1" w:rsidRPr="006A1DB2" w:rsidRDefault="006A1DB2" w:rsidP="006A1DB2">
            <w:pPr>
              <w:autoSpaceDE w:val="0"/>
              <w:autoSpaceDN w:val="0"/>
              <w:adjustRightInd w:val="0"/>
              <w:rPr>
                <w:rFonts w:eastAsiaTheme="minorHAnsi"/>
                <w:color w:val="000000"/>
              </w:rPr>
            </w:pPr>
            <w:r>
              <w:rPr>
                <w:rFonts w:eastAsiaTheme="minorHAnsi"/>
                <w:color w:val="000000"/>
              </w:rPr>
              <w:t>I</w:t>
            </w:r>
            <w:r w:rsidR="00A059D1" w:rsidRPr="006A1DB2">
              <w:rPr>
                <w:rFonts w:eastAsiaTheme="minorHAnsi"/>
                <w:color w:val="000000"/>
              </w:rPr>
              <w:t>ki 6 val.</w:t>
            </w:r>
          </w:p>
        </w:tc>
        <w:tc>
          <w:tcPr>
            <w:tcW w:w="2693" w:type="dxa"/>
            <w:tcBorders>
              <w:top w:val="single" w:sz="6" w:space="0" w:color="auto"/>
              <w:left w:val="single" w:sz="6" w:space="0" w:color="auto"/>
              <w:bottom w:val="single" w:sz="6" w:space="0" w:color="auto"/>
              <w:right w:val="single" w:sz="6" w:space="0" w:color="auto"/>
            </w:tcBorders>
            <w:vAlign w:val="center"/>
          </w:tcPr>
          <w:p w:rsidR="00A059D1" w:rsidRPr="006A1DB2" w:rsidRDefault="00A059D1" w:rsidP="006A1DB2">
            <w:pPr>
              <w:autoSpaceDE w:val="0"/>
              <w:autoSpaceDN w:val="0"/>
              <w:adjustRightInd w:val="0"/>
              <w:rPr>
                <w:rFonts w:eastAsiaTheme="minorHAnsi"/>
                <w:color w:val="000000"/>
              </w:rPr>
            </w:pPr>
            <w:r w:rsidRPr="006A1DB2">
              <w:rPr>
                <w:rFonts w:eastAsiaTheme="minorHAnsi"/>
                <w:color w:val="000000"/>
              </w:rPr>
              <w:t>14</w:t>
            </w:r>
          </w:p>
        </w:tc>
      </w:tr>
      <w:tr w:rsidR="00A059D1" w:rsidRPr="006A1DB2" w:rsidTr="006A1DB2">
        <w:trPr>
          <w:trHeight w:val="290"/>
        </w:trPr>
        <w:tc>
          <w:tcPr>
            <w:tcW w:w="3610" w:type="dxa"/>
            <w:tcBorders>
              <w:top w:val="nil"/>
              <w:left w:val="single" w:sz="6" w:space="0" w:color="auto"/>
              <w:bottom w:val="single" w:sz="6" w:space="0" w:color="auto"/>
              <w:right w:val="single" w:sz="6" w:space="0" w:color="auto"/>
            </w:tcBorders>
          </w:tcPr>
          <w:p w:rsidR="00A059D1" w:rsidRPr="006A1DB2" w:rsidRDefault="00A059D1" w:rsidP="00D05127">
            <w:pPr>
              <w:autoSpaceDE w:val="0"/>
              <w:autoSpaceDN w:val="0"/>
              <w:adjustRightInd w:val="0"/>
              <w:rPr>
                <w:rFonts w:eastAsiaTheme="minorHAnsi"/>
                <w:color w:val="000000"/>
              </w:rPr>
            </w:pPr>
          </w:p>
        </w:tc>
        <w:tc>
          <w:tcPr>
            <w:tcW w:w="3508" w:type="dxa"/>
            <w:tcBorders>
              <w:top w:val="single" w:sz="6" w:space="0" w:color="auto"/>
              <w:left w:val="single" w:sz="6" w:space="0" w:color="auto"/>
              <w:bottom w:val="single" w:sz="6" w:space="0" w:color="auto"/>
              <w:right w:val="single" w:sz="6" w:space="0" w:color="auto"/>
            </w:tcBorders>
            <w:vAlign w:val="center"/>
          </w:tcPr>
          <w:p w:rsidR="00A059D1" w:rsidRPr="006A1DB2" w:rsidRDefault="00A059D1" w:rsidP="006A1DB2">
            <w:pPr>
              <w:autoSpaceDE w:val="0"/>
              <w:autoSpaceDN w:val="0"/>
              <w:adjustRightInd w:val="0"/>
              <w:rPr>
                <w:rFonts w:eastAsiaTheme="minorHAnsi"/>
                <w:color w:val="000000"/>
              </w:rPr>
            </w:pPr>
            <w:r w:rsidRPr="006A1DB2">
              <w:rPr>
                <w:rFonts w:eastAsiaTheme="minorHAnsi"/>
                <w:color w:val="000000"/>
              </w:rPr>
              <w:t>1 para</w:t>
            </w:r>
          </w:p>
        </w:tc>
        <w:tc>
          <w:tcPr>
            <w:tcW w:w="2693" w:type="dxa"/>
            <w:tcBorders>
              <w:top w:val="single" w:sz="6" w:space="0" w:color="auto"/>
              <w:left w:val="single" w:sz="6" w:space="0" w:color="auto"/>
              <w:bottom w:val="single" w:sz="6" w:space="0" w:color="auto"/>
              <w:right w:val="single" w:sz="6" w:space="0" w:color="auto"/>
            </w:tcBorders>
            <w:vAlign w:val="center"/>
          </w:tcPr>
          <w:p w:rsidR="00A059D1" w:rsidRPr="006A1DB2" w:rsidRDefault="00A059D1" w:rsidP="006A1DB2">
            <w:pPr>
              <w:autoSpaceDE w:val="0"/>
              <w:autoSpaceDN w:val="0"/>
              <w:adjustRightInd w:val="0"/>
              <w:rPr>
                <w:rFonts w:eastAsiaTheme="minorHAnsi"/>
                <w:color w:val="000000"/>
              </w:rPr>
            </w:pPr>
            <w:r w:rsidRPr="006A1DB2">
              <w:rPr>
                <w:rFonts w:eastAsiaTheme="minorHAnsi"/>
                <w:color w:val="000000"/>
              </w:rPr>
              <w:t>29</w:t>
            </w:r>
          </w:p>
        </w:tc>
      </w:tr>
      <w:tr w:rsidR="00A059D1" w:rsidRPr="006A1DB2" w:rsidTr="006A1DB2">
        <w:trPr>
          <w:trHeight w:val="290"/>
        </w:trPr>
        <w:tc>
          <w:tcPr>
            <w:tcW w:w="3610" w:type="dxa"/>
            <w:tcBorders>
              <w:top w:val="nil"/>
              <w:left w:val="single" w:sz="6" w:space="0" w:color="auto"/>
              <w:bottom w:val="nil"/>
              <w:right w:val="single" w:sz="6" w:space="0" w:color="auto"/>
            </w:tcBorders>
          </w:tcPr>
          <w:p w:rsidR="00A059D1" w:rsidRPr="006A1DB2" w:rsidRDefault="00A059D1" w:rsidP="00D05127">
            <w:pPr>
              <w:autoSpaceDE w:val="0"/>
              <w:autoSpaceDN w:val="0"/>
              <w:adjustRightInd w:val="0"/>
              <w:rPr>
                <w:rFonts w:eastAsiaTheme="minorHAnsi"/>
                <w:color w:val="000000"/>
              </w:rPr>
            </w:pPr>
            <w:r w:rsidRPr="006A1DB2">
              <w:rPr>
                <w:rFonts w:eastAsiaTheme="minorHAnsi"/>
                <w:color w:val="000000"/>
              </w:rPr>
              <w:t>Atrakcionai</w:t>
            </w:r>
          </w:p>
        </w:tc>
        <w:tc>
          <w:tcPr>
            <w:tcW w:w="3508" w:type="dxa"/>
            <w:tcBorders>
              <w:top w:val="single" w:sz="6" w:space="0" w:color="auto"/>
              <w:left w:val="single" w:sz="6" w:space="0" w:color="auto"/>
              <w:bottom w:val="single" w:sz="6" w:space="0" w:color="auto"/>
              <w:right w:val="single" w:sz="6" w:space="0" w:color="auto"/>
            </w:tcBorders>
            <w:vAlign w:val="center"/>
          </w:tcPr>
          <w:p w:rsidR="00A059D1" w:rsidRPr="006A1DB2" w:rsidRDefault="00A059D1" w:rsidP="006A1DB2">
            <w:pPr>
              <w:autoSpaceDE w:val="0"/>
              <w:autoSpaceDN w:val="0"/>
              <w:adjustRightInd w:val="0"/>
              <w:rPr>
                <w:rFonts w:eastAsiaTheme="minorHAnsi"/>
                <w:color w:val="000000"/>
              </w:rPr>
            </w:pPr>
            <w:r w:rsidRPr="006A1DB2">
              <w:rPr>
                <w:rFonts w:eastAsiaTheme="minorHAnsi"/>
                <w:color w:val="000000"/>
              </w:rPr>
              <w:t>1</w:t>
            </w:r>
            <w:r w:rsidR="006A1DB2">
              <w:rPr>
                <w:rFonts w:eastAsiaTheme="minorHAnsi"/>
                <w:color w:val="000000"/>
              </w:rPr>
              <w:t>–</w:t>
            </w:r>
            <w:r w:rsidRPr="006A1DB2">
              <w:rPr>
                <w:rFonts w:eastAsiaTheme="minorHAnsi"/>
                <w:color w:val="000000"/>
              </w:rPr>
              <w:t>7 k. d.</w:t>
            </w:r>
          </w:p>
        </w:tc>
        <w:tc>
          <w:tcPr>
            <w:tcW w:w="2693" w:type="dxa"/>
            <w:tcBorders>
              <w:top w:val="single" w:sz="6" w:space="0" w:color="auto"/>
              <w:left w:val="single" w:sz="6" w:space="0" w:color="auto"/>
              <w:bottom w:val="single" w:sz="6" w:space="0" w:color="auto"/>
              <w:right w:val="single" w:sz="6" w:space="0" w:color="auto"/>
            </w:tcBorders>
            <w:vAlign w:val="center"/>
          </w:tcPr>
          <w:p w:rsidR="00A059D1" w:rsidRPr="006A1DB2" w:rsidRDefault="00A059D1" w:rsidP="006A1DB2">
            <w:pPr>
              <w:autoSpaceDE w:val="0"/>
              <w:autoSpaceDN w:val="0"/>
              <w:adjustRightInd w:val="0"/>
              <w:rPr>
                <w:rFonts w:eastAsiaTheme="minorHAnsi"/>
                <w:color w:val="000000"/>
              </w:rPr>
            </w:pPr>
            <w:r w:rsidRPr="006A1DB2">
              <w:rPr>
                <w:rFonts w:eastAsiaTheme="minorHAnsi"/>
                <w:color w:val="000000"/>
              </w:rPr>
              <w:t>0,5 už kv. m</w:t>
            </w:r>
          </w:p>
        </w:tc>
      </w:tr>
      <w:tr w:rsidR="00A059D1" w:rsidRPr="006A1DB2" w:rsidTr="006A1DB2">
        <w:trPr>
          <w:trHeight w:val="290"/>
        </w:trPr>
        <w:tc>
          <w:tcPr>
            <w:tcW w:w="3610" w:type="dxa"/>
            <w:tcBorders>
              <w:top w:val="nil"/>
              <w:left w:val="single" w:sz="6" w:space="0" w:color="auto"/>
              <w:bottom w:val="nil"/>
              <w:right w:val="single" w:sz="6" w:space="0" w:color="auto"/>
            </w:tcBorders>
          </w:tcPr>
          <w:p w:rsidR="00A059D1" w:rsidRPr="006A1DB2" w:rsidRDefault="00A059D1" w:rsidP="00D05127">
            <w:pPr>
              <w:autoSpaceDE w:val="0"/>
              <w:autoSpaceDN w:val="0"/>
              <w:adjustRightInd w:val="0"/>
              <w:rPr>
                <w:rFonts w:eastAsiaTheme="minorHAnsi"/>
                <w:color w:val="000000"/>
              </w:rPr>
            </w:pPr>
          </w:p>
        </w:tc>
        <w:tc>
          <w:tcPr>
            <w:tcW w:w="3508" w:type="dxa"/>
            <w:tcBorders>
              <w:top w:val="single" w:sz="6" w:space="0" w:color="auto"/>
              <w:left w:val="single" w:sz="6" w:space="0" w:color="auto"/>
              <w:bottom w:val="single" w:sz="6" w:space="0" w:color="auto"/>
              <w:right w:val="single" w:sz="6" w:space="0" w:color="auto"/>
            </w:tcBorders>
            <w:vAlign w:val="center"/>
          </w:tcPr>
          <w:p w:rsidR="00A059D1" w:rsidRPr="006A1DB2" w:rsidRDefault="00A059D1" w:rsidP="006A1DB2">
            <w:pPr>
              <w:autoSpaceDE w:val="0"/>
              <w:autoSpaceDN w:val="0"/>
              <w:adjustRightInd w:val="0"/>
              <w:rPr>
                <w:rFonts w:eastAsiaTheme="minorHAnsi"/>
                <w:color w:val="000000"/>
              </w:rPr>
            </w:pPr>
            <w:r w:rsidRPr="006A1DB2">
              <w:rPr>
                <w:rFonts w:eastAsiaTheme="minorHAnsi"/>
                <w:color w:val="000000"/>
              </w:rPr>
              <w:t>8</w:t>
            </w:r>
            <w:r w:rsidR="006A1DB2">
              <w:rPr>
                <w:rFonts w:eastAsiaTheme="minorHAnsi"/>
                <w:color w:val="000000"/>
              </w:rPr>
              <w:t>–</w:t>
            </w:r>
            <w:r w:rsidRPr="006A1DB2">
              <w:rPr>
                <w:rFonts w:eastAsiaTheme="minorHAnsi"/>
                <w:color w:val="000000"/>
              </w:rPr>
              <w:t>14 k. d.</w:t>
            </w:r>
          </w:p>
        </w:tc>
        <w:tc>
          <w:tcPr>
            <w:tcW w:w="2693" w:type="dxa"/>
            <w:tcBorders>
              <w:top w:val="single" w:sz="6" w:space="0" w:color="auto"/>
              <w:left w:val="single" w:sz="6" w:space="0" w:color="auto"/>
              <w:bottom w:val="single" w:sz="6" w:space="0" w:color="auto"/>
              <w:right w:val="single" w:sz="6" w:space="0" w:color="auto"/>
            </w:tcBorders>
            <w:vAlign w:val="center"/>
          </w:tcPr>
          <w:p w:rsidR="00A059D1" w:rsidRPr="006A1DB2" w:rsidRDefault="00A059D1" w:rsidP="006A1DB2">
            <w:pPr>
              <w:autoSpaceDE w:val="0"/>
              <w:autoSpaceDN w:val="0"/>
              <w:adjustRightInd w:val="0"/>
              <w:rPr>
                <w:rFonts w:eastAsiaTheme="minorHAnsi"/>
                <w:color w:val="000000"/>
              </w:rPr>
            </w:pPr>
            <w:r w:rsidRPr="006A1DB2">
              <w:rPr>
                <w:rFonts w:eastAsiaTheme="minorHAnsi"/>
                <w:color w:val="000000"/>
              </w:rPr>
              <w:t>0,7 už kv. m</w:t>
            </w:r>
          </w:p>
        </w:tc>
      </w:tr>
      <w:tr w:rsidR="00A059D1" w:rsidRPr="006A1DB2" w:rsidTr="006A1DB2">
        <w:trPr>
          <w:trHeight w:val="290"/>
        </w:trPr>
        <w:tc>
          <w:tcPr>
            <w:tcW w:w="3610" w:type="dxa"/>
            <w:tcBorders>
              <w:top w:val="nil"/>
              <w:left w:val="single" w:sz="6" w:space="0" w:color="auto"/>
              <w:bottom w:val="nil"/>
              <w:right w:val="single" w:sz="6" w:space="0" w:color="auto"/>
            </w:tcBorders>
          </w:tcPr>
          <w:p w:rsidR="00A059D1" w:rsidRPr="006A1DB2" w:rsidRDefault="00A059D1" w:rsidP="00D05127">
            <w:pPr>
              <w:autoSpaceDE w:val="0"/>
              <w:autoSpaceDN w:val="0"/>
              <w:adjustRightInd w:val="0"/>
              <w:rPr>
                <w:rFonts w:eastAsiaTheme="minorHAnsi"/>
                <w:color w:val="000000"/>
              </w:rPr>
            </w:pPr>
          </w:p>
        </w:tc>
        <w:tc>
          <w:tcPr>
            <w:tcW w:w="3508" w:type="dxa"/>
            <w:tcBorders>
              <w:top w:val="single" w:sz="6" w:space="0" w:color="auto"/>
              <w:left w:val="single" w:sz="6" w:space="0" w:color="auto"/>
              <w:bottom w:val="single" w:sz="6" w:space="0" w:color="auto"/>
              <w:right w:val="single" w:sz="6" w:space="0" w:color="auto"/>
            </w:tcBorders>
            <w:vAlign w:val="center"/>
          </w:tcPr>
          <w:p w:rsidR="00A059D1" w:rsidRPr="006A1DB2" w:rsidRDefault="00A059D1" w:rsidP="006A1DB2">
            <w:pPr>
              <w:autoSpaceDE w:val="0"/>
              <w:autoSpaceDN w:val="0"/>
              <w:adjustRightInd w:val="0"/>
              <w:rPr>
                <w:rFonts w:eastAsiaTheme="minorHAnsi"/>
                <w:color w:val="000000"/>
              </w:rPr>
            </w:pPr>
            <w:r w:rsidRPr="006A1DB2">
              <w:rPr>
                <w:rFonts w:eastAsiaTheme="minorHAnsi"/>
                <w:color w:val="000000"/>
              </w:rPr>
              <w:t>15</w:t>
            </w:r>
            <w:r w:rsidR="006A1DB2">
              <w:rPr>
                <w:rFonts w:eastAsiaTheme="minorHAnsi"/>
                <w:color w:val="000000"/>
              </w:rPr>
              <w:t>–</w:t>
            </w:r>
            <w:r w:rsidRPr="006A1DB2">
              <w:rPr>
                <w:rFonts w:eastAsiaTheme="minorHAnsi"/>
                <w:color w:val="000000"/>
              </w:rPr>
              <w:t>21 k. d.</w:t>
            </w:r>
          </w:p>
        </w:tc>
        <w:tc>
          <w:tcPr>
            <w:tcW w:w="2693" w:type="dxa"/>
            <w:tcBorders>
              <w:top w:val="single" w:sz="6" w:space="0" w:color="auto"/>
              <w:left w:val="single" w:sz="6" w:space="0" w:color="auto"/>
              <w:bottom w:val="single" w:sz="6" w:space="0" w:color="auto"/>
              <w:right w:val="single" w:sz="6" w:space="0" w:color="auto"/>
            </w:tcBorders>
            <w:vAlign w:val="center"/>
          </w:tcPr>
          <w:p w:rsidR="00A059D1" w:rsidRPr="006A1DB2" w:rsidRDefault="00A059D1" w:rsidP="006A1DB2">
            <w:pPr>
              <w:autoSpaceDE w:val="0"/>
              <w:autoSpaceDN w:val="0"/>
              <w:adjustRightInd w:val="0"/>
              <w:rPr>
                <w:rFonts w:eastAsiaTheme="minorHAnsi"/>
                <w:color w:val="000000"/>
              </w:rPr>
            </w:pPr>
            <w:r w:rsidRPr="006A1DB2">
              <w:rPr>
                <w:rFonts w:eastAsiaTheme="minorHAnsi"/>
                <w:color w:val="000000"/>
              </w:rPr>
              <w:t>0,9 už kv. m</w:t>
            </w:r>
          </w:p>
        </w:tc>
      </w:tr>
      <w:tr w:rsidR="00A059D1" w:rsidRPr="006A1DB2" w:rsidTr="006A1DB2">
        <w:trPr>
          <w:trHeight w:val="290"/>
        </w:trPr>
        <w:tc>
          <w:tcPr>
            <w:tcW w:w="3610" w:type="dxa"/>
            <w:tcBorders>
              <w:top w:val="nil"/>
              <w:left w:val="single" w:sz="6" w:space="0" w:color="auto"/>
              <w:bottom w:val="nil"/>
              <w:right w:val="single" w:sz="6" w:space="0" w:color="auto"/>
            </w:tcBorders>
          </w:tcPr>
          <w:p w:rsidR="00A059D1" w:rsidRPr="006A1DB2" w:rsidRDefault="00A059D1" w:rsidP="00D05127">
            <w:pPr>
              <w:autoSpaceDE w:val="0"/>
              <w:autoSpaceDN w:val="0"/>
              <w:adjustRightInd w:val="0"/>
              <w:jc w:val="center"/>
              <w:rPr>
                <w:rFonts w:eastAsiaTheme="minorHAnsi"/>
                <w:color w:val="000000"/>
              </w:rPr>
            </w:pPr>
          </w:p>
        </w:tc>
        <w:tc>
          <w:tcPr>
            <w:tcW w:w="3508" w:type="dxa"/>
            <w:tcBorders>
              <w:top w:val="single" w:sz="6" w:space="0" w:color="auto"/>
              <w:left w:val="single" w:sz="6" w:space="0" w:color="auto"/>
              <w:bottom w:val="single" w:sz="6" w:space="0" w:color="auto"/>
              <w:right w:val="single" w:sz="6" w:space="0" w:color="auto"/>
            </w:tcBorders>
            <w:vAlign w:val="center"/>
          </w:tcPr>
          <w:p w:rsidR="00A059D1" w:rsidRPr="006A1DB2" w:rsidRDefault="00A059D1" w:rsidP="006A1DB2">
            <w:pPr>
              <w:autoSpaceDE w:val="0"/>
              <w:autoSpaceDN w:val="0"/>
              <w:adjustRightInd w:val="0"/>
              <w:rPr>
                <w:rFonts w:eastAsiaTheme="minorHAnsi"/>
                <w:color w:val="000000"/>
              </w:rPr>
            </w:pPr>
            <w:r w:rsidRPr="006A1DB2">
              <w:rPr>
                <w:rFonts w:eastAsiaTheme="minorHAnsi"/>
                <w:color w:val="000000"/>
              </w:rPr>
              <w:t>22</w:t>
            </w:r>
            <w:r w:rsidR="006A1DB2">
              <w:rPr>
                <w:rFonts w:eastAsiaTheme="minorHAnsi"/>
                <w:color w:val="000000"/>
              </w:rPr>
              <w:t>–</w:t>
            </w:r>
            <w:r w:rsidRPr="006A1DB2">
              <w:rPr>
                <w:rFonts w:eastAsiaTheme="minorHAnsi"/>
                <w:color w:val="000000"/>
              </w:rPr>
              <w:t>28 k. d.</w:t>
            </w:r>
          </w:p>
        </w:tc>
        <w:tc>
          <w:tcPr>
            <w:tcW w:w="2693" w:type="dxa"/>
            <w:tcBorders>
              <w:top w:val="single" w:sz="6" w:space="0" w:color="auto"/>
              <w:left w:val="single" w:sz="6" w:space="0" w:color="auto"/>
              <w:bottom w:val="single" w:sz="6" w:space="0" w:color="auto"/>
              <w:right w:val="single" w:sz="6" w:space="0" w:color="auto"/>
            </w:tcBorders>
            <w:vAlign w:val="center"/>
          </w:tcPr>
          <w:p w:rsidR="00A059D1" w:rsidRPr="006A1DB2" w:rsidRDefault="00A059D1" w:rsidP="006A1DB2">
            <w:pPr>
              <w:autoSpaceDE w:val="0"/>
              <w:autoSpaceDN w:val="0"/>
              <w:adjustRightInd w:val="0"/>
              <w:rPr>
                <w:rFonts w:eastAsiaTheme="minorHAnsi"/>
                <w:color w:val="000000"/>
              </w:rPr>
            </w:pPr>
            <w:r w:rsidRPr="006A1DB2">
              <w:rPr>
                <w:rFonts w:eastAsiaTheme="minorHAnsi"/>
                <w:color w:val="000000"/>
              </w:rPr>
              <w:t>1,1 už kv. m</w:t>
            </w:r>
          </w:p>
        </w:tc>
      </w:tr>
      <w:tr w:rsidR="00A059D1" w:rsidRPr="006A1DB2" w:rsidTr="006A1DB2">
        <w:trPr>
          <w:trHeight w:val="290"/>
        </w:trPr>
        <w:tc>
          <w:tcPr>
            <w:tcW w:w="3610" w:type="dxa"/>
            <w:tcBorders>
              <w:top w:val="nil"/>
              <w:left w:val="single" w:sz="6" w:space="0" w:color="auto"/>
              <w:bottom w:val="single" w:sz="6" w:space="0" w:color="auto"/>
              <w:right w:val="single" w:sz="6" w:space="0" w:color="auto"/>
            </w:tcBorders>
          </w:tcPr>
          <w:p w:rsidR="00A059D1" w:rsidRPr="006A1DB2" w:rsidRDefault="00A059D1" w:rsidP="00D05127">
            <w:pPr>
              <w:autoSpaceDE w:val="0"/>
              <w:autoSpaceDN w:val="0"/>
              <w:adjustRightInd w:val="0"/>
              <w:jc w:val="center"/>
              <w:rPr>
                <w:rFonts w:eastAsiaTheme="minorHAnsi"/>
                <w:color w:val="000000"/>
              </w:rPr>
            </w:pPr>
          </w:p>
        </w:tc>
        <w:tc>
          <w:tcPr>
            <w:tcW w:w="3508" w:type="dxa"/>
            <w:tcBorders>
              <w:top w:val="single" w:sz="6" w:space="0" w:color="auto"/>
              <w:left w:val="single" w:sz="6" w:space="0" w:color="auto"/>
              <w:bottom w:val="single" w:sz="6" w:space="0" w:color="auto"/>
              <w:right w:val="single" w:sz="6" w:space="0" w:color="auto"/>
            </w:tcBorders>
            <w:vAlign w:val="center"/>
          </w:tcPr>
          <w:p w:rsidR="00A059D1" w:rsidRPr="006A1DB2" w:rsidRDefault="00A059D1" w:rsidP="006A1DB2">
            <w:pPr>
              <w:autoSpaceDE w:val="0"/>
              <w:autoSpaceDN w:val="0"/>
              <w:adjustRightInd w:val="0"/>
              <w:rPr>
                <w:rFonts w:eastAsiaTheme="minorHAnsi"/>
                <w:color w:val="000000"/>
              </w:rPr>
            </w:pPr>
            <w:r w:rsidRPr="006A1DB2">
              <w:rPr>
                <w:rFonts w:eastAsiaTheme="minorHAnsi"/>
                <w:color w:val="000000"/>
              </w:rPr>
              <w:t>29 ir daugiau k. d.</w:t>
            </w:r>
          </w:p>
        </w:tc>
        <w:tc>
          <w:tcPr>
            <w:tcW w:w="2693" w:type="dxa"/>
            <w:tcBorders>
              <w:top w:val="single" w:sz="6" w:space="0" w:color="auto"/>
              <w:left w:val="single" w:sz="6" w:space="0" w:color="auto"/>
              <w:bottom w:val="single" w:sz="6" w:space="0" w:color="auto"/>
              <w:right w:val="single" w:sz="6" w:space="0" w:color="auto"/>
            </w:tcBorders>
            <w:vAlign w:val="center"/>
          </w:tcPr>
          <w:p w:rsidR="00A059D1" w:rsidRPr="006A1DB2" w:rsidRDefault="00A059D1" w:rsidP="006A1DB2">
            <w:pPr>
              <w:autoSpaceDE w:val="0"/>
              <w:autoSpaceDN w:val="0"/>
              <w:adjustRightInd w:val="0"/>
              <w:rPr>
                <w:rFonts w:eastAsiaTheme="minorHAnsi"/>
                <w:color w:val="000000"/>
              </w:rPr>
            </w:pPr>
            <w:r w:rsidRPr="006A1DB2">
              <w:rPr>
                <w:rFonts w:eastAsiaTheme="minorHAnsi"/>
                <w:color w:val="000000"/>
              </w:rPr>
              <w:t>1,3 už kv. m</w:t>
            </w:r>
          </w:p>
        </w:tc>
      </w:tr>
    </w:tbl>
    <w:p w:rsidR="006A1DB2" w:rsidRDefault="006A1DB2" w:rsidP="00A059D1">
      <w:pPr>
        <w:ind w:firstLine="720"/>
        <w:jc w:val="both"/>
      </w:pPr>
    </w:p>
    <w:p w:rsidR="006A1DB2" w:rsidRDefault="006A1DB2">
      <w:pPr>
        <w:spacing w:after="200" w:line="276" w:lineRule="auto"/>
      </w:pPr>
      <w:r>
        <w:br w:type="page"/>
      </w:r>
    </w:p>
    <w:p w:rsidR="00A059D1" w:rsidRPr="006A1DB2" w:rsidRDefault="00A059D1" w:rsidP="00A059D1">
      <w:pPr>
        <w:ind w:firstLine="720"/>
        <w:jc w:val="both"/>
        <w:rPr>
          <w:rFonts w:eastAsiaTheme="minorHAnsi"/>
          <w:color w:val="000000"/>
        </w:rPr>
      </w:pPr>
      <w:r w:rsidRPr="006A1DB2">
        <w:lastRenderedPageBreak/>
        <w:t xml:space="preserve">8. </w:t>
      </w:r>
      <w:r w:rsidRPr="006A1DB2">
        <w:rPr>
          <w:rFonts w:eastAsiaTheme="minorHAnsi"/>
          <w:color w:val="000000"/>
        </w:rPr>
        <w:t>Vietos koeficientai, nustatomi pagal miesto teritorijas:</w:t>
      </w:r>
    </w:p>
    <w:p w:rsidR="00A059D1" w:rsidRPr="006A1DB2" w:rsidRDefault="00A059D1" w:rsidP="00A059D1">
      <w:pPr>
        <w:ind w:firstLine="720"/>
        <w:jc w:val="both"/>
        <w:rPr>
          <w:rFonts w:eastAsiaTheme="minorHAnsi"/>
          <w:color w:val="000000"/>
        </w:rPr>
      </w:pPr>
      <w:r w:rsidRPr="006A1DB2">
        <w:rPr>
          <w:rFonts w:eastAsiaTheme="minorHAnsi"/>
          <w:color w:val="000000"/>
        </w:rPr>
        <w:t>8.1. Teatro ir Atgimimo aikštės – 4;</w:t>
      </w:r>
    </w:p>
    <w:p w:rsidR="00A059D1" w:rsidRPr="006A1DB2" w:rsidRDefault="00A059D1" w:rsidP="00A059D1">
      <w:pPr>
        <w:ind w:firstLine="720"/>
        <w:jc w:val="both"/>
        <w:rPr>
          <w:rFonts w:eastAsiaTheme="minorHAnsi"/>
          <w:color w:val="000000"/>
        </w:rPr>
      </w:pPr>
      <w:r w:rsidRPr="006A1DB2">
        <w:rPr>
          <w:rFonts w:eastAsiaTheme="minorHAnsi"/>
          <w:color w:val="000000"/>
        </w:rPr>
        <w:t xml:space="preserve">8.2. Jono kalnelis, </w:t>
      </w:r>
      <w:r w:rsidR="006A1DB2">
        <w:rPr>
          <w:rFonts w:eastAsiaTheme="minorHAnsi"/>
          <w:color w:val="000000"/>
        </w:rPr>
        <w:t>š</w:t>
      </w:r>
      <w:r w:rsidRPr="006A1DB2">
        <w:rPr>
          <w:rFonts w:eastAsiaTheme="minorHAnsi"/>
          <w:color w:val="000000"/>
        </w:rPr>
        <w:t xml:space="preserve">iaurinis ragas, Lietuvininkų aikštė, </w:t>
      </w:r>
      <w:r w:rsidR="006A1DB2">
        <w:rPr>
          <w:rFonts w:eastAsiaTheme="minorHAnsi"/>
          <w:color w:val="000000"/>
        </w:rPr>
        <w:t xml:space="preserve">M. </w:t>
      </w:r>
      <w:r w:rsidRPr="006A1DB2">
        <w:rPr>
          <w:rFonts w:eastAsiaTheme="minorHAnsi"/>
          <w:color w:val="000000"/>
        </w:rPr>
        <w:t>Mažvydo alėja, Danės skveras – 2;</w:t>
      </w:r>
    </w:p>
    <w:p w:rsidR="00A059D1" w:rsidRPr="006A1DB2" w:rsidRDefault="00A059D1" w:rsidP="00A059D1">
      <w:pPr>
        <w:ind w:firstLine="720"/>
        <w:jc w:val="both"/>
        <w:rPr>
          <w:rFonts w:eastAsiaTheme="minorHAnsi"/>
          <w:color w:val="000000"/>
        </w:rPr>
      </w:pPr>
      <w:r w:rsidRPr="006A1DB2">
        <w:rPr>
          <w:rFonts w:eastAsiaTheme="minorHAnsi"/>
          <w:color w:val="000000"/>
        </w:rPr>
        <w:t xml:space="preserve">8.3. kitos vietos senamiesčio teritorijoje (tarp Lietuvininkų a. ir Senojo turgaus) ir Smiltynė nuo </w:t>
      </w:r>
      <w:r w:rsidR="002D7D9C">
        <w:rPr>
          <w:rFonts w:eastAsiaTheme="minorHAnsi"/>
          <w:color w:val="000000"/>
        </w:rPr>
        <w:t>k</w:t>
      </w:r>
      <w:r w:rsidRPr="006A1DB2">
        <w:rPr>
          <w:rFonts w:eastAsiaTheme="minorHAnsi"/>
          <w:color w:val="000000"/>
        </w:rPr>
        <w:t>urhauzo iki Delfinariumo – 1,5;</w:t>
      </w:r>
    </w:p>
    <w:p w:rsidR="00A059D1" w:rsidRPr="006A1DB2" w:rsidRDefault="00A059D1" w:rsidP="00A059D1">
      <w:pPr>
        <w:ind w:firstLine="720"/>
        <w:jc w:val="both"/>
        <w:rPr>
          <w:rFonts w:eastAsiaTheme="minorHAnsi"/>
          <w:color w:val="000000"/>
        </w:rPr>
      </w:pPr>
      <w:r w:rsidRPr="006A1DB2">
        <w:rPr>
          <w:rFonts w:eastAsiaTheme="minorHAnsi"/>
          <w:color w:val="000000"/>
        </w:rPr>
        <w:t>8.4. likusi miesto teritorija – 1.</w:t>
      </w:r>
    </w:p>
    <w:p w:rsidR="00A059D1" w:rsidRPr="006A1DB2" w:rsidRDefault="00A059D1" w:rsidP="00A059D1">
      <w:pPr>
        <w:ind w:firstLine="720"/>
        <w:jc w:val="both"/>
      </w:pPr>
    </w:p>
    <w:p w:rsidR="00A059D1" w:rsidRPr="006A1DB2" w:rsidRDefault="00A059D1" w:rsidP="00A059D1">
      <w:pPr>
        <w:jc w:val="center"/>
        <w:rPr>
          <w:b/>
        </w:rPr>
      </w:pPr>
      <w:r w:rsidRPr="006A1DB2">
        <w:rPr>
          <w:b/>
        </w:rPr>
        <w:t>III SKYRIUS</w:t>
      </w:r>
    </w:p>
    <w:p w:rsidR="00A059D1" w:rsidRPr="006A1DB2" w:rsidRDefault="00A059D1" w:rsidP="00A059D1">
      <w:pPr>
        <w:ind w:firstLine="720"/>
        <w:jc w:val="center"/>
        <w:rPr>
          <w:b/>
        </w:rPr>
      </w:pPr>
      <w:r w:rsidRPr="006A1DB2">
        <w:rPr>
          <w:b/>
        </w:rPr>
        <w:t>RINKLIAVOS APSKAIČIAVIMO TVARKA</w:t>
      </w:r>
    </w:p>
    <w:p w:rsidR="00A059D1" w:rsidRPr="006A1DB2" w:rsidRDefault="00A059D1" w:rsidP="00A059D1">
      <w:pPr>
        <w:jc w:val="both"/>
      </w:pPr>
    </w:p>
    <w:p w:rsidR="00A059D1" w:rsidRPr="006A1DB2" w:rsidRDefault="00A059D1" w:rsidP="00A059D1">
      <w:pPr>
        <w:ind w:firstLine="720"/>
        <w:jc w:val="both"/>
        <w:rPr>
          <w:b/>
        </w:rPr>
      </w:pPr>
      <w:r w:rsidRPr="006A1DB2">
        <w:t>9. Komercinio renginio laikas nurodomas Leidime. Rinkliavos mokestis skaičiuojamas nurodytą rinkliavos dydį dauginant iš vietos koeficiento ir valandų arba parų skaičiaus, jei renginys ilgesnis nei 1 para. Atrakcionams rinkliavos mokestis skaičiuojamas nurodytą rinkliavos dydį dauginant iš vietos koeficiento ir užimamo ploto (kv. m).</w:t>
      </w:r>
    </w:p>
    <w:p w:rsidR="00A059D1" w:rsidRPr="006A1DB2" w:rsidRDefault="00A059D1" w:rsidP="00A059D1">
      <w:pPr>
        <w:ind w:firstLine="720"/>
        <w:jc w:val="both"/>
      </w:pPr>
    </w:p>
    <w:p w:rsidR="00A059D1" w:rsidRPr="006A1DB2" w:rsidRDefault="00A059D1" w:rsidP="00A059D1">
      <w:pPr>
        <w:jc w:val="center"/>
        <w:rPr>
          <w:b/>
        </w:rPr>
      </w:pPr>
      <w:r w:rsidRPr="006A1DB2">
        <w:rPr>
          <w:b/>
        </w:rPr>
        <w:t>IV SKYRIUS</w:t>
      </w:r>
    </w:p>
    <w:p w:rsidR="00A059D1" w:rsidRPr="006A1DB2" w:rsidRDefault="00A059D1" w:rsidP="00A059D1">
      <w:pPr>
        <w:jc w:val="center"/>
        <w:rPr>
          <w:b/>
        </w:rPr>
      </w:pPr>
      <w:r w:rsidRPr="006A1DB2">
        <w:rPr>
          <w:b/>
        </w:rPr>
        <w:t>RINKLIAVOS MOKĖJIMO TVARKA</w:t>
      </w:r>
    </w:p>
    <w:p w:rsidR="00A059D1" w:rsidRPr="006A1DB2" w:rsidRDefault="00A059D1" w:rsidP="00A059D1">
      <w:pPr>
        <w:jc w:val="center"/>
        <w:rPr>
          <w:b/>
          <w:u w:val="single"/>
        </w:rPr>
      </w:pPr>
    </w:p>
    <w:p w:rsidR="00A059D1" w:rsidRPr="006A1DB2" w:rsidRDefault="00A059D1" w:rsidP="00A059D1">
      <w:pPr>
        <w:ind w:firstLine="720"/>
        <w:jc w:val="both"/>
      </w:pPr>
      <w:r w:rsidRPr="006A1DB2">
        <w:t xml:space="preserve">10. Taisyklėse nustatyta tvarka išnagrinėjus prašymą ir priėmus teigiamą sprendimą dėl komercinio renginio organizavimo, renginio organizatorius informuojamas apie apskaičiuotą rinkliavos dydį, kurį privalo sumokėti už Leidimo išdavimą į Savivaldybės administracijos nurodytą banko sąskaitą ne vėliau kaip prieš 3 darbo dienas iki komercinio renginio darbų pradžios. </w:t>
      </w:r>
      <w:r w:rsidR="00055A94">
        <w:t>R</w:t>
      </w:r>
      <w:r w:rsidRPr="006A1DB2">
        <w:t>inkliava mokama pervedant pinigus į Savivaldybės administracijos sąskaitą, nurodant mokėjimo paskirtį „Už leidimo organizuoti komercinį renginį išdavimą“.</w:t>
      </w:r>
    </w:p>
    <w:p w:rsidR="00A059D1" w:rsidRPr="006A1DB2" w:rsidRDefault="00A059D1" w:rsidP="00A059D1">
      <w:pPr>
        <w:ind w:firstLine="720"/>
        <w:jc w:val="both"/>
      </w:pPr>
      <w:r w:rsidRPr="006A1DB2">
        <w:t xml:space="preserve">11. Leidimas renginio organizatoriui išduodamas tik po to, kai jis sumoka visą Leidime nurodytą rinkliavą. </w:t>
      </w:r>
    </w:p>
    <w:p w:rsidR="00A059D1" w:rsidRPr="006A1DB2" w:rsidRDefault="00A059D1" w:rsidP="00A059D1">
      <w:pPr>
        <w:ind w:firstLine="720"/>
        <w:jc w:val="both"/>
      </w:pPr>
      <w:r w:rsidRPr="006A1DB2">
        <w:t xml:space="preserve">12. </w:t>
      </w:r>
      <w:r w:rsidR="00055A94">
        <w:t>R</w:t>
      </w:r>
      <w:r w:rsidRPr="006A1DB2">
        <w:t xml:space="preserve">inkliava grąžinama Lietuvos Respublikos rinkliavų įstatyme nustatytais atvejais. Nustatytais atvejais asmuo Savivaldybės administracijai pateikia rašytinį prašymą nurodydamas rinkliavos grąžinimo priežastį bei banko sąskaitą, į kurią turi būti grąžinta sumokėta rinkliava. </w:t>
      </w:r>
    </w:p>
    <w:p w:rsidR="00A059D1" w:rsidRPr="006A1DB2" w:rsidRDefault="00A059D1" w:rsidP="00A059D1">
      <w:pPr>
        <w:ind w:firstLine="720"/>
        <w:jc w:val="both"/>
      </w:pPr>
      <w:r w:rsidRPr="006A1DB2">
        <w:t>13. Prašymą ir su rinkliavos sumokėjimu susijusius dokumentus (mokėjimo pavedimas ir kt.) dėl rinkliavos ar jos dalies grąžinimo rinkliavos mokėtojas Savivaldybės administracijai turi pateikti per vieną mėnesį nuo sumokėjimo datos. Rinkliava grąžinama už tiek valandų ir</w:t>
      </w:r>
      <w:r w:rsidR="005464FB">
        <w:t xml:space="preserve"> (</w:t>
      </w:r>
      <w:r w:rsidRPr="006A1DB2">
        <w:t>arba</w:t>
      </w:r>
      <w:r w:rsidR="005464FB">
        <w:t>)</w:t>
      </w:r>
      <w:r w:rsidRPr="006A1DB2">
        <w:t xml:space="preserve"> parų, kiek rinkliavos mokėtojas negalėjo pasinaudoti išduoto Leidimo suteiktomis teisėmis, ne vėliau kaip per 30 kalendorinių dienų po rašytinio prašymo gavimo dienos, Savivaldybės administracijai (struktūriniams padaliniams pagal priskirtas funkcijas) nustačius, kad prašyme nurodyta rinkliavos grąžinimo priežastis atitinka vieną iš Lietuvos Respublikos rinkliavų įstatyme nustatytų atvejų.</w:t>
      </w:r>
    </w:p>
    <w:p w:rsidR="00A059D1" w:rsidRPr="006A1DB2" w:rsidRDefault="00A059D1" w:rsidP="00A059D1">
      <w:pPr>
        <w:ind w:firstLine="720"/>
        <w:jc w:val="both"/>
      </w:pPr>
      <w:r w:rsidRPr="006A1DB2">
        <w:t>14. Panaikinus leidimo galiojimą už Taisyklių pažeidimus, sumokėta rinkliava negrąžinama.</w:t>
      </w:r>
    </w:p>
    <w:p w:rsidR="00A059D1" w:rsidRPr="006A1DB2" w:rsidRDefault="00A059D1" w:rsidP="00A059D1">
      <w:pPr>
        <w:ind w:firstLine="720"/>
        <w:jc w:val="both"/>
      </w:pPr>
      <w:r w:rsidRPr="006A1DB2">
        <w:t>15. Delspinigiai nėra skaičiuojami.</w:t>
      </w:r>
      <w:r w:rsidRPr="006A1DB2">
        <w:rPr>
          <w:b/>
        </w:rPr>
        <w:t xml:space="preserve"> </w:t>
      </w:r>
      <w:r w:rsidRPr="006A1DB2">
        <w:t xml:space="preserve">Jei rinkliavos mokėtojas nesumoka rinkliavos iki Nuostatų 10 punkte nurodyto Leidimo išdavimo momento, Savivaldybės administracija atsisako išduoti Leidimą. </w:t>
      </w:r>
    </w:p>
    <w:p w:rsidR="00A059D1" w:rsidRPr="006A1DB2" w:rsidRDefault="00A059D1" w:rsidP="00A059D1">
      <w:pPr>
        <w:ind w:firstLine="720"/>
        <w:jc w:val="both"/>
      </w:pPr>
    </w:p>
    <w:p w:rsidR="00A059D1" w:rsidRPr="006A1DB2" w:rsidRDefault="00A059D1" w:rsidP="00A059D1">
      <w:pPr>
        <w:keepNext/>
        <w:jc w:val="center"/>
        <w:outlineLvl w:val="2"/>
        <w:rPr>
          <w:b/>
        </w:rPr>
      </w:pPr>
      <w:r w:rsidRPr="006A1DB2">
        <w:rPr>
          <w:b/>
        </w:rPr>
        <w:t>V SKYRIUS</w:t>
      </w:r>
    </w:p>
    <w:p w:rsidR="00A059D1" w:rsidRPr="006A1DB2" w:rsidRDefault="00A059D1" w:rsidP="00A059D1">
      <w:pPr>
        <w:keepNext/>
        <w:jc w:val="center"/>
        <w:outlineLvl w:val="2"/>
        <w:rPr>
          <w:b/>
        </w:rPr>
      </w:pPr>
      <w:r w:rsidRPr="006A1DB2">
        <w:rPr>
          <w:b/>
        </w:rPr>
        <w:t>LENGVATOS RINKLIAVOS MOKĖTOJAMS</w:t>
      </w:r>
    </w:p>
    <w:p w:rsidR="00A059D1" w:rsidRPr="006A1DB2" w:rsidRDefault="00A059D1" w:rsidP="00A059D1">
      <w:pPr>
        <w:keepNext/>
        <w:jc w:val="center"/>
        <w:outlineLvl w:val="2"/>
        <w:rPr>
          <w:b/>
        </w:rPr>
      </w:pPr>
    </w:p>
    <w:p w:rsidR="00A059D1" w:rsidRPr="006A1DB2" w:rsidRDefault="00A059D1" w:rsidP="00A059D1">
      <w:pPr>
        <w:ind w:firstLine="720"/>
        <w:jc w:val="both"/>
      </w:pPr>
      <w:r w:rsidRPr="006A1DB2">
        <w:t xml:space="preserve">16. </w:t>
      </w:r>
      <w:r w:rsidR="005464FB">
        <w:t>R</w:t>
      </w:r>
      <w:r w:rsidRPr="006A1DB2">
        <w:t xml:space="preserve">inkliava netaikoma: </w:t>
      </w:r>
    </w:p>
    <w:p w:rsidR="00A059D1" w:rsidRPr="006A1DB2" w:rsidRDefault="00A059D1" w:rsidP="00A059D1">
      <w:pPr>
        <w:ind w:firstLine="720"/>
        <w:jc w:val="both"/>
      </w:pPr>
      <w:r w:rsidRPr="006A1DB2">
        <w:t>16.1. miesto ar valstybinės reikšmės ir socialinio pobūdžio renginiams;</w:t>
      </w:r>
    </w:p>
    <w:p w:rsidR="00A059D1" w:rsidRPr="006A1DB2" w:rsidRDefault="00A059D1" w:rsidP="00A059D1">
      <w:pPr>
        <w:ind w:firstLine="720"/>
        <w:jc w:val="both"/>
      </w:pPr>
      <w:r w:rsidRPr="006A1DB2">
        <w:t>16.2. renginiams, skirtiems vaikams;</w:t>
      </w:r>
    </w:p>
    <w:p w:rsidR="00A059D1" w:rsidRPr="006A1DB2" w:rsidRDefault="00A059D1" w:rsidP="00A059D1">
      <w:pPr>
        <w:ind w:firstLine="720"/>
        <w:jc w:val="both"/>
      </w:pPr>
      <w:r w:rsidRPr="006A1DB2">
        <w:t xml:space="preserve">16.3. renginiams, kurie yra finansuojami iš </w:t>
      </w:r>
      <w:r w:rsidR="005464FB">
        <w:t>S</w:t>
      </w:r>
      <w:r w:rsidRPr="006A1DB2">
        <w:t>avivaldybės biudžeto lėšų.</w:t>
      </w:r>
    </w:p>
    <w:p w:rsidR="006A1DB2" w:rsidRPr="006A1DB2" w:rsidRDefault="006A1DB2">
      <w:pPr>
        <w:spacing w:after="200" w:line="276" w:lineRule="auto"/>
        <w:rPr>
          <w:b/>
        </w:rPr>
      </w:pPr>
      <w:r w:rsidRPr="006A1DB2">
        <w:rPr>
          <w:b/>
        </w:rPr>
        <w:br w:type="page"/>
      </w:r>
    </w:p>
    <w:p w:rsidR="00A059D1" w:rsidRPr="006A1DB2" w:rsidRDefault="00A059D1" w:rsidP="00A059D1">
      <w:pPr>
        <w:keepNext/>
        <w:jc w:val="center"/>
        <w:outlineLvl w:val="2"/>
        <w:rPr>
          <w:b/>
        </w:rPr>
      </w:pPr>
      <w:r w:rsidRPr="006A1DB2">
        <w:rPr>
          <w:b/>
        </w:rPr>
        <w:lastRenderedPageBreak/>
        <w:t>VI SKYRIUS</w:t>
      </w:r>
    </w:p>
    <w:p w:rsidR="00A059D1" w:rsidRPr="006A1DB2" w:rsidRDefault="00A059D1" w:rsidP="00A059D1">
      <w:pPr>
        <w:keepNext/>
        <w:jc w:val="center"/>
        <w:outlineLvl w:val="2"/>
        <w:rPr>
          <w:b/>
        </w:rPr>
      </w:pPr>
      <w:r w:rsidRPr="006A1DB2">
        <w:rPr>
          <w:b/>
        </w:rPr>
        <w:t>BAIGIAMOSIOS NUOSTATOS</w:t>
      </w:r>
    </w:p>
    <w:p w:rsidR="00A059D1" w:rsidRPr="006A1DB2" w:rsidRDefault="00A059D1" w:rsidP="00A059D1">
      <w:pPr>
        <w:keepNext/>
        <w:jc w:val="center"/>
        <w:outlineLvl w:val="2"/>
        <w:rPr>
          <w:b/>
          <w:u w:val="single"/>
        </w:rPr>
      </w:pPr>
    </w:p>
    <w:p w:rsidR="00A059D1" w:rsidRPr="006A1DB2" w:rsidRDefault="00A059D1" w:rsidP="00A059D1">
      <w:pPr>
        <w:ind w:firstLine="720"/>
        <w:jc w:val="both"/>
      </w:pPr>
      <w:r w:rsidRPr="006A1DB2">
        <w:t>17. Teisės aktų nustatyta tvarka rinkliavos rinkimą kontroliuoja Savivaldybės kontrolės ir audito tarnyba.</w:t>
      </w:r>
    </w:p>
    <w:p w:rsidR="00A059D1" w:rsidRPr="006A1DB2" w:rsidRDefault="00A059D1" w:rsidP="00A059D1">
      <w:pPr>
        <w:ind w:firstLine="720"/>
        <w:jc w:val="both"/>
      </w:pPr>
      <w:r w:rsidRPr="006A1DB2">
        <w:t xml:space="preserve">18. Nesilaikant Leidime nurodytų terminų ir laiku neperdavus sutvarkytos teritorijos, papildomai perskaičiuojama rinkliava, o susidaręs skirtumas sumokamas per 5 darbo dienas į nurodytą sąskaitą. </w:t>
      </w:r>
    </w:p>
    <w:p w:rsidR="00A059D1" w:rsidRPr="006A1DB2" w:rsidRDefault="00A059D1" w:rsidP="00A059D1">
      <w:pPr>
        <w:ind w:firstLine="720"/>
        <w:jc w:val="both"/>
      </w:pPr>
      <w:r w:rsidRPr="006A1DB2">
        <w:t>19. Nuostatus įgyvendinančių subjektų veiksmai ir sprendimai gali būti skundžiami teisės aktų nustatyta tvarka.</w:t>
      </w:r>
    </w:p>
    <w:p w:rsidR="00A059D1" w:rsidRPr="006A1DB2" w:rsidRDefault="00A059D1" w:rsidP="00A059D1">
      <w:pPr>
        <w:ind w:firstLine="720"/>
        <w:jc w:val="both"/>
      </w:pPr>
      <w:r w:rsidRPr="006A1DB2">
        <w:t>20. Nuostatus tvirtina, keičia ir pildo Savivaldybės taryba.</w:t>
      </w:r>
    </w:p>
    <w:p w:rsidR="00304BD5" w:rsidRPr="006A1DB2" w:rsidRDefault="00304BD5" w:rsidP="00A059D1">
      <w:pPr>
        <w:jc w:val="center"/>
      </w:pPr>
    </w:p>
    <w:p w:rsidR="00D57F27" w:rsidRPr="006A1DB2" w:rsidRDefault="00A059D1" w:rsidP="00A059D1">
      <w:pPr>
        <w:jc w:val="center"/>
      </w:pPr>
      <w:r w:rsidRPr="006A1DB2">
        <w:t>_____________________________</w:t>
      </w:r>
    </w:p>
    <w:sectPr w:rsidR="00D57F27" w:rsidRPr="006A1DB2"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E199E">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5A94"/>
    <w:rsid w:val="0006079E"/>
    <w:rsid w:val="000A09EB"/>
    <w:rsid w:val="00134B5C"/>
    <w:rsid w:val="001E0E91"/>
    <w:rsid w:val="0022551E"/>
    <w:rsid w:val="002D7D9C"/>
    <w:rsid w:val="00304BD5"/>
    <w:rsid w:val="004476DD"/>
    <w:rsid w:val="004832C8"/>
    <w:rsid w:val="005464FB"/>
    <w:rsid w:val="00597EE8"/>
    <w:rsid w:val="005F495C"/>
    <w:rsid w:val="00615779"/>
    <w:rsid w:val="006A1DB2"/>
    <w:rsid w:val="006B3DC1"/>
    <w:rsid w:val="007823F5"/>
    <w:rsid w:val="00832CC9"/>
    <w:rsid w:val="008354D5"/>
    <w:rsid w:val="008E6E82"/>
    <w:rsid w:val="00996C61"/>
    <w:rsid w:val="009C7346"/>
    <w:rsid w:val="00A059D1"/>
    <w:rsid w:val="00A3195E"/>
    <w:rsid w:val="00A8762A"/>
    <w:rsid w:val="00AF7D08"/>
    <w:rsid w:val="00B33AB5"/>
    <w:rsid w:val="00B750B6"/>
    <w:rsid w:val="00BC1A90"/>
    <w:rsid w:val="00CA4D3B"/>
    <w:rsid w:val="00D42B72"/>
    <w:rsid w:val="00D57F27"/>
    <w:rsid w:val="00E33871"/>
    <w:rsid w:val="00E56A73"/>
    <w:rsid w:val="00EC21AD"/>
    <w:rsid w:val="00EE199E"/>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2C74"/>
  <w15:docId w15:val="{6A47452F-9DFB-4F76-9DBB-7E02F583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3529</Words>
  <Characters>2012</Characters>
  <Application>Microsoft Office Word</Application>
  <DocSecurity>4</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2021-06-08T12:49:00Z</dcterms:created>
  <dcterms:modified xsi:type="dcterms:W3CDTF">2021-06-08T12:49:00Z</dcterms:modified>
</cp:coreProperties>
</file>