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F10B71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 xml:space="preserve">DĖL </w:t>
      </w:r>
      <w:r w:rsidR="00A82997">
        <w:rPr>
          <w:b/>
          <w:caps/>
        </w:rPr>
        <w:t>klaipėdos „ŽEMYNOS“ GIMNAZIJOS pavadinimo pakeitimo, NUOSTATŲ IR VEIKLOS MODELIO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82997" w:rsidRPr="00727FC9" w:rsidRDefault="00727FC9" w:rsidP="00727FC9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="00392E74" w:rsidRPr="00727FC9">
        <w:rPr>
          <w:b/>
          <w:color w:val="000000"/>
          <w:sz w:val="24"/>
          <w:szCs w:val="24"/>
        </w:rPr>
        <w:t>P</w:t>
      </w:r>
      <w:r w:rsidR="00392E74" w:rsidRPr="00727FC9">
        <w:rPr>
          <w:b/>
          <w:sz w:val="24"/>
          <w:szCs w:val="24"/>
        </w:rPr>
        <w:t xml:space="preserve">rojekto rengimą paskatinusios priežastys. </w:t>
      </w:r>
      <w:r w:rsidR="00A82997" w:rsidRPr="00727FC9">
        <w:rPr>
          <w:sz w:val="24"/>
          <w:szCs w:val="24"/>
        </w:rPr>
        <w:t xml:space="preserve">Šis sprendimo projektas parengtas, siekiant </w:t>
      </w:r>
      <w:r w:rsidR="00317F00" w:rsidRPr="00727FC9">
        <w:rPr>
          <w:sz w:val="24"/>
          <w:szCs w:val="24"/>
        </w:rPr>
        <w:t xml:space="preserve">įgyvendinti </w:t>
      </w:r>
      <w:r w:rsidR="00C85B23" w:rsidRPr="00727FC9">
        <w:rPr>
          <w:color w:val="000000"/>
          <w:sz w:val="24"/>
          <w:szCs w:val="24"/>
        </w:rPr>
        <w:t>Klaipėdos miesto savivaldybė</w:t>
      </w:r>
      <w:r w:rsidR="00317F00" w:rsidRPr="00727FC9">
        <w:rPr>
          <w:color w:val="000000"/>
          <w:sz w:val="24"/>
          <w:szCs w:val="24"/>
        </w:rPr>
        <w:t>s</w:t>
      </w:r>
      <w:r w:rsidR="00C85B23" w:rsidRPr="00727FC9">
        <w:rPr>
          <w:color w:val="000000"/>
          <w:sz w:val="24"/>
          <w:szCs w:val="24"/>
        </w:rPr>
        <w:t xml:space="preserve"> (toliau – Savivaldybė) </w:t>
      </w:r>
      <w:r w:rsidR="00317F00" w:rsidRPr="00727FC9">
        <w:rPr>
          <w:color w:val="000000"/>
          <w:sz w:val="24"/>
          <w:szCs w:val="24"/>
        </w:rPr>
        <w:t xml:space="preserve">strateginės plėtros teisės aktus ir </w:t>
      </w:r>
      <w:r w:rsidR="00BA706C" w:rsidRPr="00727FC9">
        <w:rPr>
          <w:sz w:val="24"/>
          <w:szCs w:val="24"/>
        </w:rPr>
        <w:t>formuoti</w:t>
      </w:r>
      <w:r w:rsidR="00A82997" w:rsidRPr="00727FC9">
        <w:rPr>
          <w:sz w:val="24"/>
          <w:szCs w:val="24"/>
        </w:rPr>
        <w:t xml:space="preserve"> </w:t>
      </w:r>
      <w:r w:rsidR="00BA706C" w:rsidRPr="00727FC9">
        <w:rPr>
          <w:bCs/>
          <w:sz w:val="24"/>
          <w:szCs w:val="24"/>
        </w:rPr>
        <w:t>gyventojų poreikius atitinkantį</w:t>
      </w:r>
      <w:r w:rsidR="00BA706C" w:rsidRPr="00727FC9">
        <w:rPr>
          <w:color w:val="000000"/>
          <w:sz w:val="24"/>
          <w:szCs w:val="24"/>
        </w:rPr>
        <w:t xml:space="preserve"> </w:t>
      </w:r>
      <w:r w:rsidR="00BA706C" w:rsidRPr="00727FC9">
        <w:rPr>
          <w:bCs/>
          <w:sz w:val="24"/>
          <w:szCs w:val="24"/>
        </w:rPr>
        <w:t xml:space="preserve">bendrojo ugdymo mokyklų </w:t>
      </w:r>
      <w:r w:rsidR="00C85B23" w:rsidRPr="00727FC9">
        <w:rPr>
          <w:bCs/>
          <w:sz w:val="24"/>
          <w:szCs w:val="24"/>
        </w:rPr>
        <w:t xml:space="preserve">(toliau – mokyklos) </w:t>
      </w:r>
      <w:r w:rsidR="00BA706C" w:rsidRPr="00727FC9">
        <w:rPr>
          <w:bCs/>
          <w:sz w:val="24"/>
          <w:szCs w:val="24"/>
        </w:rPr>
        <w:t xml:space="preserve">tinklą. </w:t>
      </w:r>
    </w:p>
    <w:p w:rsidR="00392E74" w:rsidRPr="00727FC9" w:rsidRDefault="00727FC9" w:rsidP="00727FC9">
      <w:pPr>
        <w:tabs>
          <w:tab w:val="left" w:pos="993"/>
        </w:tabs>
        <w:ind w:firstLine="709"/>
        <w:jc w:val="both"/>
      </w:pPr>
      <w:r>
        <w:rPr>
          <w:b/>
        </w:rPr>
        <w:t xml:space="preserve">2. </w:t>
      </w:r>
      <w:r w:rsidR="00392E74" w:rsidRPr="00727FC9">
        <w:rPr>
          <w:b/>
        </w:rPr>
        <w:t xml:space="preserve">Parengto projekto tikslai ir uždaviniai. </w:t>
      </w:r>
      <w:r w:rsidR="00392E74" w:rsidRPr="00727FC9">
        <w:t>Tikslas –</w:t>
      </w:r>
      <w:r w:rsidR="00C85B23" w:rsidRPr="00727FC9">
        <w:t xml:space="preserve"> </w:t>
      </w:r>
      <w:r w:rsidR="00C85B23" w:rsidRPr="00727FC9">
        <w:rPr>
          <w:bCs/>
        </w:rPr>
        <w:t xml:space="preserve">užtikrinti Savivaldybės </w:t>
      </w:r>
      <w:r w:rsidR="00C85B23" w:rsidRPr="00727FC9">
        <w:t xml:space="preserve">mokyklose </w:t>
      </w:r>
      <w:r w:rsidR="00F12896" w:rsidRPr="00727FC9">
        <w:t xml:space="preserve">taikomų ugdymo metodų ir </w:t>
      </w:r>
      <w:r w:rsidR="00C85B23" w:rsidRPr="00727FC9">
        <w:t xml:space="preserve">įgyvendinamų </w:t>
      </w:r>
      <w:r w:rsidR="00864F36" w:rsidRPr="00727FC9">
        <w:rPr>
          <w:bCs/>
        </w:rPr>
        <w:t>ugdymo programų įvairovę</w:t>
      </w:r>
      <w:r w:rsidR="00392E74" w:rsidRPr="00727FC9">
        <w:rPr>
          <w:bCs/>
        </w:rPr>
        <w:t>.</w:t>
      </w:r>
      <w:r w:rsidR="004C28A1" w:rsidRPr="00727FC9">
        <w:rPr>
          <w:bCs/>
        </w:rPr>
        <w:t xml:space="preserve"> </w:t>
      </w:r>
      <w:r w:rsidR="00392E74" w:rsidRPr="00727FC9">
        <w:t>Uždavin</w:t>
      </w:r>
      <w:r w:rsidR="00331026" w:rsidRPr="00727FC9">
        <w:t xml:space="preserve">ys – </w:t>
      </w:r>
      <w:r w:rsidR="0028061E" w:rsidRPr="00727FC9">
        <w:t>patvirtinti pakeistą</w:t>
      </w:r>
      <w:r w:rsidR="00392E74" w:rsidRPr="00727FC9">
        <w:t xml:space="preserve"> </w:t>
      </w:r>
      <w:r w:rsidR="00864F36" w:rsidRPr="00727FC9">
        <w:t xml:space="preserve">Klaipėdos </w:t>
      </w:r>
      <w:r w:rsidR="00C85B23" w:rsidRPr="00727FC9">
        <w:t>„Žemynos“ gimnazijos</w:t>
      </w:r>
      <w:r w:rsidR="00864F36" w:rsidRPr="00727FC9">
        <w:t xml:space="preserve"> </w:t>
      </w:r>
      <w:r w:rsidR="00392E74" w:rsidRPr="00727FC9">
        <w:t>pavadinimą</w:t>
      </w:r>
      <w:r w:rsidR="00331026" w:rsidRPr="00727FC9">
        <w:t>,</w:t>
      </w:r>
      <w:r w:rsidR="00392E74" w:rsidRPr="00727FC9">
        <w:t xml:space="preserve"> nuostatus</w:t>
      </w:r>
      <w:r w:rsidR="00C85B23" w:rsidRPr="00727FC9">
        <w:t xml:space="preserve"> ir veiklos modelį</w:t>
      </w:r>
      <w:r w:rsidR="00392E74" w:rsidRPr="00727FC9">
        <w:t>.</w:t>
      </w:r>
    </w:p>
    <w:p w:rsidR="00317F00" w:rsidRDefault="00392E74" w:rsidP="00727FC9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727FC9">
        <w:rPr>
          <w:b/>
          <w:sz w:val="24"/>
          <w:szCs w:val="24"/>
        </w:rPr>
        <w:t xml:space="preserve">Kaip šiuo metu yra teisiškai reglamentuojami projekte aptarti klausimai. </w:t>
      </w:r>
      <w:r w:rsidRPr="00727FC9">
        <w:rPr>
          <w:sz w:val="24"/>
          <w:szCs w:val="24"/>
        </w:rPr>
        <w:t xml:space="preserve">Šis sprendimo projektas parengtas, vykdant </w:t>
      </w:r>
      <w:r w:rsidR="00317F00" w:rsidRPr="00727FC9">
        <w:rPr>
          <w:sz w:val="24"/>
          <w:szCs w:val="24"/>
        </w:rPr>
        <w:t>Klaipėdos miesto ekonominės plėtros strategijos įgyvendinimo veiksmų plano iki 2030 metų, patvirtinto Savivaldybės tarybos 2018</w:t>
      </w:r>
      <w:r w:rsidR="00334551" w:rsidRPr="00727FC9">
        <w:rPr>
          <w:sz w:val="24"/>
          <w:szCs w:val="24"/>
        </w:rPr>
        <w:t>-04-</w:t>
      </w:r>
      <w:r w:rsidR="00317F00" w:rsidRPr="00727FC9">
        <w:rPr>
          <w:sz w:val="24"/>
          <w:szCs w:val="24"/>
        </w:rPr>
        <w:t xml:space="preserve">26 sprendimu Nr. T2-86, 2.2.2 ir 2.2.3 papunkčiais nustatytas priemones. Šiuo teisės aktu numatyta Savivaldybėje </w:t>
      </w:r>
      <w:r w:rsidR="00317F00" w:rsidRPr="00727FC9">
        <w:rPr>
          <w:bCs/>
          <w:sz w:val="24"/>
          <w:szCs w:val="24"/>
        </w:rPr>
        <w:t>plėtoti inovatyvią ir ateities ekonomikos poreikius atitinkančią švietimo, mokslo ir studijų sistemą</w:t>
      </w:r>
      <w:r w:rsidR="00317F00" w:rsidRPr="00727FC9">
        <w:rPr>
          <w:sz w:val="24"/>
          <w:szCs w:val="24"/>
        </w:rPr>
        <w:t>, kurti Klaipėdos universiteto gimnaziją</w:t>
      </w:r>
      <w:r w:rsidR="00416341" w:rsidRPr="00727FC9">
        <w:rPr>
          <w:sz w:val="24"/>
          <w:szCs w:val="24"/>
        </w:rPr>
        <w:t xml:space="preserve">, </w:t>
      </w:r>
      <w:r w:rsidR="00317F00" w:rsidRPr="00727FC9">
        <w:rPr>
          <w:sz w:val="24"/>
          <w:szCs w:val="24"/>
        </w:rPr>
        <w:t>stiprinti gamtos mokslų, technologijų, inžinerijos, matematikos ir menų (toliau – STEAM) mokyklų tinklą.</w:t>
      </w:r>
      <w:r w:rsidR="00317F00" w:rsidRPr="00FC2CD6">
        <w:t xml:space="preserve"> </w:t>
      </w:r>
    </w:p>
    <w:p w:rsidR="00E317CC" w:rsidRPr="00BA1D7C" w:rsidRDefault="00392E74" w:rsidP="00BA1D7C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554B5">
        <w:rPr>
          <w:b/>
          <w:bCs/>
          <w:sz w:val="24"/>
          <w:szCs w:val="24"/>
        </w:rPr>
        <w:t xml:space="preserve">Kokios numatomos naujos teisinio reglamentavimo nuostatos ir kokių rezultatų laukiama. </w:t>
      </w:r>
      <w:r w:rsidR="00416341" w:rsidRPr="00BA1D7C">
        <w:rPr>
          <w:sz w:val="24"/>
          <w:szCs w:val="24"/>
        </w:rPr>
        <w:t>Šiuo sprendimo projektu</w:t>
      </w:r>
      <w:r w:rsidR="00F12896" w:rsidRPr="00BA1D7C">
        <w:rPr>
          <w:sz w:val="24"/>
          <w:szCs w:val="24"/>
        </w:rPr>
        <w:t xml:space="preserve"> bus</w:t>
      </w:r>
      <w:r w:rsidR="00E317CC" w:rsidRPr="00BA1D7C">
        <w:rPr>
          <w:sz w:val="24"/>
          <w:szCs w:val="24"/>
        </w:rPr>
        <w:t xml:space="preserve">: </w:t>
      </w:r>
    </w:p>
    <w:p w:rsidR="00E317CC" w:rsidRDefault="00E317CC" w:rsidP="00CA0F05">
      <w:pPr>
        <w:ind w:firstLine="709"/>
        <w:jc w:val="both"/>
      </w:pPr>
      <w:r>
        <w:t>–</w:t>
      </w:r>
      <w:r w:rsidR="00416341">
        <w:t xml:space="preserve"> </w:t>
      </w:r>
      <w:r w:rsidR="00F12896">
        <w:t xml:space="preserve">kuriama Klaipėdos universiteto gimnazija Klaipėdos „Žemynos“ gimnazijos veiklos pagrindu. Dėl šios priežasties </w:t>
      </w:r>
      <w:r w:rsidR="00416341">
        <w:t>keičiamas</w:t>
      </w:r>
      <w:r w:rsidR="00416341" w:rsidRPr="00864F36">
        <w:t xml:space="preserve"> Klaipėdos </w:t>
      </w:r>
      <w:r w:rsidR="00416341">
        <w:t>„Žemynos“ gimnazijos</w:t>
      </w:r>
      <w:r w:rsidR="00416341" w:rsidRPr="00864F36">
        <w:t xml:space="preserve"> pavadinim</w:t>
      </w:r>
      <w:r w:rsidR="00416341">
        <w:t>as</w:t>
      </w:r>
      <w:r w:rsidR="00416341" w:rsidRPr="00864F36">
        <w:t xml:space="preserve"> </w:t>
      </w:r>
      <w:r w:rsidR="00D15106">
        <w:t xml:space="preserve">ir </w:t>
      </w:r>
      <w:r w:rsidR="00416341">
        <w:t>ji</w:t>
      </w:r>
      <w:r w:rsidR="00416341" w:rsidRPr="00864F36">
        <w:t xml:space="preserve"> </w:t>
      </w:r>
      <w:r w:rsidR="00416341">
        <w:t>pa</w:t>
      </w:r>
      <w:r w:rsidR="00416341" w:rsidRPr="00864F36">
        <w:t>vadin</w:t>
      </w:r>
      <w:r w:rsidR="00416341">
        <w:t>ama</w:t>
      </w:r>
      <w:r w:rsidR="00416341" w:rsidRPr="00864F36">
        <w:t xml:space="preserve"> Klaipėdos </w:t>
      </w:r>
      <w:r w:rsidR="00416341">
        <w:t>universiteto „Žemynos“ gimnazija</w:t>
      </w:r>
      <w:r w:rsidR="00FE42FC">
        <w:t xml:space="preserve"> (toliau – </w:t>
      </w:r>
      <w:r w:rsidR="004C28A1">
        <w:t>G</w:t>
      </w:r>
      <w:r w:rsidR="00FE42FC">
        <w:t>imnazija)</w:t>
      </w:r>
      <w:r w:rsidR="00416341">
        <w:t xml:space="preserve">, </w:t>
      </w:r>
      <w:r w:rsidR="00B060AE">
        <w:t>atsižvelgus į</w:t>
      </w:r>
      <w:r w:rsidR="004929A6" w:rsidRPr="00390AA1">
        <w:t xml:space="preserve"> </w:t>
      </w:r>
      <w:r w:rsidR="00416341">
        <w:t>S</w:t>
      </w:r>
      <w:r w:rsidR="00416341" w:rsidRPr="00390AA1">
        <w:t xml:space="preserve">avivaldybės </w:t>
      </w:r>
      <w:r w:rsidR="00416341">
        <w:t>mokyklų tinklo pertvarkos 2021</w:t>
      </w:r>
      <w:r w:rsidR="002A6C60">
        <w:t>–</w:t>
      </w:r>
      <w:r w:rsidR="00416341" w:rsidRPr="00390AA1">
        <w:t>202</w:t>
      </w:r>
      <w:r w:rsidR="00416341">
        <w:t>5</w:t>
      </w:r>
      <w:r w:rsidR="00416341" w:rsidRPr="00390AA1">
        <w:t xml:space="preserve"> metų bendr</w:t>
      </w:r>
      <w:r w:rsidR="00B060AE">
        <w:t>ojo</w:t>
      </w:r>
      <w:r w:rsidR="004929A6">
        <w:t xml:space="preserve"> </w:t>
      </w:r>
      <w:r w:rsidR="00416341" w:rsidRPr="001431F5">
        <w:t>plan</w:t>
      </w:r>
      <w:r w:rsidR="00B060AE">
        <w:t>o projektą</w:t>
      </w:r>
      <w:r w:rsidR="00761465">
        <w:t>, kurį parengė Savivaldybės mero 2020</w:t>
      </w:r>
      <w:r w:rsidR="00334551">
        <w:t>-12-</w:t>
      </w:r>
      <w:r w:rsidR="00761465">
        <w:t>30 potvarkiu Nr. M-78 sudaryta darbo grupė</w:t>
      </w:r>
      <w:r>
        <w:t xml:space="preserve">. </w:t>
      </w:r>
      <w:r w:rsidRPr="00E17F8D">
        <w:t xml:space="preserve">Vadovaujantis </w:t>
      </w:r>
      <w:r w:rsidRPr="00E17F8D">
        <w:rPr>
          <w:caps/>
        </w:rPr>
        <w:t>l</w:t>
      </w:r>
      <w:r w:rsidRPr="00E17F8D">
        <w:t xml:space="preserve">ietuvos Respublikos civilinio kodekso 2.43 straipsnio 1 dalimi apie </w:t>
      </w:r>
      <w:r w:rsidR="002A6C60">
        <w:t xml:space="preserve">„Žemynos“ </w:t>
      </w:r>
      <w:r w:rsidR="00CA0F05">
        <w:t>gimnazijos</w:t>
      </w:r>
      <w:r w:rsidRPr="00E17F8D">
        <w:t xml:space="preserve"> pavadinimo pakeitimą vieną kartą viešai bus pranešta </w:t>
      </w:r>
      <w:r w:rsidR="004C28A1">
        <w:t>G</w:t>
      </w:r>
      <w:r w:rsidR="00CA0F05">
        <w:t>imnazijos interneto svetainėje;</w:t>
      </w:r>
      <w:r>
        <w:t xml:space="preserve"> </w:t>
      </w:r>
    </w:p>
    <w:p w:rsidR="00E317CC" w:rsidRDefault="00E317CC" w:rsidP="0028061E">
      <w:pPr>
        <w:tabs>
          <w:tab w:val="left" w:pos="1134"/>
        </w:tabs>
        <w:ind w:firstLine="709"/>
        <w:jc w:val="both"/>
      </w:pPr>
      <w:r>
        <w:t>–</w:t>
      </w:r>
      <w:r w:rsidR="006E3235">
        <w:t xml:space="preserve"> tvirtinami </w:t>
      </w:r>
      <w:r w:rsidR="004C28A1">
        <w:t>G</w:t>
      </w:r>
      <w:r w:rsidR="006E3235">
        <w:t xml:space="preserve">imnazijos nuostatai, parengti pagal </w:t>
      </w:r>
      <w:r w:rsidR="006E3235" w:rsidRPr="00D530A0">
        <w:t>Nuostatų, įstatų ar statutų įforminimo reikalavim</w:t>
      </w:r>
      <w:r w:rsidR="00D0169D">
        <w:t>us</w:t>
      </w:r>
      <w:r w:rsidR="006E3235" w:rsidRPr="00D530A0">
        <w:t>, patvirtint</w:t>
      </w:r>
      <w:r w:rsidR="00D0169D">
        <w:t>u</w:t>
      </w:r>
      <w:r w:rsidR="006E3235" w:rsidRPr="00D530A0">
        <w:t>s Lietuvos Respublikos švietimo, mokslo ir sporto ministro 2011</w:t>
      </w:r>
      <w:r w:rsidR="00334551">
        <w:t>-06-</w:t>
      </w:r>
      <w:r w:rsidR="006E3235">
        <w:t>29</w:t>
      </w:r>
      <w:r w:rsidR="00334551">
        <w:t xml:space="preserve"> </w:t>
      </w:r>
      <w:r w:rsidR="006E3235">
        <w:t>įsakymu Nr. V-1164</w:t>
      </w:r>
      <w:r>
        <w:t xml:space="preserve">; </w:t>
      </w:r>
    </w:p>
    <w:p w:rsidR="00317F00" w:rsidRPr="001778C2" w:rsidRDefault="00E317CC" w:rsidP="001219DE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1778C2">
        <w:rPr>
          <w:sz w:val="24"/>
          <w:szCs w:val="24"/>
        </w:rPr>
        <w:t>į</w:t>
      </w:r>
      <w:r w:rsidR="00FE42FC" w:rsidRPr="001778C2">
        <w:rPr>
          <w:sz w:val="24"/>
          <w:szCs w:val="24"/>
        </w:rPr>
        <w:t xml:space="preserve">teisinamas </w:t>
      </w:r>
      <w:r w:rsidR="004C28A1">
        <w:rPr>
          <w:sz w:val="24"/>
          <w:szCs w:val="24"/>
        </w:rPr>
        <w:t>G</w:t>
      </w:r>
      <w:r w:rsidR="00FE42FC" w:rsidRPr="001778C2">
        <w:rPr>
          <w:sz w:val="24"/>
          <w:szCs w:val="24"/>
        </w:rPr>
        <w:t>imnazijos veiklos modelis</w:t>
      </w:r>
      <w:r w:rsidR="0092412F">
        <w:rPr>
          <w:sz w:val="24"/>
          <w:szCs w:val="24"/>
        </w:rPr>
        <w:t xml:space="preserve"> (toliau – Modelis)</w:t>
      </w:r>
      <w:r w:rsidR="00FE42FC" w:rsidRPr="001778C2">
        <w:rPr>
          <w:sz w:val="24"/>
          <w:szCs w:val="24"/>
        </w:rPr>
        <w:t>,</w:t>
      </w:r>
      <w:r w:rsidR="00737BD4">
        <w:rPr>
          <w:sz w:val="24"/>
          <w:szCs w:val="24"/>
        </w:rPr>
        <w:t xml:space="preserve"> kurį</w:t>
      </w:r>
      <w:r w:rsidR="00FE42FC" w:rsidRPr="001778C2">
        <w:rPr>
          <w:sz w:val="24"/>
          <w:szCs w:val="24"/>
        </w:rPr>
        <w:t xml:space="preserve"> </w:t>
      </w:r>
      <w:r w:rsidR="00737BD4">
        <w:rPr>
          <w:sz w:val="24"/>
          <w:szCs w:val="24"/>
        </w:rPr>
        <w:t>v</w:t>
      </w:r>
      <w:r w:rsidR="004C28A1">
        <w:rPr>
          <w:bCs/>
          <w:color w:val="000000"/>
          <w:sz w:val="24"/>
          <w:szCs w:val="24"/>
          <w:shd w:val="clear" w:color="auto" w:fill="FFFFFF"/>
        </w:rPr>
        <w:t>ykdant</w:t>
      </w:r>
      <w:r w:rsidR="0028061E" w:rsidRPr="001778C2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="004C28A1">
        <w:rPr>
          <w:bCs/>
          <w:color w:val="000000"/>
          <w:sz w:val="24"/>
          <w:szCs w:val="24"/>
          <w:shd w:val="clear" w:color="auto" w:fill="FFFFFF"/>
        </w:rPr>
        <w:t>G</w:t>
      </w:r>
      <w:r w:rsidR="0028061E" w:rsidRPr="001778C2">
        <w:rPr>
          <w:bCs/>
          <w:color w:val="000000"/>
          <w:sz w:val="24"/>
          <w:szCs w:val="24"/>
          <w:shd w:val="clear" w:color="auto" w:fill="FFFFFF"/>
        </w:rPr>
        <w:t>imnazijoje bus</w:t>
      </w:r>
      <w:r w:rsidR="00317F00" w:rsidRPr="001778C2">
        <w:rPr>
          <w:sz w:val="24"/>
          <w:szCs w:val="24"/>
        </w:rPr>
        <w:t xml:space="preserve"> </w:t>
      </w:r>
      <w:r w:rsidR="004C28A1">
        <w:rPr>
          <w:sz w:val="24"/>
          <w:szCs w:val="24"/>
        </w:rPr>
        <w:t>įgyvendinamas</w:t>
      </w:r>
      <w:r w:rsidR="00317F00" w:rsidRPr="001778C2">
        <w:rPr>
          <w:sz w:val="24"/>
          <w:szCs w:val="24"/>
        </w:rPr>
        <w:t xml:space="preserve"> pagilint</w:t>
      </w:r>
      <w:r w:rsidR="0028061E" w:rsidRPr="001778C2">
        <w:rPr>
          <w:sz w:val="24"/>
          <w:szCs w:val="24"/>
        </w:rPr>
        <w:t>as</w:t>
      </w:r>
      <w:r w:rsidR="006C4C07" w:rsidRPr="001778C2">
        <w:rPr>
          <w:sz w:val="24"/>
          <w:szCs w:val="24"/>
        </w:rPr>
        <w:t xml:space="preserve"> STEAM mokslų srities ugdymo turinys</w:t>
      </w:r>
      <w:r w:rsidR="00317F00" w:rsidRPr="001778C2">
        <w:rPr>
          <w:sz w:val="24"/>
          <w:szCs w:val="24"/>
        </w:rPr>
        <w:t>,</w:t>
      </w:r>
      <w:r w:rsidR="00334551" w:rsidRPr="001778C2">
        <w:rPr>
          <w:sz w:val="24"/>
          <w:szCs w:val="24"/>
        </w:rPr>
        <w:t xml:space="preserve"> padedant Klaipėdos universiteto </w:t>
      </w:r>
      <w:r w:rsidR="001663C7" w:rsidRPr="001778C2">
        <w:rPr>
          <w:sz w:val="24"/>
          <w:szCs w:val="24"/>
        </w:rPr>
        <w:t xml:space="preserve">(toliau – Universitetas) </w:t>
      </w:r>
      <w:r w:rsidR="00334551" w:rsidRPr="001778C2">
        <w:rPr>
          <w:sz w:val="24"/>
          <w:szCs w:val="24"/>
        </w:rPr>
        <w:t>mokslininkams</w:t>
      </w:r>
      <w:r w:rsidR="001663C7" w:rsidRPr="001778C2">
        <w:rPr>
          <w:sz w:val="24"/>
          <w:szCs w:val="24"/>
        </w:rPr>
        <w:t xml:space="preserve">, kuriems už pedagoginį darbą bus </w:t>
      </w:r>
      <w:r w:rsidR="001778C2" w:rsidRPr="001778C2">
        <w:rPr>
          <w:sz w:val="24"/>
          <w:szCs w:val="24"/>
        </w:rPr>
        <w:t xml:space="preserve">mokamas darbo užmokestis. </w:t>
      </w:r>
      <w:r w:rsidR="001778C2">
        <w:rPr>
          <w:sz w:val="24"/>
          <w:szCs w:val="24"/>
        </w:rPr>
        <w:t xml:space="preserve">Taip pat bus </w:t>
      </w:r>
      <w:r w:rsidR="006C4C07" w:rsidRPr="001778C2">
        <w:rPr>
          <w:sz w:val="24"/>
          <w:szCs w:val="24"/>
        </w:rPr>
        <w:t xml:space="preserve">ugdoma </w:t>
      </w:r>
      <w:r w:rsidR="006C4C07" w:rsidRPr="001778C2">
        <w:rPr>
          <w:bCs/>
          <w:iCs/>
          <w:sz w:val="24"/>
          <w:szCs w:val="24"/>
        </w:rPr>
        <w:t>mokinių</w:t>
      </w:r>
      <w:r w:rsidR="006C4C07" w:rsidRPr="001778C2">
        <w:rPr>
          <w:sz w:val="24"/>
          <w:szCs w:val="24"/>
          <w:shd w:val="clear" w:color="auto" w:fill="FFFFFF"/>
        </w:rPr>
        <w:t xml:space="preserve"> </w:t>
      </w:r>
      <w:r w:rsidR="006C4C07" w:rsidRPr="001778C2">
        <w:rPr>
          <w:sz w:val="24"/>
          <w:szCs w:val="24"/>
        </w:rPr>
        <w:t>asmens branda ir teigiamos vertybinės nuostatos, taikant Lietuvos Respublikos švietimo, mokslo ir sporto ministro 2015</w:t>
      </w:r>
      <w:r w:rsidR="00334551" w:rsidRPr="001778C2">
        <w:rPr>
          <w:sz w:val="24"/>
          <w:szCs w:val="24"/>
        </w:rPr>
        <w:t>-06-</w:t>
      </w:r>
      <w:r w:rsidR="006C4C07" w:rsidRPr="001778C2">
        <w:rPr>
          <w:sz w:val="24"/>
          <w:szCs w:val="24"/>
        </w:rPr>
        <w:t>17 įsakymu Nr. V-638 patvirtintos Klasikinio ugdymo sampratos elementus</w:t>
      </w:r>
      <w:r w:rsidR="00334551" w:rsidRPr="001778C2">
        <w:rPr>
          <w:sz w:val="24"/>
          <w:szCs w:val="24"/>
        </w:rPr>
        <w:t>.</w:t>
      </w:r>
      <w:r w:rsidR="006C4C07" w:rsidRPr="001778C2">
        <w:rPr>
          <w:sz w:val="24"/>
          <w:szCs w:val="24"/>
        </w:rPr>
        <w:t xml:space="preserve"> </w:t>
      </w:r>
    </w:p>
    <w:p w:rsidR="002168D9" w:rsidRDefault="00392E74" w:rsidP="002168D9">
      <w:pPr>
        <w:pStyle w:val="Pagrindinistekstas"/>
        <w:spacing w:after="0"/>
        <w:ind w:firstLine="709"/>
        <w:jc w:val="both"/>
      </w:pPr>
      <w:r w:rsidRPr="00E17F8D">
        <w:t>Patvirtinus šį sprendimo projektą</w:t>
      </w:r>
      <w:r w:rsidR="002D0D58">
        <w:t>,</w:t>
      </w:r>
      <w:r w:rsidRPr="00E17F8D">
        <w:t xml:space="preserve"> </w:t>
      </w:r>
      <w:r w:rsidR="00C05AB8" w:rsidRPr="00E17F8D">
        <w:t xml:space="preserve">Klaipėdos mieste </w:t>
      </w:r>
      <w:r w:rsidRPr="00E17F8D">
        <w:t xml:space="preserve">bus </w:t>
      </w:r>
      <w:r w:rsidR="00A22777" w:rsidRPr="00E17F8D">
        <w:t>užtikrinamas planingas</w:t>
      </w:r>
      <w:r w:rsidR="00980ECC">
        <w:rPr>
          <w:bCs/>
        </w:rPr>
        <w:t xml:space="preserve"> S</w:t>
      </w:r>
      <w:r w:rsidR="00A22777" w:rsidRPr="00E17F8D">
        <w:rPr>
          <w:bCs/>
        </w:rPr>
        <w:t>avivaldybės</w:t>
      </w:r>
      <w:r w:rsidR="00980ECC">
        <w:rPr>
          <w:bCs/>
        </w:rPr>
        <w:t xml:space="preserve"> </w:t>
      </w:r>
      <w:r w:rsidR="00980ECC">
        <w:rPr>
          <w:color w:val="000000"/>
        </w:rPr>
        <w:t>teisės aktų įgyvendinimas,</w:t>
      </w:r>
      <w:r w:rsidR="00A22777" w:rsidRPr="00E17F8D">
        <w:rPr>
          <w:bCs/>
        </w:rPr>
        <w:t xml:space="preserve"> </w:t>
      </w:r>
      <w:r w:rsidR="00980ECC">
        <w:rPr>
          <w:bCs/>
        </w:rPr>
        <w:t>formuojamas įvairius gyventojų ugdymosi poreikius tenkinančių mokyklų tinkl</w:t>
      </w:r>
      <w:r w:rsidR="00A22777" w:rsidRPr="00E17F8D">
        <w:rPr>
          <w:bCs/>
        </w:rPr>
        <w:t>as</w:t>
      </w:r>
      <w:r w:rsidR="00980ECC">
        <w:rPr>
          <w:bCs/>
        </w:rPr>
        <w:t>,</w:t>
      </w:r>
      <w:r w:rsidR="000D6462">
        <w:rPr>
          <w:bCs/>
        </w:rPr>
        <w:t xml:space="preserve"> </w:t>
      </w:r>
      <w:r w:rsidR="00980ECC" w:rsidRPr="00E317CC">
        <w:t xml:space="preserve">užtikrinama </w:t>
      </w:r>
      <w:r w:rsidR="004C28A1">
        <w:t>G</w:t>
      </w:r>
      <w:r w:rsidR="00980ECC" w:rsidRPr="00E317CC">
        <w:t xml:space="preserve">imnazijos ir </w:t>
      </w:r>
      <w:r w:rsidR="001778C2">
        <w:t>U</w:t>
      </w:r>
      <w:r w:rsidR="00980ECC" w:rsidRPr="00E317CC">
        <w:t xml:space="preserve">niversiteto bendruomenių partnerystė, siekiant padėti mokiniams </w:t>
      </w:r>
      <w:r w:rsidR="00980ECC" w:rsidRPr="00E317CC">
        <w:rPr>
          <w:color w:val="000000"/>
        </w:rPr>
        <w:t xml:space="preserve">pasirengti ir studijuoti </w:t>
      </w:r>
      <w:r w:rsidR="00980ECC" w:rsidRPr="00E317CC">
        <w:t>Universitete</w:t>
      </w:r>
      <w:r w:rsidR="001778C2">
        <w:rPr>
          <w:color w:val="000000"/>
        </w:rPr>
        <w:t xml:space="preserve"> miesto ekonomikos poreikius bei</w:t>
      </w:r>
      <w:r w:rsidR="00980ECC" w:rsidRPr="00E317CC">
        <w:rPr>
          <w:color w:val="000000"/>
        </w:rPr>
        <w:t xml:space="preserve"> prioritetines plėtros sritis atitinkančias mokslų ir studijų programas.</w:t>
      </w:r>
    </w:p>
    <w:p w:rsidR="00392E74" w:rsidRPr="00BA1D7C" w:rsidRDefault="00BA1D7C" w:rsidP="00BA1D7C">
      <w:pPr>
        <w:pStyle w:val="Pagrindinistekstas"/>
        <w:tabs>
          <w:tab w:val="left" w:pos="993"/>
        </w:tabs>
        <w:spacing w:after="0"/>
        <w:ind w:firstLine="567"/>
        <w:jc w:val="both"/>
        <w:rPr>
          <w:b/>
        </w:rPr>
      </w:pPr>
      <w:r>
        <w:rPr>
          <w:b/>
          <w:bCs/>
        </w:rPr>
        <w:t xml:space="preserve">5. </w:t>
      </w:r>
      <w:r w:rsidR="00392E74" w:rsidRPr="00BA1D7C">
        <w:rPr>
          <w:b/>
          <w:bCs/>
        </w:rPr>
        <w:t xml:space="preserve">Galimos neigiamos priimto sprendimo pasekmės ir kokių priemonių reikėtų imtis, kad tokių pasekmių būtų išvengta. </w:t>
      </w:r>
      <w:r w:rsidR="00392E74" w:rsidRPr="00BA1D7C">
        <w:rPr>
          <w:bCs/>
        </w:rPr>
        <w:t>N</w:t>
      </w:r>
      <w:r w:rsidR="00392E74" w:rsidRPr="00407DDA">
        <w:t xml:space="preserve">eigiamų </w:t>
      </w:r>
      <w:r w:rsidR="00392E74" w:rsidRPr="00BA1D7C">
        <w:rPr>
          <w:bCs/>
        </w:rPr>
        <w:t xml:space="preserve">priimto sprendimo </w:t>
      </w:r>
      <w:r w:rsidR="00392E74" w:rsidRPr="00407DDA">
        <w:t>pasekmių nenustatyta.</w:t>
      </w:r>
    </w:p>
    <w:p w:rsidR="00071370" w:rsidRPr="00407DDA" w:rsidRDefault="00BA1D7C" w:rsidP="00BA1D7C">
      <w:pPr>
        <w:tabs>
          <w:tab w:val="left" w:pos="993"/>
        </w:tabs>
        <w:ind w:firstLine="567"/>
        <w:jc w:val="both"/>
        <w:rPr>
          <w:bCs/>
        </w:rPr>
      </w:pPr>
      <w:r>
        <w:rPr>
          <w:b/>
          <w:bCs/>
        </w:rPr>
        <w:t xml:space="preserve">6. </w:t>
      </w:r>
      <w:r w:rsidR="00392E74" w:rsidRPr="00BA1D7C">
        <w:rPr>
          <w:b/>
          <w:bCs/>
        </w:rPr>
        <w:t xml:space="preserve">Jeigu sprendimui įgyvendinti reikia kitų teisės aktų, – kas ir kada juos turėtų parengti, šių aktų metmenys. </w:t>
      </w:r>
      <w:r w:rsidR="00071370" w:rsidRPr="00407DDA">
        <w:rPr>
          <w:bCs/>
        </w:rPr>
        <w:t xml:space="preserve">Šiam sprendimui įgyvendinti </w:t>
      </w:r>
      <w:r w:rsidR="002D0D58">
        <w:rPr>
          <w:bCs/>
        </w:rPr>
        <w:t>kitų</w:t>
      </w:r>
      <w:r w:rsidR="00071370">
        <w:rPr>
          <w:bCs/>
        </w:rPr>
        <w:t xml:space="preserve"> </w:t>
      </w:r>
      <w:r w:rsidR="00071370" w:rsidRPr="00407DDA">
        <w:rPr>
          <w:bCs/>
        </w:rPr>
        <w:t>teisės akt</w:t>
      </w:r>
      <w:r w:rsidR="002D0D58">
        <w:rPr>
          <w:bCs/>
        </w:rPr>
        <w:t>ų nereikia</w:t>
      </w:r>
      <w:r w:rsidR="00071370" w:rsidRPr="00407DDA">
        <w:rPr>
          <w:bCs/>
        </w:rPr>
        <w:t>.</w:t>
      </w:r>
    </w:p>
    <w:p w:rsidR="008D03F4" w:rsidRDefault="0013449E" w:rsidP="001D37F2">
      <w:pPr>
        <w:tabs>
          <w:tab w:val="left" w:pos="993"/>
        </w:tabs>
        <w:ind w:firstLine="567"/>
        <w:jc w:val="both"/>
        <w:rPr>
          <w:color w:val="000000"/>
        </w:rPr>
      </w:pPr>
      <w:r>
        <w:rPr>
          <w:b/>
          <w:bCs/>
        </w:rPr>
        <w:t xml:space="preserve">7. </w:t>
      </w:r>
      <w:r w:rsidR="00392E74" w:rsidRPr="0013449E"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9B39C3" w:rsidRPr="00913E99">
        <w:rPr>
          <w:bCs/>
        </w:rPr>
        <w:t>Ši</w:t>
      </w:r>
      <w:r w:rsidR="00CD6921">
        <w:rPr>
          <w:bCs/>
        </w:rPr>
        <w:t>uo</w:t>
      </w:r>
      <w:r w:rsidR="009B39C3" w:rsidRPr="00913E99">
        <w:rPr>
          <w:bCs/>
        </w:rPr>
        <w:t xml:space="preserve"> sprendim</w:t>
      </w:r>
      <w:r w:rsidR="00CD6921">
        <w:rPr>
          <w:bCs/>
        </w:rPr>
        <w:t>o projektu tvirtinamo Modelio</w:t>
      </w:r>
      <w:r w:rsidR="009B39C3" w:rsidRPr="00913E99">
        <w:rPr>
          <w:bCs/>
        </w:rPr>
        <w:t xml:space="preserve"> įgyvendini</w:t>
      </w:r>
      <w:r w:rsidR="00CD6921">
        <w:rPr>
          <w:bCs/>
        </w:rPr>
        <w:t>mui</w:t>
      </w:r>
      <w:r w:rsidR="009B39C3" w:rsidRPr="00913E99">
        <w:rPr>
          <w:bCs/>
        </w:rPr>
        <w:t xml:space="preserve"> </w:t>
      </w:r>
      <w:r w:rsidR="00B16A06">
        <w:rPr>
          <w:bCs/>
        </w:rPr>
        <w:t>reikalingos</w:t>
      </w:r>
      <w:r w:rsidR="009B39C3">
        <w:rPr>
          <w:bCs/>
        </w:rPr>
        <w:t xml:space="preserve"> </w:t>
      </w:r>
      <w:r w:rsidR="00AE3410" w:rsidRPr="00E626D8">
        <w:t xml:space="preserve">tikslinės </w:t>
      </w:r>
      <w:r w:rsidR="004C28A1">
        <w:t>S</w:t>
      </w:r>
      <w:r w:rsidR="009B39C3" w:rsidRPr="00E626D8">
        <w:t>avivaldybės biudžeto lėšos</w:t>
      </w:r>
      <w:r w:rsidR="002E019C">
        <w:t xml:space="preserve"> </w:t>
      </w:r>
      <w:r w:rsidR="00CD6921">
        <w:rPr>
          <w:color w:val="000000"/>
        </w:rPr>
        <w:t xml:space="preserve">ugdymo procese dalyvaujančių </w:t>
      </w:r>
      <w:r w:rsidR="002F3604">
        <w:rPr>
          <w:color w:val="000000"/>
        </w:rPr>
        <w:t>Universiteto d</w:t>
      </w:r>
      <w:r w:rsidR="00CD6921">
        <w:rPr>
          <w:color w:val="000000"/>
        </w:rPr>
        <w:t>ėstytojų darbo užmokesčiui</w:t>
      </w:r>
      <w:r w:rsidR="00AE3410">
        <w:rPr>
          <w:color w:val="000000"/>
        </w:rPr>
        <w:t xml:space="preserve">. 2021 m. 4 mėnesiams (skaičiuojant nuo rugsėjo 1 d.) minėtos lėšos yra </w:t>
      </w:r>
      <w:r w:rsidR="00D60822">
        <w:rPr>
          <w:color w:val="000000"/>
        </w:rPr>
        <w:t>suplanuotos</w:t>
      </w:r>
      <w:r w:rsidR="00AE3410">
        <w:rPr>
          <w:color w:val="000000"/>
        </w:rPr>
        <w:t xml:space="preserve"> </w:t>
      </w:r>
      <w:r w:rsidR="00AE3410">
        <w:rPr>
          <w:color w:val="000000"/>
          <w:lang w:eastAsia="lt-LT"/>
        </w:rPr>
        <w:t xml:space="preserve">Savivaldybės </w:t>
      </w:r>
      <w:r w:rsidR="0036414B" w:rsidRPr="0036414B">
        <w:rPr>
          <w:rFonts w:eastAsia="Courier New"/>
          <w:bCs/>
        </w:rPr>
        <w:t>20</w:t>
      </w:r>
      <w:r w:rsidR="0036414B" w:rsidRPr="0036414B">
        <w:rPr>
          <w:rFonts w:eastAsia="Courier New"/>
          <w:bCs/>
          <w:lang w:val="en-US"/>
        </w:rPr>
        <w:t>21</w:t>
      </w:r>
      <w:r w:rsidR="0036414B" w:rsidRPr="0036414B">
        <w:rPr>
          <w:rFonts w:eastAsia="Courier New"/>
          <w:bCs/>
        </w:rPr>
        <w:t xml:space="preserve">–2023 metų </w:t>
      </w:r>
      <w:r w:rsidR="00AE3410" w:rsidRPr="00E626D8">
        <w:rPr>
          <w:color w:val="000000"/>
          <w:lang w:eastAsia="lt-LT"/>
        </w:rPr>
        <w:t>strategin</w:t>
      </w:r>
      <w:r w:rsidR="00AE3410">
        <w:rPr>
          <w:color w:val="000000"/>
          <w:lang w:eastAsia="lt-LT"/>
        </w:rPr>
        <w:t xml:space="preserve">io </w:t>
      </w:r>
      <w:r w:rsidR="00AE3410" w:rsidRPr="00E626D8">
        <w:rPr>
          <w:color w:val="000000"/>
          <w:lang w:eastAsia="lt-LT"/>
        </w:rPr>
        <w:t>veiklos plan</w:t>
      </w:r>
      <w:r w:rsidR="00AE3410">
        <w:rPr>
          <w:color w:val="000000"/>
          <w:lang w:eastAsia="lt-LT"/>
        </w:rPr>
        <w:t xml:space="preserve">o, patvirtinto Savivaldybės tarybos </w:t>
      </w:r>
      <w:r w:rsidR="0036414B">
        <w:rPr>
          <w:color w:val="000000"/>
          <w:lang w:eastAsia="lt-LT"/>
        </w:rPr>
        <w:t xml:space="preserve">2021-04-25 sprendimu Nr. T2-24, </w:t>
      </w:r>
      <w:r w:rsidR="00AE3410" w:rsidRPr="00161FE8">
        <w:rPr>
          <w:color w:val="000000"/>
        </w:rPr>
        <w:t xml:space="preserve">10 programoje </w:t>
      </w:r>
      <w:r w:rsidR="00AE3410">
        <w:rPr>
          <w:color w:val="000000"/>
        </w:rPr>
        <w:t>„</w:t>
      </w:r>
      <w:r w:rsidR="00AE3410" w:rsidRPr="00161FE8">
        <w:rPr>
          <w:color w:val="000000"/>
        </w:rPr>
        <w:t>Ugdymo proceso ir ap</w:t>
      </w:r>
      <w:r w:rsidR="0036414B">
        <w:rPr>
          <w:color w:val="000000"/>
        </w:rPr>
        <w:t xml:space="preserve">linkos užtikrinimas“. Nuo 2024 m. lėšų poreikis Universiteto </w:t>
      </w:r>
      <w:r w:rsidR="0036414B">
        <w:rPr>
          <w:color w:val="000000"/>
        </w:rPr>
        <w:lastRenderedPageBreak/>
        <w:t xml:space="preserve">dėstytojų darbo užmokesčiui bus stabilus (74,7 tūkst. Eur per metus), nes bus įvesti Modelyje numatyti 3,93 etato ir Universiteto dėstytojų </w:t>
      </w:r>
      <w:r w:rsidR="00B16A06">
        <w:rPr>
          <w:color w:val="000000"/>
        </w:rPr>
        <w:t>pagalba</w:t>
      </w:r>
      <w:r w:rsidR="0036414B">
        <w:rPr>
          <w:color w:val="000000"/>
        </w:rPr>
        <w:t xml:space="preserve"> </w:t>
      </w:r>
      <w:r w:rsidR="003A5C01">
        <w:rPr>
          <w:color w:val="000000"/>
        </w:rPr>
        <w:t>bus teikiama visiems</w:t>
      </w:r>
      <w:r w:rsidR="00B16A06">
        <w:rPr>
          <w:color w:val="000000"/>
        </w:rPr>
        <w:t xml:space="preserve"> I–IV klasių</w:t>
      </w:r>
      <w:r w:rsidR="003A5C01">
        <w:rPr>
          <w:color w:val="000000"/>
        </w:rPr>
        <w:t xml:space="preserve"> Gimnazijos mokiniams.</w:t>
      </w:r>
      <w:r w:rsidR="00B91D46">
        <w:rPr>
          <w:color w:val="000000"/>
        </w:rPr>
        <w:t xml:space="preserve"> </w:t>
      </w:r>
    </w:p>
    <w:p w:rsidR="005A2A3F" w:rsidRDefault="00160FAB" w:rsidP="00AE3410">
      <w:pPr>
        <w:ind w:firstLine="709"/>
        <w:jc w:val="both"/>
        <w:rPr>
          <w:color w:val="000000"/>
          <w:lang w:eastAsia="lt-LT"/>
        </w:rPr>
      </w:pPr>
      <w:r>
        <w:rPr>
          <w:color w:val="000000"/>
        </w:rPr>
        <w:t>Taip pat</w:t>
      </w:r>
      <w:r w:rsidRPr="00160FAB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reikalingos kasmetinės lėšos mokymosi priemonių </w:t>
      </w:r>
      <w:r>
        <w:t xml:space="preserve">praktinei-tiriamajai veiklai </w:t>
      </w:r>
      <w:r>
        <w:rPr>
          <w:color w:val="000000"/>
          <w:lang w:eastAsia="lt-LT"/>
        </w:rPr>
        <w:t xml:space="preserve">Universiteto aplinkose įsigijimui, kadangi mokinių, vykdančių veiklas Universitete skaičius bus </w:t>
      </w:r>
      <w:r w:rsidR="008D03F4">
        <w:rPr>
          <w:color w:val="000000"/>
          <w:lang w:eastAsia="lt-LT"/>
        </w:rPr>
        <w:t>nemažas</w:t>
      </w:r>
      <w:r>
        <w:rPr>
          <w:color w:val="000000"/>
          <w:lang w:eastAsia="lt-LT"/>
        </w:rPr>
        <w:t>, Universitetas bus nepajėgus ti</w:t>
      </w:r>
      <w:r w:rsidR="00D60822">
        <w:rPr>
          <w:color w:val="000000"/>
          <w:lang w:eastAsia="lt-LT"/>
        </w:rPr>
        <w:t>e</w:t>
      </w:r>
      <w:r>
        <w:rPr>
          <w:color w:val="000000"/>
          <w:lang w:eastAsia="lt-LT"/>
        </w:rPr>
        <w:t>k studentus, tiek gimnazistus aprūpinti laboratoriniams darbams reikalingomis priemonėmis. Gimnazija</w:t>
      </w:r>
      <w:r w:rsidR="00D60822">
        <w:rPr>
          <w:color w:val="000000"/>
          <w:lang w:eastAsia="lt-LT"/>
        </w:rPr>
        <w:t>i</w:t>
      </w:r>
      <w:r>
        <w:rPr>
          <w:color w:val="000000"/>
          <w:lang w:eastAsia="lt-LT"/>
        </w:rPr>
        <w:t xml:space="preserve"> lėš</w:t>
      </w:r>
      <w:r w:rsidR="00D60822">
        <w:rPr>
          <w:color w:val="000000"/>
          <w:lang w:eastAsia="lt-LT"/>
        </w:rPr>
        <w:t>ų</w:t>
      </w:r>
      <w:r>
        <w:rPr>
          <w:color w:val="000000"/>
          <w:lang w:eastAsia="lt-LT"/>
        </w:rPr>
        <w:t>, skirt</w:t>
      </w:r>
      <w:r w:rsidR="00D60822">
        <w:rPr>
          <w:color w:val="000000"/>
          <w:lang w:eastAsia="lt-LT"/>
        </w:rPr>
        <w:t>ų</w:t>
      </w:r>
      <w:r>
        <w:rPr>
          <w:color w:val="000000"/>
          <w:lang w:eastAsia="lt-LT"/>
        </w:rPr>
        <w:t xml:space="preserve"> mokymo priemonių</w:t>
      </w:r>
      <w:r w:rsidR="00D60822">
        <w:rPr>
          <w:color w:val="000000"/>
          <w:lang w:eastAsia="lt-LT"/>
        </w:rPr>
        <w:t xml:space="preserve"> įsigijimui</w:t>
      </w:r>
      <w:r w:rsidR="002A6C60">
        <w:rPr>
          <w:color w:val="000000"/>
          <w:lang w:eastAsia="lt-LT"/>
        </w:rPr>
        <w:t>,</w:t>
      </w:r>
      <w:r w:rsidR="00D60822">
        <w:rPr>
          <w:color w:val="000000"/>
          <w:lang w:eastAsia="lt-LT"/>
        </w:rPr>
        <w:t xml:space="preserve"> irgi neužteks, nes jos bus panaudotos praktinėms veikloms, atliekamoms Gimnazijos laboratorijoje ir kitose mokomosiose aplinkose.</w:t>
      </w:r>
      <w:r>
        <w:rPr>
          <w:color w:val="000000"/>
          <w:lang w:eastAsia="lt-LT"/>
        </w:rPr>
        <w:t xml:space="preserve"> </w:t>
      </w:r>
      <w:r w:rsidR="008D03F4">
        <w:rPr>
          <w:color w:val="000000"/>
          <w:lang w:eastAsia="lt-LT"/>
        </w:rPr>
        <w:t>Šių lėšų poreikis numatomas toks pat, kaip ir Baltijos gimnazijos universitetinėms inžinerinio ugdymo klasėms (2,0 tūkst. Eur per metus).</w:t>
      </w:r>
    </w:p>
    <w:p w:rsidR="00A82374" w:rsidRDefault="005A2A3F" w:rsidP="005A2A3F">
      <w:pPr>
        <w:ind w:firstLine="709"/>
        <w:jc w:val="both"/>
      </w:pPr>
      <w:r>
        <w:rPr>
          <w:color w:val="000000"/>
        </w:rPr>
        <w:t xml:space="preserve">Sėkmingam </w:t>
      </w:r>
      <w:r w:rsidR="00C403A4">
        <w:rPr>
          <w:color w:val="000000"/>
        </w:rPr>
        <w:t>Model</w:t>
      </w:r>
      <w:r>
        <w:rPr>
          <w:color w:val="000000"/>
        </w:rPr>
        <w:t>io įgyvendinimui</w:t>
      </w:r>
      <w:r w:rsidR="00C403A4">
        <w:rPr>
          <w:color w:val="000000"/>
        </w:rPr>
        <w:t xml:space="preserve"> </w:t>
      </w:r>
      <w:r>
        <w:rPr>
          <w:color w:val="000000"/>
        </w:rPr>
        <w:t>yra</w:t>
      </w:r>
      <w:r w:rsidR="00C403A4">
        <w:rPr>
          <w:color w:val="000000"/>
          <w:lang w:eastAsia="lt-LT"/>
        </w:rPr>
        <w:t xml:space="preserve"> poreik</w:t>
      </w:r>
      <w:r>
        <w:rPr>
          <w:color w:val="000000"/>
          <w:lang w:eastAsia="lt-LT"/>
        </w:rPr>
        <w:t>is gerinti</w:t>
      </w:r>
      <w:r w:rsidR="00C403A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Gimnazijos </w:t>
      </w:r>
      <w:r w:rsidR="008D03F4">
        <w:rPr>
          <w:color w:val="000000"/>
          <w:lang w:eastAsia="lt-LT"/>
        </w:rPr>
        <w:t>edukacines erdves</w:t>
      </w:r>
      <w:r w:rsidR="008F442B">
        <w:rPr>
          <w:color w:val="000000"/>
          <w:lang w:eastAsia="lt-LT"/>
        </w:rPr>
        <w:t>, siekiant</w:t>
      </w:r>
      <w:r w:rsidR="008F442B" w:rsidRPr="008F442B">
        <w:t xml:space="preserve"> </w:t>
      </w:r>
      <w:r w:rsidR="008F442B">
        <w:t>racionaliai panaudoti Modelio įgyvendinimui skirtas lėšas ir užtikrinti efektyvų visiems mokiniams prieinamą moksliniais tyrimais grindžiamą mokymą.</w:t>
      </w:r>
      <w:r>
        <w:rPr>
          <w:color w:val="000000"/>
          <w:lang w:eastAsia="lt-LT"/>
        </w:rPr>
        <w:t xml:space="preserve"> </w:t>
      </w:r>
      <w:r>
        <w:t>Įvertinus gimnazijos turimas mokomąsias aplinkas, nustatyta, kad, rekonstravus vieną iš didžiausių gimnazijos mokomųjų kabinetų ir jame įrengus mokomąjį (amfiteatrinį) kabinetą, teoriniuose užsiėmimuose (ypač Universiteto dėstytojų vedamuose)</w:t>
      </w:r>
      <w:r w:rsidRPr="00154A71">
        <w:t xml:space="preserve"> </w:t>
      </w:r>
      <w:r>
        <w:t>vienu metu galės dalyvauti 80 mokinių (apie 3 klas</w:t>
      </w:r>
      <w:r w:rsidR="00633353">
        <w:t>e</w:t>
      </w:r>
      <w:r>
        <w:t xml:space="preserve">s). </w:t>
      </w:r>
      <w:r w:rsidR="00633353">
        <w:t>Šio</w:t>
      </w:r>
      <w:r>
        <w:t xml:space="preserve"> kabineto įrengimui </w:t>
      </w:r>
      <w:r w:rsidR="00633353">
        <w:t xml:space="preserve">reikėtų </w:t>
      </w:r>
      <w:r w:rsidR="00F5576B">
        <w:t>21</w:t>
      </w:r>
      <w:r w:rsidR="005E6BDD">
        <w:t>,</w:t>
      </w:r>
      <w:r w:rsidR="00F5576B">
        <w:t>8</w:t>
      </w:r>
      <w:r w:rsidR="00633353">
        <w:t xml:space="preserve"> tūkst. Eur (vienos sienos griovimas</w:t>
      </w:r>
      <w:r w:rsidR="002A6C60">
        <w:t>,</w:t>
      </w:r>
      <w:r w:rsidR="00633353">
        <w:t xml:space="preserve"> patalpos remonto </w:t>
      </w:r>
      <w:r w:rsidR="00121101">
        <w:t xml:space="preserve">darbai už </w:t>
      </w:r>
      <w:r w:rsidR="00633353">
        <w:t>7</w:t>
      </w:r>
      <w:r>
        <w:t xml:space="preserve">,0 tūkst. Eur, amfiteatrinės pakylos konstrukcijos gamyba ir montavimas </w:t>
      </w:r>
      <w:r w:rsidR="00121101">
        <w:t xml:space="preserve">už </w:t>
      </w:r>
      <w:r>
        <w:t xml:space="preserve">10,0 tūkst. Eur, konferencinės paskirties </w:t>
      </w:r>
      <w:r w:rsidR="005E6BDD">
        <w:t>kėdžių (80 vnt.)</w:t>
      </w:r>
      <w:r>
        <w:t xml:space="preserve"> </w:t>
      </w:r>
      <w:r w:rsidR="00633353">
        <w:t xml:space="preserve">įsigijimas </w:t>
      </w:r>
      <w:r w:rsidR="00121101">
        <w:t xml:space="preserve">už </w:t>
      </w:r>
      <w:r w:rsidR="00F5576B">
        <w:t>4</w:t>
      </w:r>
      <w:r>
        <w:t>,</w:t>
      </w:r>
      <w:r w:rsidR="00F5576B">
        <w:t>8</w:t>
      </w:r>
      <w:r>
        <w:t xml:space="preserve"> tūkst. Eur). </w:t>
      </w:r>
      <w:r w:rsidR="00121101">
        <w:t>Taip pat yra poreikis Gimnazijoje įrengti antrąją gamtamokslinę laboratoriją</w:t>
      </w:r>
      <w:r w:rsidR="00D35B4F">
        <w:t xml:space="preserve"> (įvertintos ir Universiteto laboratorijų galimybės)</w:t>
      </w:r>
      <w:r w:rsidR="002A6C60">
        <w:t>, nes</w:t>
      </w:r>
      <w:r w:rsidR="00121101">
        <w:t xml:space="preserve"> </w:t>
      </w:r>
      <w:r w:rsidR="002A6C60">
        <w:t>š</w:t>
      </w:r>
      <w:r w:rsidR="00121101">
        <w:t>iuo metu gimnazijoje yra įrengta tik viena laboratorija</w:t>
      </w:r>
      <w:r w:rsidR="002A6C60">
        <w:t>, o</w:t>
      </w:r>
      <w:r w:rsidR="00D35B4F">
        <w:t xml:space="preserve"> </w:t>
      </w:r>
      <w:r w:rsidR="00121101">
        <w:t xml:space="preserve">gilinant STEAM krypties mokymą, </w:t>
      </w:r>
      <w:r w:rsidR="002A6C60">
        <w:t>g</w:t>
      </w:r>
      <w:r w:rsidR="00121101">
        <w:t xml:space="preserve">amtamokslinių </w:t>
      </w:r>
      <w:r w:rsidR="00D35B4F">
        <w:t xml:space="preserve">(fizikos, chemijos, biologijos) </w:t>
      </w:r>
      <w:r w:rsidR="00121101">
        <w:t xml:space="preserve">dalykų praktiniai užsiėmimai </w:t>
      </w:r>
      <w:r w:rsidR="002A6C60">
        <w:t xml:space="preserve">bus </w:t>
      </w:r>
      <w:r w:rsidR="00121101">
        <w:t xml:space="preserve">vykdomi, mokinius dalinant grupėmis, </w:t>
      </w:r>
      <w:r w:rsidR="00D35B4F">
        <w:t xml:space="preserve">praktinėms veikloms pagal Modelį turės būti skiriama ne mažiau kaip </w:t>
      </w:r>
      <w:r w:rsidR="00121101">
        <w:t xml:space="preserve"> </w:t>
      </w:r>
      <w:r w:rsidR="00D35B4F" w:rsidRPr="00CC257B">
        <w:t xml:space="preserve">10 </w:t>
      </w:r>
      <w:r w:rsidR="00D35B4F" w:rsidRPr="00D83F67">
        <w:t>%</w:t>
      </w:r>
      <w:r w:rsidR="00D35B4F">
        <w:t xml:space="preserve"> </w:t>
      </w:r>
      <w:r w:rsidR="00D35B4F" w:rsidRPr="00CC257B">
        <w:t xml:space="preserve">dalykų mokymui per mokslo metus </w:t>
      </w:r>
      <w:r w:rsidR="00D35B4F">
        <w:t xml:space="preserve">skirtų </w:t>
      </w:r>
      <w:r w:rsidR="00D35B4F" w:rsidRPr="00CC257B">
        <w:t>valandų</w:t>
      </w:r>
      <w:r w:rsidR="00D35B4F">
        <w:t>.</w:t>
      </w:r>
      <w:r w:rsidR="00D35B4F" w:rsidRPr="00CC257B">
        <w:t xml:space="preserve"> </w:t>
      </w:r>
      <w:r w:rsidR="00502F28">
        <w:t xml:space="preserve">Laboratorijos įrengimui reikėtų </w:t>
      </w:r>
      <w:r w:rsidR="00F54B3D">
        <w:t>40,</w:t>
      </w:r>
      <w:r w:rsidR="00201813">
        <w:t>0</w:t>
      </w:r>
      <w:r w:rsidR="00502F28">
        <w:t xml:space="preserve"> tūkst. Eur</w:t>
      </w:r>
      <w:r w:rsidR="00A82374">
        <w:t xml:space="preserve"> </w:t>
      </w:r>
      <w:r w:rsidR="00201813">
        <w:t>(</w:t>
      </w:r>
      <w:r w:rsidR="00AC390A">
        <w:t>grindų, sienų, pakabinamų lu</w:t>
      </w:r>
      <w:r w:rsidR="00201813">
        <w:t>bų, apšvietimo atnaujinimas, durų angos iškirtimas ir durų statymas už 11,0</w:t>
      </w:r>
      <w:r w:rsidR="00AC390A">
        <w:t xml:space="preserve"> tūkst. Eur, šalto-karšto vandens įvedimas už 3,5 tūkst. Eur, </w:t>
      </w:r>
      <w:r w:rsidR="00F54B3D">
        <w:t>gaminamos ir montuojamos laboratorinės spintos (3 vnt.) ir specializuoti stalai (11 vnt.)</w:t>
      </w:r>
      <w:r w:rsidR="00201813" w:rsidRPr="00201813">
        <w:t xml:space="preserve"> </w:t>
      </w:r>
      <w:r w:rsidR="00201813">
        <w:t>už 25,5 tūkst. Eur).</w:t>
      </w:r>
      <w:r w:rsidR="00C23EEE" w:rsidRPr="00C23EEE">
        <w:rPr>
          <w:color w:val="000000"/>
          <w:sz w:val="20"/>
          <w:szCs w:val="20"/>
          <w:lang w:eastAsia="lt-LT"/>
        </w:rPr>
        <w:t xml:space="preserve"> </w:t>
      </w:r>
      <w:r w:rsidR="00C23EEE" w:rsidRPr="00C23EEE">
        <w:rPr>
          <w:color w:val="000000"/>
          <w:lang w:eastAsia="lt-LT"/>
        </w:rPr>
        <w:t xml:space="preserve">Atnaujinant Gimnazijos mokymo aplinkas, </w:t>
      </w:r>
      <w:r w:rsidR="00575AC6">
        <w:rPr>
          <w:color w:val="000000"/>
          <w:lang w:eastAsia="lt-LT"/>
        </w:rPr>
        <w:t xml:space="preserve">papildomai gali būti </w:t>
      </w:r>
      <w:r w:rsidR="00C23EEE" w:rsidRPr="00C23EEE">
        <w:rPr>
          <w:color w:val="000000"/>
          <w:lang w:eastAsia="lt-LT"/>
        </w:rPr>
        <w:t>naudojamos Europos Sąjungos struktūrinių fondų, nacionalinių ir tarptautinių švietimo programų, verslo įmonių ir asociacijų, Gimnazijos paramos ar kitos lėšos.</w:t>
      </w:r>
    </w:p>
    <w:p w:rsidR="00AE3410" w:rsidRDefault="007F21CD" w:rsidP="00AE3410">
      <w:pPr>
        <w:ind w:firstLine="709"/>
        <w:jc w:val="both"/>
      </w:pPr>
      <w:r>
        <w:t>Iš viso numatomas toks lėšų poreikis:</w:t>
      </w: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701"/>
        <w:gridCol w:w="1553"/>
      </w:tblGrid>
      <w:tr w:rsidR="00101981" w:rsidRPr="00D128A8" w:rsidTr="00727FC9">
        <w:trPr>
          <w:trHeight w:val="232"/>
        </w:trPr>
        <w:tc>
          <w:tcPr>
            <w:tcW w:w="3119" w:type="dxa"/>
            <w:vMerge w:val="restart"/>
          </w:tcPr>
          <w:p w:rsidR="00101981" w:rsidRPr="00D128A8" w:rsidRDefault="00101981" w:rsidP="007F21CD">
            <w:pPr>
              <w:tabs>
                <w:tab w:val="left" w:pos="851"/>
              </w:tabs>
              <w:jc w:val="center"/>
            </w:pPr>
            <w:r w:rsidRPr="00D128A8">
              <w:t>Priemonė</w:t>
            </w:r>
          </w:p>
        </w:tc>
        <w:tc>
          <w:tcPr>
            <w:tcW w:w="6514" w:type="dxa"/>
            <w:gridSpan w:val="4"/>
          </w:tcPr>
          <w:p w:rsidR="00101981" w:rsidRPr="007F21CD" w:rsidRDefault="00C23EEE" w:rsidP="00D128A8">
            <w:pPr>
              <w:tabs>
                <w:tab w:val="left" w:pos="851"/>
              </w:tabs>
              <w:jc w:val="center"/>
            </w:pPr>
            <w:r>
              <w:t>L</w:t>
            </w:r>
            <w:r w:rsidR="00101981" w:rsidRPr="007F21CD">
              <w:t>ėšos (tūkst. Eur)</w:t>
            </w:r>
          </w:p>
        </w:tc>
      </w:tr>
      <w:tr w:rsidR="002E019C" w:rsidRPr="00D128A8" w:rsidTr="00727FC9">
        <w:trPr>
          <w:trHeight w:val="232"/>
        </w:trPr>
        <w:tc>
          <w:tcPr>
            <w:tcW w:w="3119" w:type="dxa"/>
            <w:vMerge/>
          </w:tcPr>
          <w:p w:rsidR="002E019C" w:rsidRPr="00D128A8" w:rsidRDefault="002E019C" w:rsidP="00D128A8">
            <w:pPr>
              <w:tabs>
                <w:tab w:val="left" w:pos="851"/>
              </w:tabs>
              <w:jc w:val="both"/>
            </w:pPr>
          </w:p>
        </w:tc>
        <w:tc>
          <w:tcPr>
            <w:tcW w:w="1559" w:type="dxa"/>
            <w:vMerge w:val="restart"/>
          </w:tcPr>
          <w:p w:rsidR="007F21CD" w:rsidRDefault="002E019C" w:rsidP="00D128A8">
            <w:pPr>
              <w:tabs>
                <w:tab w:val="left" w:pos="851"/>
              </w:tabs>
              <w:jc w:val="center"/>
            </w:pPr>
            <w:r w:rsidRPr="002E019C">
              <w:t>2021 m. (patvirtintos</w:t>
            </w:r>
          </w:p>
          <w:p w:rsidR="002E019C" w:rsidRPr="002E019C" w:rsidRDefault="007F21CD" w:rsidP="00D128A8">
            <w:pPr>
              <w:tabs>
                <w:tab w:val="left" w:pos="851"/>
              </w:tabs>
              <w:jc w:val="center"/>
            </w:pPr>
            <w:r w:rsidRPr="00D128A8">
              <w:t>4 mėnesia</w:t>
            </w:r>
            <w:r>
              <w:t>ms</w:t>
            </w:r>
            <w:r w:rsidR="002E019C" w:rsidRPr="002E019C">
              <w:t>)</w:t>
            </w:r>
          </w:p>
        </w:tc>
        <w:tc>
          <w:tcPr>
            <w:tcW w:w="4955" w:type="dxa"/>
            <w:gridSpan w:val="3"/>
          </w:tcPr>
          <w:p w:rsidR="002E019C" w:rsidRPr="002E019C" w:rsidRDefault="00493A9E" w:rsidP="002E019C">
            <w:pPr>
              <w:tabs>
                <w:tab w:val="left" w:pos="851"/>
              </w:tabs>
              <w:jc w:val="center"/>
            </w:pPr>
            <w:r>
              <w:t>P</w:t>
            </w:r>
            <w:r w:rsidR="002E019C" w:rsidRPr="002E019C">
              <w:t xml:space="preserve">oreikis </w:t>
            </w:r>
          </w:p>
        </w:tc>
      </w:tr>
      <w:tr w:rsidR="002E019C" w:rsidRPr="00D128A8" w:rsidTr="00727FC9">
        <w:trPr>
          <w:trHeight w:val="231"/>
        </w:trPr>
        <w:tc>
          <w:tcPr>
            <w:tcW w:w="3119" w:type="dxa"/>
            <w:vMerge/>
          </w:tcPr>
          <w:p w:rsidR="002E019C" w:rsidRPr="00D128A8" w:rsidRDefault="002E019C" w:rsidP="00D128A8">
            <w:pPr>
              <w:tabs>
                <w:tab w:val="left" w:pos="851"/>
              </w:tabs>
              <w:jc w:val="both"/>
            </w:pPr>
          </w:p>
        </w:tc>
        <w:tc>
          <w:tcPr>
            <w:tcW w:w="1559" w:type="dxa"/>
            <w:vMerge/>
          </w:tcPr>
          <w:p w:rsidR="002E019C" w:rsidRPr="002E019C" w:rsidRDefault="002E019C" w:rsidP="00D128A8">
            <w:pPr>
              <w:tabs>
                <w:tab w:val="left" w:pos="851"/>
              </w:tabs>
              <w:jc w:val="center"/>
            </w:pPr>
          </w:p>
        </w:tc>
        <w:tc>
          <w:tcPr>
            <w:tcW w:w="1701" w:type="dxa"/>
          </w:tcPr>
          <w:p w:rsidR="002E019C" w:rsidRPr="002E019C" w:rsidRDefault="002E019C" w:rsidP="00D128A8">
            <w:pPr>
              <w:tabs>
                <w:tab w:val="left" w:pos="851"/>
              </w:tabs>
              <w:jc w:val="center"/>
            </w:pPr>
            <w:r w:rsidRPr="002E019C">
              <w:t>2022 m.</w:t>
            </w:r>
          </w:p>
        </w:tc>
        <w:tc>
          <w:tcPr>
            <w:tcW w:w="1701" w:type="dxa"/>
          </w:tcPr>
          <w:p w:rsidR="002E019C" w:rsidRPr="002E019C" w:rsidRDefault="002E019C" w:rsidP="00D128A8">
            <w:pPr>
              <w:tabs>
                <w:tab w:val="left" w:pos="851"/>
              </w:tabs>
              <w:jc w:val="center"/>
            </w:pPr>
            <w:r w:rsidRPr="002E019C">
              <w:t>2023 m.</w:t>
            </w:r>
          </w:p>
        </w:tc>
        <w:tc>
          <w:tcPr>
            <w:tcW w:w="1553" w:type="dxa"/>
          </w:tcPr>
          <w:p w:rsidR="002E019C" w:rsidRPr="00305012" w:rsidRDefault="002E019C" w:rsidP="00D128A8">
            <w:pPr>
              <w:tabs>
                <w:tab w:val="left" w:pos="851"/>
              </w:tabs>
              <w:jc w:val="center"/>
            </w:pPr>
            <w:r w:rsidRPr="00305012">
              <w:t>2024 m.</w:t>
            </w:r>
            <w:r w:rsidR="00E02614" w:rsidRPr="00305012">
              <w:t xml:space="preserve"> ir toliau kasmet</w:t>
            </w:r>
          </w:p>
        </w:tc>
      </w:tr>
      <w:tr w:rsidR="00E02614" w:rsidRPr="00D128A8" w:rsidTr="00727FC9">
        <w:trPr>
          <w:trHeight w:val="656"/>
        </w:trPr>
        <w:tc>
          <w:tcPr>
            <w:tcW w:w="3119" w:type="dxa"/>
          </w:tcPr>
          <w:p w:rsidR="003610F9" w:rsidRPr="00D128A8" w:rsidRDefault="002F3604" w:rsidP="00D128A8">
            <w:pPr>
              <w:tabs>
                <w:tab w:val="left" w:pos="851"/>
              </w:tabs>
            </w:pPr>
            <w:r w:rsidRPr="00D128A8">
              <w:t>Universiteto d</w:t>
            </w:r>
            <w:r w:rsidR="003610F9" w:rsidRPr="00D128A8">
              <w:t>ėstytojų darbo užmokestis</w:t>
            </w:r>
          </w:p>
        </w:tc>
        <w:tc>
          <w:tcPr>
            <w:tcW w:w="1559" w:type="dxa"/>
          </w:tcPr>
          <w:p w:rsidR="003610F9" w:rsidRPr="002E019C" w:rsidRDefault="003610F9" w:rsidP="00D128A8">
            <w:pPr>
              <w:tabs>
                <w:tab w:val="left" w:pos="851"/>
              </w:tabs>
              <w:jc w:val="center"/>
              <w:rPr>
                <w:b/>
              </w:rPr>
            </w:pPr>
            <w:r w:rsidRPr="002E019C">
              <w:rPr>
                <w:b/>
              </w:rPr>
              <w:t xml:space="preserve">11,6 </w:t>
            </w:r>
          </w:p>
          <w:p w:rsidR="003610F9" w:rsidRPr="00D128A8" w:rsidRDefault="003610F9" w:rsidP="007F21CD">
            <w:pPr>
              <w:tabs>
                <w:tab w:val="left" w:pos="851"/>
              </w:tabs>
              <w:jc w:val="center"/>
            </w:pPr>
            <w:r w:rsidRPr="00D128A8">
              <w:t>(1,82 etato</w:t>
            </w:r>
            <w:r w:rsidR="00704A60" w:rsidRPr="00D128A8">
              <w:t>)</w:t>
            </w:r>
            <w:r w:rsidRPr="00D128A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10F9" w:rsidRPr="002E019C" w:rsidRDefault="003610F9" w:rsidP="00D128A8">
            <w:pPr>
              <w:tabs>
                <w:tab w:val="left" w:pos="851"/>
              </w:tabs>
              <w:jc w:val="center"/>
              <w:rPr>
                <w:b/>
              </w:rPr>
            </w:pPr>
            <w:r w:rsidRPr="002E019C">
              <w:rPr>
                <w:b/>
              </w:rPr>
              <w:t xml:space="preserve">44,7 </w:t>
            </w:r>
          </w:p>
          <w:p w:rsidR="00E02614" w:rsidRDefault="003610F9" w:rsidP="00E02614">
            <w:pPr>
              <w:tabs>
                <w:tab w:val="left" w:pos="851"/>
              </w:tabs>
              <w:jc w:val="center"/>
            </w:pPr>
            <w:r w:rsidRPr="00D128A8">
              <w:t>(</w:t>
            </w:r>
            <w:r w:rsidR="00E02614">
              <w:t>etatų</w:t>
            </w:r>
            <w:r w:rsidR="00101981" w:rsidRPr="00D128A8">
              <w:t xml:space="preserve"> augimas</w:t>
            </w:r>
          </w:p>
          <w:p w:rsidR="003610F9" w:rsidRPr="00D128A8" w:rsidRDefault="00E02614" w:rsidP="00727FC9">
            <w:pPr>
              <w:tabs>
                <w:tab w:val="left" w:pos="851"/>
              </w:tabs>
              <w:jc w:val="center"/>
            </w:pPr>
            <w:r w:rsidRPr="00D128A8">
              <w:t>1,87</w:t>
            </w:r>
            <w:r w:rsidR="00727FC9">
              <w:t>–</w:t>
            </w:r>
            <w:r w:rsidRPr="00D128A8">
              <w:t>3,28</w:t>
            </w:r>
            <w:r w:rsidR="00704A60" w:rsidRPr="00D128A8">
              <w:t>)</w:t>
            </w:r>
            <w:r w:rsidR="003610F9" w:rsidRPr="00D128A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4A60" w:rsidRPr="00E02614" w:rsidRDefault="0082718A" w:rsidP="00D128A8">
            <w:pPr>
              <w:tabs>
                <w:tab w:val="left" w:pos="851"/>
              </w:tabs>
              <w:jc w:val="center"/>
              <w:rPr>
                <w:b/>
              </w:rPr>
            </w:pPr>
            <w:r w:rsidRPr="00E02614">
              <w:rPr>
                <w:b/>
              </w:rPr>
              <w:t>6</w:t>
            </w:r>
            <w:r w:rsidR="00307960" w:rsidRPr="00E02614">
              <w:rPr>
                <w:b/>
              </w:rPr>
              <w:t>6</w:t>
            </w:r>
            <w:r w:rsidR="003610F9" w:rsidRPr="00E02614">
              <w:rPr>
                <w:b/>
              </w:rPr>
              <w:t>,</w:t>
            </w:r>
            <w:r w:rsidR="00307960" w:rsidRPr="00E02614">
              <w:rPr>
                <w:b/>
              </w:rPr>
              <w:t>8</w:t>
            </w:r>
            <w:r w:rsidR="003610F9" w:rsidRPr="00E02614">
              <w:rPr>
                <w:b/>
              </w:rPr>
              <w:t xml:space="preserve"> </w:t>
            </w:r>
          </w:p>
          <w:p w:rsidR="00E02614" w:rsidRDefault="00101981" w:rsidP="00E02614">
            <w:pPr>
              <w:tabs>
                <w:tab w:val="left" w:pos="851"/>
              </w:tabs>
              <w:jc w:val="center"/>
            </w:pPr>
            <w:r w:rsidRPr="00D128A8">
              <w:t>(etat</w:t>
            </w:r>
            <w:r w:rsidR="00E02614">
              <w:t>ų</w:t>
            </w:r>
            <w:r w:rsidRPr="00D128A8">
              <w:t xml:space="preserve"> augimas</w:t>
            </w:r>
            <w:r w:rsidR="00E02614">
              <w:t xml:space="preserve"> </w:t>
            </w:r>
          </w:p>
          <w:p w:rsidR="003610F9" w:rsidRPr="00D128A8" w:rsidRDefault="00E02614" w:rsidP="00727FC9">
            <w:pPr>
              <w:tabs>
                <w:tab w:val="left" w:pos="851"/>
              </w:tabs>
              <w:jc w:val="center"/>
            </w:pPr>
            <w:r w:rsidRPr="00D128A8">
              <w:t>3,28</w:t>
            </w:r>
            <w:r w:rsidR="00727FC9">
              <w:t>–</w:t>
            </w:r>
            <w:r w:rsidRPr="00D128A8">
              <w:t>3,93</w:t>
            </w:r>
            <w:r w:rsidR="00101981" w:rsidRPr="00D128A8">
              <w:t>)</w:t>
            </w:r>
          </w:p>
        </w:tc>
        <w:tc>
          <w:tcPr>
            <w:tcW w:w="1553" w:type="dxa"/>
          </w:tcPr>
          <w:p w:rsidR="00D128A8" w:rsidRPr="00E02614" w:rsidRDefault="0082718A" w:rsidP="00D128A8">
            <w:pPr>
              <w:tabs>
                <w:tab w:val="left" w:pos="851"/>
              </w:tabs>
              <w:jc w:val="center"/>
              <w:rPr>
                <w:b/>
              </w:rPr>
            </w:pPr>
            <w:r w:rsidRPr="00E02614">
              <w:rPr>
                <w:b/>
              </w:rPr>
              <w:t>7</w:t>
            </w:r>
            <w:r w:rsidR="00D128A8" w:rsidRPr="00E02614">
              <w:rPr>
                <w:b/>
              </w:rPr>
              <w:t>4</w:t>
            </w:r>
            <w:r w:rsidR="003610F9" w:rsidRPr="00E02614">
              <w:rPr>
                <w:b/>
              </w:rPr>
              <w:t>,</w:t>
            </w:r>
            <w:r w:rsidR="00D128A8" w:rsidRPr="00E02614">
              <w:rPr>
                <w:b/>
              </w:rPr>
              <w:t>7</w:t>
            </w:r>
            <w:r w:rsidR="003610F9" w:rsidRPr="00E02614">
              <w:rPr>
                <w:b/>
              </w:rPr>
              <w:t xml:space="preserve"> </w:t>
            </w:r>
          </w:p>
          <w:p w:rsidR="003610F9" w:rsidRPr="00305012" w:rsidRDefault="0082718A" w:rsidP="00E02614">
            <w:pPr>
              <w:tabs>
                <w:tab w:val="left" w:pos="851"/>
              </w:tabs>
              <w:jc w:val="center"/>
            </w:pPr>
            <w:r w:rsidRPr="00305012">
              <w:t>(3</w:t>
            </w:r>
            <w:r w:rsidR="003610F9" w:rsidRPr="00305012">
              <w:t>,</w:t>
            </w:r>
            <w:r w:rsidRPr="00305012">
              <w:t>93</w:t>
            </w:r>
            <w:r w:rsidR="003610F9" w:rsidRPr="00305012">
              <w:t xml:space="preserve"> etato</w:t>
            </w:r>
            <w:r w:rsidR="00D128A8" w:rsidRPr="00305012">
              <w:t>)</w:t>
            </w:r>
          </w:p>
        </w:tc>
      </w:tr>
      <w:tr w:rsidR="00305012" w:rsidRPr="00D128A8" w:rsidTr="00727FC9">
        <w:trPr>
          <w:trHeight w:val="151"/>
        </w:trPr>
        <w:tc>
          <w:tcPr>
            <w:tcW w:w="3119" w:type="dxa"/>
          </w:tcPr>
          <w:p w:rsidR="00305012" w:rsidRPr="00D128A8" w:rsidRDefault="007F21CD" w:rsidP="002A6C60">
            <w:pPr>
              <w:tabs>
                <w:tab w:val="left" w:pos="851"/>
              </w:tabs>
            </w:pPr>
            <w:r>
              <w:t>Mokymo priemon</w:t>
            </w:r>
            <w:r w:rsidR="00727FC9">
              <w:t>ių</w:t>
            </w:r>
            <w:r w:rsidR="00305012" w:rsidRPr="00D128A8">
              <w:t xml:space="preserve"> </w:t>
            </w:r>
            <w:r w:rsidR="00305012">
              <w:t xml:space="preserve">veikloms Universitete </w:t>
            </w:r>
            <w:r w:rsidR="002A6C60">
              <w:t>įsigijimas</w:t>
            </w:r>
          </w:p>
        </w:tc>
        <w:tc>
          <w:tcPr>
            <w:tcW w:w="1559" w:type="dxa"/>
          </w:tcPr>
          <w:p w:rsidR="00305012" w:rsidRPr="00D128A8" w:rsidRDefault="00305012" w:rsidP="00305012">
            <w:pPr>
              <w:jc w:val="center"/>
            </w:pPr>
            <w:r w:rsidRPr="00D128A8">
              <w:t>–</w:t>
            </w:r>
          </w:p>
        </w:tc>
        <w:tc>
          <w:tcPr>
            <w:tcW w:w="1701" w:type="dxa"/>
            <w:shd w:val="clear" w:color="auto" w:fill="auto"/>
          </w:tcPr>
          <w:p w:rsidR="00305012" w:rsidRPr="00D128A8" w:rsidRDefault="00305012" w:rsidP="00305012">
            <w:pPr>
              <w:tabs>
                <w:tab w:val="left" w:pos="851"/>
              </w:tabs>
              <w:jc w:val="center"/>
            </w:pPr>
            <w:r w:rsidRPr="00D128A8">
              <w:t>2,0</w:t>
            </w:r>
          </w:p>
        </w:tc>
        <w:tc>
          <w:tcPr>
            <w:tcW w:w="1701" w:type="dxa"/>
            <w:shd w:val="clear" w:color="auto" w:fill="auto"/>
          </w:tcPr>
          <w:p w:rsidR="00305012" w:rsidRPr="00D128A8" w:rsidRDefault="00305012" w:rsidP="00305012">
            <w:pPr>
              <w:tabs>
                <w:tab w:val="left" w:pos="851"/>
              </w:tabs>
              <w:jc w:val="center"/>
            </w:pPr>
            <w:r w:rsidRPr="00D128A8">
              <w:t>2,0</w:t>
            </w:r>
          </w:p>
        </w:tc>
        <w:tc>
          <w:tcPr>
            <w:tcW w:w="1553" w:type="dxa"/>
          </w:tcPr>
          <w:p w:rsidR="00305012" w:rsidRPr="00305012" w:rsidRDefault="00305012" w:rsidP="00305012">
            <w:pPr>
              <w:tabs>
                <w:tab w:val="left" w:pos="851"/>
              </w:tabs>
              <w:jc w:val="center"/>
            </w:pPr>
            <w:r w:rsidRPr="00305012">
              <w:t>2,0</w:t>
            </w:r>
          </w:p>
        </w:tc>
      </w:tr>
      <w:tr w:rsidR="00305012" w:rsidRPr="00D128A8" w:rsidTr="00284C80">
        <w:trPr>
          <w:trHeight w:val="151"/>
        </w:trPr>
        <w:tc>
          <w:tcPr>
            <w:tcW w:w="9633" w:type="dxa"/>
            <w:gridSpan w:val="5"/>
          </w:tcPr>
          <w:p w:rsidR="00305012" w:rsidRPr="00E02614" w:rsidRDefault="00305012" w:rsidP="00493A9E">
            <w:pPr>
              <w:tabs>
                <w:tab w:val="left" w:pos="851"/>
              </w:tabs>
              <w:rPr>
                <w:b/>
              </w:rPr>
            </w:pPr>
            <w:r>
              <w:t>Mok</w:t>
            </w:r>
            <w:r w:rsidR="002A6C60">
              <w:t>ymo</w:t>
            </w:r>
            <w:r>
              <w:t xml:space="preserve"> aplinkos gerinimas:</w:t>
            </w:r>
          </w:p>
        </w:tc>
      </w:tr>
      <w:tr w:rsidR="00305012" w:rsidRPr="00D128A8" w:rsidTr="00727FC9">
        <w:trPr>
          <w:trHeight w:val="234"/>
        </w:trPr>
        <w:tc>
          <w:tcPr>
            <w:tcW w:w="3119" w:type="dxa"/>
          </w:tcPr>
          <w:p w:rsidR="00305012" w:rsidRPr="00D128A8" w:rsidRDefault="00727FC9" w:rsidP="00727FC9">
            <w:pPr>
              <w:tabs>
                <w:tab w:val="left" w:pos="851"/>
              </w:tabs>
              <w:jc w:val="right"/>
            </w:pPr>
            <w:r>
              <w:t>Mokomojo (a</w:t>
            </w:r>
            <w:r w:rsidR="00305012">
              <w:t>mfiteatrini</w:t>
            </w:r>
            <w:r>
              <w:t>o)</w:t>
            </w:r>
            <w:r w:rsidR="00305012">
              <w:t xml:space="preserve"> </w:t>
            </w:r>
            <w:r w:rsidR="00305012" w:rsidRPr="00D128A8">
              <w:t>kabineto įrengimas</w:t>
            </w:r>
          </w:p>
        </w:tc>
        <w:tc>
          <w:tcPr>
            <w:tcW w:w="1559" w:type="dxa"/>
          </w:tcPr>
          <w:p w:rsidR="00305012" w:rsidRPr="00D128A8" w:rsidRDefault="00305012" w:rsidP="00305012">
            <w:pPr>
              <w:jc w:val="center"/>
            </w:pPr>
            <w:r w:rsidRPr="00D128A8">
              <w:t>–</w:t>
            </w:r>
          </w:p>
        </w:tc>
        <w:tc>
          <w:tcPr>
            <w:tcW w:w="1701" w:type="dxa"/>
            <w:shd w:val="clear" w:color="auto" w:fill="auto"/>
          </w:tcPr>
          <w:p w:rsidR="00305012" w:rsidRPr="00D128A8" w:rsidRDefault="00D207E7" w:rsidP="00D207E7">
            <w:pPr>
              <w:tabs>
                <w:tab w:val="left" w:pos="851"/>
              </w:tabs>
              <w:jc w:val="center"/>
            </w:pPr>
            <w:r>
              <w:t>21</w:t>
            </w:r>
            <w:r w:rsidR="00305012" w:rsidRPr="00D128A8">
              <w:t>,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305012" w:rsidRPr="00D128A8" w:rsidRDefault="00305012" w:rsidP="00305012">
            <w:pPr>
              <w:jc w:val="center"/>
            </w:pPr>
            <w:r w:rsidRPr="00D128A8">
              <w:t>–</w:t>
            </w:r>
          </w:p>
        </w:tc>
        <w:tc>
          <w:tcPr>
            <w:tcW w:w="1553" w:type="dxa"/>
          </w:tcPr>
          <w:p w:rsidR="00305012" w:rsidRPr="00E02614" w:rsidRDefault="00305012" w:rsidP="00305012">
            <w:pPr>
              <w:jc w:val="center"/>
              <w:rPr>
                <w:b/>
              </w:rPr>
            </w:pPr>
            <w:r w:rsidRPr="00E02614">
              <w:rPr>
                <w:b/>
              </w:rPr>
              <w:t>–</w:t>
            </w:r>
          </w:p>
        </w:tc>
      </w:tr>
      <w:tr w:rsidR="00E85504" w:rsidRPr="00D128A8" w:rsidTr="00727FC9">
        <w:trPr>
          <w:trHeight w:val="468"/>
        </w:trPr>
        <w:tc>
          <w:tcPr>
            <w:tcW w:w="3119" w:type="dxa"/>
          </w:tcPr>
          <w:p w:rsidR="00E85504" w:rsidRDefault="00E85504" w:rsidP="00E85504">
            <w:pPr>
              <w:tabs>
                <w:tab w:val="left" w:pos="851"/>
              </w:tabs>
              <w:jc w:val="right"/>
            </w:pPr>
            <w:r w:rsidRPr="00D128A8">
              <w:t xml:space="preserve">Gamtamokslinės </w:t>
            </w:r>
          </w:p>
          <w:p w:rsidR="00E85504" w:rsidRPr="00D128A8" w:rsidRDefault="00E85504" w:rsidP="00E85504">
            <w:pPr>
              <w:tabs>
                <w:tab w:val="left" w:pos="851"/>
              </w:tabs>
              <w:jc w:val="right"/>
            </w:pPr>
            <w:r w:rsidRPr="00D128A8">
              <w:t>laboratorijos įrengimas</w:t>
            </w:r>
          </w:p>
        </w:tc>
        <w:tc>
          <w:tcPr>
            <w:tcW w:w="1559" w:type="dxa"/>
          </w:tcPr>
          <w:p w:rsidR="00E85504" w:rsidRPr="00D128A8" w:rsidRDefault="00E85504" w:rsidP="00E85504">
            <w:pPr>
              <w:jc w:val="center"/>
            </w:pPr>
            <w:r w:rsidRPr="00D128A8">
              <w:t>–</w:t>
            </w:r>
          </w:p>
        </w:tc>
        <w:tc>
          <w:tcPr>
            <w:tcW w:w="1701" w:type="dxa"/>
            <w:shd w:val="clear" w:color="auto" w:fill="auto"/>
          </w:tcPr>
          <w:p w:rsidR="00E85504" w:rsidRPr="00D128A8" w:rsidRDefault="00E85504" w:rsidP="00E85504">
            <w:pPr>
              <w:jc w:val="center"/>
            </w:pPr>
            <w:r w:rsidRPr="00D128A8">
              <w:t>–</w:t>
            </w:r>
          </w:p>
        </w:tc>
        <w:tc>
          <w:tcPr>
            <w:tcW w:w="1701" w:type="dxa"/>
            <w:shd w:val="clear" w:color="auto" w:fill="auto"/>
          </w:tcPr>
          <w:p w:rsidR="00E85504" w:rsidRPr="00D128A8" w:rsidRDefault="00E85504" w:rsidP="00E85504">
            <w:pPr>
              <w:tabs>
                <w:tab w:val="left" w:pos="851"/>
              </w:tabs>
              <w:jc w:val="center"/>
            </w:pPr>
            <w:r>
              <w:t>40,</w:t>
            </w:r>
            <w:r w:rsidR="00CB6FA8">
              <w:t>0</w:t>
            </w:r>
          </w:p>
        </w:tc>
        <w:tc>
          <w:tcPr>
            <w:tcW w:w="1553" w:type="dxa"/>
          </w:tcPr>
          <w:p w:rsidR="00E85504" w:rsidRPr="00E02614" w:rsidRDefault="00E85504" w:rsidP="00E85504">
            <w:pPr>
              <w:jc w:val="center"/>
              <w:rPr>
                <w:b/>
              </w:rPr>
            </w:pPr>
            <w:r w:rsidRPr="00E02614">
              <w:rPr>
                <w:b/>
              </w:rPr>
              <w:t>–</w:t>
            </w:r>
          </w:p>
        </w:tc>
      </w:tr>
      <w:tr w:rsidR="00305012" w:rsidRPr="00D128A8" w:rsidTr="00727FC9">
        <w:trPr>
          <w:trHeight w:val="228"/>
        </w:trPr>
        <w:tc>
          <w:tcPr>
            <w:tcW w:w="3119" w:type="dxa"/>
          </w:tcPr>
          <w:p w:rsidR="00305012" w:rsidRPr="00D128A8" w:rsidRDefault="00305012" w:rsidP="00305012">
            <w:pPr>
              <w:tabs>
                <w:tab w:val="left" w:pos="851"/>
              </w:tabs>
              <w:jc w:val="right"/>
              <w:rPr>
                <w:b/>
              </w:rPr>
            </w:pPr>
            <w:r w:rsidRPr="00D128A8">
              <w:rPr>
                <w:b/>
              </w:rPr>
              <w:t>Iš viso</w:t>
            </w:r>
          </w:p>
        </w:tc>
        <w:tc>
          <w:tcPr>
            <w:tcW w:w="1559" w:type="dxa"/>
          </w:tcPr>
          <w:p w:rsidR="00305012" w:rsidRPr="00D128A8" w:rsidRDefault="00305012" w:rsidP="0030501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128A8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305012" w:rsidRPr="00D128A8" w:rsidRDefault="00FB52AD" w:rsidP="00305012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D207E7">
              <w:rPr>
                <w:b/>
              </w:rPr>
              <w:t>,5</w:t>
            </w:r>
          </w:p>
        </w:tc>
        <w:tc>
          <w:tcPr>
            <w:tcW w:w="1701" w:type="dxa"/>
          </w:tcPr>
          <w:p w:rsidR="00305012" w:rsidRPr="00D128A8" w:rsidRDefault="00CB6FA8" w:rsidP="00CB6FA8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6756DF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553" w:type="dxa"/>
          </w:tcPr>
          <w:p w:rsidR="00305012" w:rsidRPr="00E02614" w:rsidRDefault="00E85504" w:rsidP="00E85504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9C7304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</w:tbl>
    <w:p w:rsidR="00305012" w:rsidRDefault="00305012" w:rsidP="009B39C3">
      <w:pPr>
        <w:jc w:val="both"/>
        <w:rPr>
          <w:sz w:val="20"/>
          <w:szCs w:val="20"/>
        </w:rPr>
      </w:pPr>
    </w:p>
    <w:p w:rsidR="009B39C3" w:rsidRPr="007C3793" w:rsidRDefault="007F21CD" w:rsidP="007C3793">
      <w:pPr>
        <w:ind w:firstLine="709"/>
        <w:jc w:val="both"/>
        <w:rPr>
          <w:szCs w:val="20"/>
        </w:rPr>
      </w:pPr>
      <w:r>
        <w:rPr>
          <w:szCs w:val="20"/>
        </w:rPr>
        <w:t>L</w:t>
      </w:r>
      <w:r w:rsidR="007C3793">
        <w:rPr>
          <w:szCs w:val="20"/>
        </w:rPr>
        <w:t>ėš</w:t>
      </w:r>
      <w:r w:rsidR="001D37F2">
        <w:rPr>
          <w:szCs w:val="20"/>
        </w:rPr>
        <w:t>o</w:t>
      </w:r>
      <w:r w:rsidR="007C3793">
        <w:rPr>
          <w:szCs w:val="20"/>
        </w:rPr>
        <w:t xml:space="preserve">s </w:t>
      </w:r>
      <w:r w:rsidR="007C3793" w:rsidRPr="007C3793">
        <w:rPr>
          <w:szCs w:val="20"/>
        </w:rPr>
        <w:t xml:space="preserve">Universiteto </w:t>
      </w:r>
      <w:r w:rsidR="009B39C3" w:rsidRPr="007C3793">
        <w:rPr>
          <w:szCs w:val="20"/>
        </w:rPr>
        <w:t>dėstytojų</w:t>
      </w:r>
      <w:r w:rsidR="00127EAE">
        <w:rPr>
          <w:szCs w:val="20"/>
        </w:rPr>
        <w:t xml:space="preserve"> darbo užmokesčiui</w:t>
      </w:r>
      <w:r>
        <w:rPr>
          <w:szCs w:val="20"/>
        </w:rPr>
        <w:t xml:space="preserve"> skaičiuotos, </w:t>
      </w:r>
      <w:r w:rsidR="00192F53">
        <w:rPr>
          <w:szCs w:val="20"/>
        </w:rPr>
        <w:t>t</w:t>
      </w:r>
      <w:r w:rsidR="0009394F">
        <w:rPr>
          <w:szCs w:val="20"/>
        </w:rPr>
        <w:t>okiu pat principu</w:t>
      </w:r>
      <w:r w:rsidR="00192F53">
        <w:rPr>
          <w:szCs w:val="20"/>
        </w:rPr>
        <w:t>, kaip jos yra</w:t>
      </w:r>
      <w:r w:rsidR="0009394F">
        <w:rPr>
          <w:szCs w:val="20"/>
        </w:rPr>
        <w:t xml:space="preserve"> </w:t>
      </w:r>
      <w:r w:rsidR="00192F53">
        <w:rPr>
          <w:szCs w:val="20"/>
        </w:rPr>
        <w:t>skaičiuojamo</w:t>
      </w:r>
      <w:r w:rsidR="0009394F">
        <w:rPr>
          <w:szCs w:val="20"/>
        </w:rPr>
        <w:t xml:space="preserve">s Universiteto dėstytojams, mokantiems </w:t>
      </w:r>
      <w:r w:rsidR="001D37F2">
        <w:rPr>
          <w:szCs w:val="20"/>
        </w:rPr>
        <w:t>B</w:t>
      </w:r>
      <w:r w:rsidR="0009394F">
        <w:rPr>
          <w:szCs w:val="20"/>
        </w:rPr>
        <w:t>altijos gimnazijos universitetinių inžinerinio ugdymo klasių mokinius</w:t>
      </w:r>
      <w:r w:rsidR="0082718A" w:rsidRPr="00D83F67">
        <w:rPr>
          <w:szCs w:val="20"/>
        </w:rPr>
        <w:t xml:space="preserve"> </w:t>
      </w:r>
      <w:r w:rsidR="00127EAE" w:rsidRPr="00D83F67">
        <w:rPr>
          <w:szCs w:val="20"/>
          <w:lang w:eastAsia="lt-LT"/>
        </w:rPr>
        <w:t xml:space="preserve">(formulė: </w:t>
      </w:r>
      <w:r w:rsidR="00D83F67">
        <w:t>(etato dydis</w:t>
      </w:r>
      <w:r w:rsidR="00127EAE" w:rsidRPr="00D83F67">
        <w:t xml:space="preserve"> x 8,27 </w:t>
      </w:r>
      <w:r w:rsidR="0009394F">
        <w:t>(</w:t>
      </w:r>
      <w:r w:rsidR="00127EAE" w:rsidRPr="00D83F67">
        <w:t>koef</w:t>
      </w:r>
      <w:r w:rsidR="00D83F67">
        <w:t>icient</w:t>
      </w:r>
      <w:r w:rsidR="0009394F">
        <w:t>as)</w:t>
      </w:r>
      <w:r w:rsidR="00127EAE" w:rsidRPr="00D83F67">
        <w:t xml:space="preserve"> x 177</w:t>
      </w:r>
      <w:r w:rsidR="0009394F">
        <w:t>,0</w:t>
      </w:r>
      <w:r w:rsidR="00127EAE" w:rsidRPr="00D83F67">
        <w:t xml:space="preserve"> </w:t>
      </w:r>
      <w:r w:rsidR="0009394F">
        <w:t>(</w:t>
      </w:r>
      <w:r w:rsidR="00746B63" w:rsidRPr="00D83F67">
        <w:t>pareiginės algos bazinis dydis</w:t>
      </w:r>
      <w:r w:rsidR="00127EAE" w:rsidRPr="00D83F67">
        <w:t>) + 7 % (</w:t>
      </w:r>
      <w:r w:rsidR="0009394F">
        <w:t xml:space="preserve">dalis </w:t>
      </w:r>
      <w:r w:rsidR="00746B63" w:rsidRPr="00D83F67">
        <w:t>p</w:t>
      </w:r>
      <w:r w:rsidR="0009394F">
        <w:t>agal planavimo principus mokytojų</w:t>
      </w:r>
      <w:r w:rsidR="00746B63" w:rsidRPr="00D83F67">
        <w:t xml:space="preserve"> priedams ir priemokoms mokėti</w:t>
      </w:r>
      <w:r w:rsidR="00127EAE" w:rsidRPr="00D83F67">
        <w:t>) + 1</w:t>
      </w:r>
      <w:r w:rsidR="00F7347E">
        <w:t>,</w:t>
      </w:r>
      <w:r w:rsidR="00127EAE" w:rsidRPr="00D83F67">
        <w:t xml:space="preserve">47 % </w:t>
      </w:r>
      <w:r w:rsidR="00F7347E">
        <w:t>(į</w:t>
      </w:r>
      <w:r w:rsidR="00CF24C1">
        <w:t>mokų</w:t>
      </w:r>
      <w:r w:rsidR="00F7347E">
        <w:t xml:space="preserve"> socialiniam draudimui</w:t>
      </w:r>
      <w:r w:rsidR="0009394F">
        <w:t xml:space="preserve"> dalis</w:t>
      </w:r>
      <w:r w:rsidR="00127EAE" w:rsidRPr="00D83F67">
        <w:t>)</w:t>
      </w:r>
      <w:r w:rsidR="00CF24C1">
        <w:t>)</w:t>
      </w:r>
      <w:r w:rsidR="00127EAE" w:rsidRPr="00D83F67">
        <w:t xml:space="preserve"> x mėnesių skaičius)</w:t>
      </w:r>
      <w:r w:rsidR="0082718A" w:rsidRPr="00D83F67">
        <w:rPr>
          <w:szCs w:val="20"/>
          <w:lang w:eastAsia="lt-LT"/>
        </w:rPr>
        <w:t>.</w:t>
      </w:r>
      <w:r w:rsidR="0082718A" w:rsidRPr="00D83F67">
        <w:rPr>
          <w:sz w:val="32"/>
        </w:rPr>
        <w:t xml:space="preserve"> </w:t>
      </w:r>
      <w:r w:rsidR="0082718A" w:rsidRPr="00D83F67">
        <w:rPr>
          <w:szCs w:val="20"/>
        </w:rPr>
        <w:t>Keičiantis darbo užmokesčio skaičiavimo metodikai</w:t>
      </w:r>
      <w:r w:rsidR="00127EAE" w:rsidRPr="00D83F67">
        <w:rPr>
          <w:szCs w:val="20"/>
        </w:rPr>
        <w:t xml:space="preserve"> teisės aktų nustatyta tvarka</w:t>
      </w:r>
      <w:r w:rsidR="0082718A" w:rsidRPr="00D83F67">
        <w:rPr>
          <w:szCs w:val="20"/>
        </w:rPr>
        <w:t xml:space="preserve">, </w:t>
      </w:r>
      <w:r w:rsidR="00192F53">
        <w:rPr>
          <w:szCs w:val="20"/>
        </w:rPr>
        <w:t xml:space="preserve">gali </w:t>
      </w:r>
      <w:r w:rsidR="0082718A" w:rsidRPr="00D83F67">
        <w:rPr>
          <w:szCs w:val="20"/>
        </w:rPr>
        <w:t>k</w:t>
      </w:r>
      <w:r w:rsidR="004D59D8" w:rsidRPr="00D83F67">
        <w:rPr>
          <w:szCs w:val="20"/>
        </w:rPr>
        <w:t>eis</w:t>
      </w:r>
      <w:r w:rsidR="00192F53">
        <w:rPr>
          <w:szCs w:val="20"/>
        </w:rPr>
        <w:t>t</w:t>
      </w:r>
      <w:r w:rsidR="004D59D8" w:rsidRPr="00D83F67">
        <w:rPr>
          <w:szCs w:val="20"/>
        </w:rPr>
        <w:t>is ir</w:t>
      </w:r>
      <w:r w:rsidR="0082718A" w:rsidRPr="00D83F67">
        <w:rPr>
          <w:szCs w:val="20"/>
        </w:rPr>
        <w:t xml:space="preserve"> lėšų</w:t>
      </w:r>
      <w:r w:rsidR="004D59D8" w:rsidRPr="00D83F67">
        <w:rPr>
          <w:szCs w:val="20"/>
        </w:rPr>
        <w:t xml:space="preserve"> Universiteto dėstytojų</w:t>
      </w:r>
      <w:r w:rsidR="0082718A" w:rsidRPr="00D83F67">
        <w:rPr>
          <w:szCs w:val="20"/>
        </w:rPr>
        <w:t xml:space="preserve"> darbo užmokesčiui poreikis</w:t>
      </w:r>
      <w:r w:rsidR="0009394F">
        <w:rPr>
          <w:szCs w:val="20"/>
        </w:rPr>
        <w:t>.</w:t>
      </w:r>
    </w:p>
    <w:p w:rsidR="00392E74" w:rsidRPr="00407DDA" w:rsidRDefault="0009394F" w:rsidP="00392E74">
      <w:pPr>
        <w:ind w:firstLine="709"/>
        <w:jc w:val="both"/>
      </w:pPr>
      <w:r>
        <w:rPr>
          <w:bCs/>
        </w:rPr>
        <w:t>I</w:t>
      </w:r>
      <w:r w:rsidRPr="00407DDA">
        <w:rPr>
          <w:bCs/>
        </w:rPr>
        <w:t xml:space="preserve">šlaidas, susijusias su </w:t>
      </w:r>
      <w:r>
        <w:rPr>
          <w:bCs/>
        </w:rPr>
        <w:t>pavadinimo ir</w:t>
      </w:r>
      <w:r w:rsidRPr="00407DDA">
        <w:rPr>
          <w:bCs/>
        </w:rPr>
        <w:t xml:space="preserve"> nuostatų </w:t>
      </w:r>
      <w:r>
        <w:rPr>
          <w:bCs/>
        </w:rPr>
        <w:t>pakeitimu, Gimnazija padengs</w:t>
      </w:r>
      <w:r w:rsidR="00392E74" w:rsidRPr="00407DDA">
        <w:rPr>
          <w:bCs/>
        </w:rPr>
        <w:t xml:space="preserve"> iš jai skirtų </w:t>
      </w:r>
      <w:r w:rsidR="008B4FD0">
        <w:rPr>
          <w:bCs/>
        </w:rPr>
        <w:t xml:space="preserve">asignavimų ir papildomų </w:t>
      </w:r>
      <w:r w:rsidR="00D71AD2">
        <w:rPr>
          <w:bCs/>
        </w:rPr>
        <w:t xml:space="preserve">Savivaldybės </w:t>
      </w:r>
      <w:r w:rsidR="00392E74" w:rsidRPr="00407DDA">
        <w:rPr>
          <w:bCs/>
        </w:rPr>
        <w:t>biudžet</w:t>
      </w:r>
      <w:r w:rsidR="00D71AD2">
        <w:rPr>
          <w:bCs/>
        </w:rPr>
        <w:t>o</w:t>
      </w:r>
      <w:r w:rsidR="00392E74" w:rsidRPr="00407DDA">
        <w:rPr>
          <w:bCs/>
        </w:rPr>
        <w:t xml:space="preserve"> lėšų</w:t>
      </w:r>
      <w:r w:rsidR="008B4FD0">
        <w:rPr>
          <w:bCs/>
        </w:rPr>
        <w:t xml:space="preserve"> nereikės</w:t>
      </w:r>
      <w:r w:rsidR="00392E74" w:rsidRPr="00407DDA">
        <w:rPr>
          <w:bCs/>
        </w:rPr>
        <w:t>.</w:t>
      </w:r>
    </w:p>
    <w:p w:rsidR="003A398C" w:rsidRDefault="001D37F2" w:rsidP="001D37F2">
      <w:pPr>
        <w:tabs>
          <w:tab w:val="left" w:pos="993"/>
        </w:tabs>
        <w:ind w:firstLine="709"/>
        <w:jc w:val="both"/>
        <w:rPr>
          <w:bCs/>
        </w:rPr>
      </w:pPr>
      <w:r>
        <w:rPr>
          <w:b/>
          <w:bCs/>
        </w:rPr>
        <w:t xml:space="preserve">8. </w:t>
      </w:r>
      <w:r w:rsidR="00392E74" w:rsidRPr="001D37F2">
        <w:rPr>
          <w:b/>
          <w:bCs/>
        </w:rPr>
        <w:t xml:space="preserve">Sprendimo projekto rengimo metu atlikti vertinimai ir išvados, konsultavimosi su visuomene metu gauti pasiūlymai ir jų motyvuotas vertinimas (atsižvelgta ar ne). </w:t>
      </w:r>
      <w:r w:rsidR="00683063">
        <w:t>Dėl Gimnazijos pavadinimo, teisinės formos ir veiklos krypčių, apibrėžtų Modelyje</w:t>
      </w:r>
      <w:r w:rsidR="003A398C">
        <w:t xml:space="preserve"> ir nuostatų projekte</w:t>
      </w:r>
      <w:r w:rsidR="00683063">
        <w:t xml:space="preserve">, buvo susitarta </w:t>
      </w:r>
      <w:r w:rsidR="004C5E8E">
        <w:t xml:space="preserve"> </w:t>
      </w:r>
      <w:r w:rsidR="00683063">
        <w:t>S</w:t>
      </w:r>
      <w:r w:rsidR="00683063" w:rsidRPr="00275069">
        <w:t>avivaldybės</w:t>
      </w:r>
      <w:r w:rsidR="00683063">
        <w:t xml:space="preserve"> atstovų</w:t>
      </w:r>
      <w:r w:rsidR="00683063" w:rsidRPr="00275069">
        <w:t xml:space="preserve">, </w:t>
      </w:r>
      <w:r w:rsidR="00683063">
        <w:t>U</w:t>
      </w:r>
      <w:r w:rsidR="00683063" w:rsidRPr="00275069">
        <w:t xml:space="preserve">niversiteto ir </w:t>
      </w:r>
      <w:r w:rsidR="004C5E8E">
        <w:t xml:space="preserve">„Žemynos“ </w:t>
      </w:r>
      <w:r w:rsidR="00683063" w:rsidRPr="00275069">
        <w:t xml:space="preserve">gimnazijos bendruomenių </w:t>
      </w:r>
      <w:r w:rsidR="004C5E8E">
        <w:t xml:space="preserve">2021-05-10 </w:t>
      </w:r>
      <w:r w:rsidR="00683063">
        <w:t xml:space="preserve">nuotoliniame susitikime (2021-05-18 protokolas Nr. ADM1-199). Modelio projektas </w:t>
      </w:r>
      <w:r w:rsidR="00BD15E8" w:rsidRPr="001778C2">
        <w:t>buvo derin</w:t>
      </w:r>
      <w:r w:rsidR="004C5E8E">
        <w:t>amas</w:t>
      </w:r>
      <w:r w:rsidR="00BD15E8" w:rsidRPr="001778C2">
        <w:t xml:space="preserve"> su </w:t>
      </w:r>
      <w:r w:rsidR="003A398C">
        <w:t>U</w:t>
      </w:r>
      <w:r w:rsidR="00BD15E8" w:rsidRPr="001778C2">
        <w:rPr>
          <w:bCs/>
          <w:color w:val="000000"/>
          <w:shd w:val="clear" w:color="auto" w:fill="FFFFFF"/>
        </w:rPr>
        <w:t>niversiteto rektoriaus įgaliota Studijų prorektore dr. Sonata Mačiulskyte</w:t>
      </w:r>
      <w:r w:rsidR="00192F53">
        <w:rPr>
          <w:bCs/>
          <w:color w:val="000000"/>
          <w:shd w:val="clear" w:color="auto" w:fill="FFFFFF"/>
        </w:rPr>
        <w:t>.</w:t>
      </w:r>
      <w:r w:rsidR="00683063">
        <w:rPr>
          <w:bCs/>
          <w:color w:val="000000"/>
          <w:shd w:val="clear" w:color="auto" w:fill="FFFFFF"/>
        </w:rPr>
        <w:t xml:space="preserve"> </w:t>
      </w:r>
      <w:r w:rsidR="004C5E8E">
        <w:rPr>
          <w:bCs/>
          <w:color w:val="000000"/>
          <w:shd w:val="clear" w:color="auto" w:fill="FFFFFF"/>
        </w:rPr>
        <w:t>Modeli</w:t>
      </w:r>
      <w:r w:rsidR="003A398C">
        <w:rPr>
          <w:bCs/>
          <w:color w:val="000000"/>
          <w:shd w:val="clear" w:color="auto" w:fill="FFFFFF"/>
        </w:rPr>
        <w:t>o projektui</w:t>
      </w:r>
      <w:r w:rsidR="00C61AF4">
        <w:rPr>
          <w:bCs/>
          <w:color w:val="000000"/>
          <w:shd w:val="clear" w:color="auto" w:fill="FFFFFF"/>
        </w:rPr>
        <w:t xml:space="preserve"> pritar</w:t>
      </w:r>
      <w:r w:rsidR="004C5E8E">
        <w:rPr>
          <w:bCs/>
          <w:color w:val="000000"/>
          <w:shd w:val="clear" w:color="auto" w:fill="FFFFFF"/>
        </w:rPr>
        <w:t>ė „Žemynos“ gimnazijos mokytojų taryba</w:t>
      </w:r>
      <w:r w:rsidR="00C61AF4">
        <w:rPr>
          <w:bCs/>
          <w:color w:val="000000"/>
          <w:shd w:val="clear" w:color="auto" w:fill="FFFFFF"/>
        </w:rPr>
        <w:t xml:space="preserve"> (2021-05-19 protokolas Nr. V6-3)</w:t>
      </w:r>
      <w:r w:rsidR="003A398C">
        <w:rPr>
          <w:bCs/>
          <w:color w:val="000000"/>
          <w:shd w:val="clear" w:color="auto" w:fill="FFFFFF"/>
        </w:rPr>
        <w:t>,</w:t>
      </w:r>
      <w:r w:rsidR="006B4877" w:rsidRPr="006B4877">
        <w:rPr>
          <w:bCs/>
        </w:rPr>
        <w:t xml:space="preserve"> </w:t>
      </w:r>
      <w:r w:rsidR="003A398C" w:rsidRPr="001D0A77">
        <w:rPr>
          <w:bCs/>
        </w:rPr>
        <w:t>teigiamai</w:t>
      </w:r>
      <w:r w:rsidR="003A398C">
        <w:rPr>
          <w:bCs/>
        </w:rPr>
        <w:t>, kaip ir</w:t>
      </w:r>
      <w:r w:rsidR="003A398C" w:rsidRPr="001D0A77">
        <w:rPr>
          <w:bCs/>
        </w:rPr>
        <w:t xml:space="preserve"> </w:t>
      </w:r>
      <w:r w:rsidR="006B4877" w:rsidRPr="001D0A77">
        <w:rPr>
          <w:bCs/>
        </w:rPr>
        <w:t>nuostatų projektą</w:t>
      </w:r>
      <w:r w:rsidR="003A398C">
        <w:rPr>
          <w:bCs/>
        </w:rPr>
        <w:t>,</w:t>
      </w:r>
      <w:r w:rsidR="006B4877" w:rsidRPr="001D0A77">
        <w:rPr>
          <w:bCs/>
        </w:rPr>
        <w:t xml:space="preserve"> įvertino </w:t>
      </w:r>
      <w:r w:rsidR="006B4877">
        <w:rPr>
          <w:bCs/>
        </w:rPr>
        <w:t>„Žemynos“ gimnazijos taryba (2021-06-22 protokolas Nr. V4-5).</w:t>
      </w:r>
      <w:r w:rsidR="003A398C">
        <w:rPr>
          <w:bCs/>
        </w:rPr>
        <w:t xml:space="preserve"> </w:t>
      </w:r>
    </w:p>
    <w:p w:rsidR="00392E74" w:rsidRDefault="003A398C" w:rsidP="001D37F2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Šis s</w:t>
      </w:r>
      <w:r w:rsidR="00F2546F" w:rsidRPr="001D0A77">
        <w:rPr>
          <w:bCs/>
        </w:rPr>
        <w:t>prendimo projektas buvo</w:t>
      </w:r>
      <w:r w:rsidR="00392E74" w:rsidRPr="001D0A77">
        <w:rPr>
          <w:bCs/>
        </w:rPr>
        <w:t xml:space="preserve"> derin</w:t>
      </w:r>
      <w:r w:rsidR="00F2546F" w:rsidRPr="001D0A77">
        <w:rPr>
          <w:bCs/>
        </w:rPr>
        <w:t>amas su</w:t>
      </w:r>
      <w:r w:rsidR="00392E74" w:rsidRPr="001D0A77">
        <w:rPr>
          <w:bCs/>
        </w:rPr>
        <w:t xml:space="preserve"> </w:t>
      </w:r>
      <w:r>
        <w:rPr>
          <w:bCs/>
        </w:rPr>
        <w:t>S</w:t>
      </w:r>
      <w:r w:rsidR="00392E74" w:rsidRPr="001D0A77">
        <w:rPr>
          <w:bCs/>
        </w:rPr>
        <w:t>avivaldybės administracijos specialistai</w:t>
      </w:r>
      <w:r w:rsidR="00F2546F" w:rsidRPr="001D0A77">
        <w:rPr>
          <w:bCs/>
        </w:rPr>
        <w:t>s</w:t>
      </w:r>
      <w:r w:rsidR="00392E74" w:rsidRPr="001D0A77">
        <w:rPr>
          <w:bCs/>
        </w:rPr>
        <w:t>.</w:t>
      </w:r>
      <w:r w:rsidR="00392E74">
        <w:rPr>
          <w:bCs/>
        </w:rPr>
        <w:t xml:space="preserve"> </w:t>
      </w:r>
    </w:p>
    <w:p w:rsidR="00392E74" w:rsidRPr="001D37F2" w:rsidRDefault="001D37F2" w:rsidP="001D37F2">
      <w:pPr>
        <w:tabs>
          <w:tab w:val="left" w:pos="993"/>
        </w:tabs>
        <w:ind w:firstLine="709"/>
        <w:jc w:val="both"/>
      </w:pPr>
      <w:r>
        <w:rPr>
          <w:b/>
          <w:bCs/>
        </w:rPr>
        <w:t xml:space="preserve">9. </w:t>
      </w:r>
      <w:r w:rsidR="00392E74" w:rsidRPr="001D37F2">
        <w:rPr>
          <w:b/>
          <w:bCs/>
        </w:rPr>
        <w:t xml:space="preserve">Sprendimo projekto autorius ar autorių grupė, sprendimo projekto iniciatoriai. </w:t>
      </w:r>
      <w:r w:rsidR="00392E74" w:rsidRPr="001D37F2">
        <w:rPr>
          <w:bCs/>
        </w:rPr>
        <w:t xml:space="preserve">Šį sprendimo projektą </w:t>
      </w:r>
      <w:r w:rsidR="00252584" w:rsidRPr="001D37F2">
        <w:rPr>
          <w:bCs/>
        </w:rPr>
        <w:t>inicijavo</w:t>
      </w:r>
      <w:r w:rsidR="00392E74" w:rsidRPr="001D37F2">
        <w:rPr>
          <w:bCs/>
        </w:rPr>
        <w:t xml:space="preserve"> </w:t>
      </w:r>
      <w:r w:rsidR="003A398C">
        <w:t>S</w:t>
      </w:r>
      <w:r w:rsidR="00252584" w:rsidRPr="001D37F2">
        <w:rPr>
          <w:bCs/>
        </w:rPr>
        <w:t>avivaldybė</w:t>
      </w:r>
      <w:r w:rsidR="003A398C">
        <w:rPr>
          <w:bCs/>
        </w:rPr>
        <w:t>,</w:t>
      </w:r>
      <w:r w:rsidR="00252584" w:rsidRPr="001D37F2">
        <w:rPr>
          <w:bCs/>
        </w:rPr>
        <w:t xml:space="preserve"> </w:t>
      </w:r>
      <w:r w:rsidR="000B5BFC">
        <w:rPr>
          <w:bCs/>
        </w:rPr>
        <w:t>Universitetas ir „Žemynos“ gimnazijos bendruomenė</w:t>
      </w:r>
      <w:r w:rsidR="00392E74" w:rsidRPr="001D37F2">
        <w:rPr>
          <w:bCs/>
        </w:rPr>
        <w:t>.</w:t>
      </w:r>
    </w:p>
    <w:p w:rsidR="00392E74" w:rsidRPr="001D37F2" w:rsidRDefault="001D37F2" w:rsidP="001D37F2">
      <w:pPr>
        <w:tabs>
          <w:tab w:val="left" w:pos="1134"/>
        </w:tabs>
        <w:ind w:firstLine="709"/>
        <w:jc w:val="both"/>
        <w:rPr>
          <w:bCs/>
        </w:rPr>
      </w:pPr>
      <w:r>
        <w:rPr>
          <w:b/>
        </w:rPr>
        <w:t xml:space="preserve">10. </w:t>
      </w:r>
      <w:r w:rsidR="00392E74" w:rsidRPr="001D37F2">
        <w:rPr>
          <w:b/>
        </w:rPr>
        <w:t xml:space="preserve">Kiti reikalingi pagrindimai ir paaiškinimai. </w:t>
      </w:r>
      <w:r w:rsidR="00392E74" w:rsidRPr="00B06C49">
        <w:t>Nėra</w:t>
      </w:r>
      <w:r w:rsidR="00192F53">
        <w:t>.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Pr="00343B61">
        <w:rPr>
          <w:sz w:val="24"/>
          <w:szCs w:val="24"/>
        </w:rPr>
        <w:t>, 2 lapai.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="0004368C" w:rsidRPr="005C621D">
        <w:rPr>
          <w:color w:val="000000"/>
        </w:rPr>
        <w:t xml:space="preserve">Klaipėdos miesto savivaldybės </w:t>
      </w:r>
      <w:r w:rsidR="0004368C">
        <w:rPr>
          <w:color w:val="000000"/>
        </w:rPr>
        <w:t>tarybos 2020</w:t>
      </w:r>
      <w:r w:rsidR="0004368C" w:rsidRPr="005C621D">
        <w:rPr>
          <w:color w:val="000000"/>
        </w:rPr>
        <w:t xml:space="preserve"> m. </w:t>
      </w:r>
      <w:r w:rsidR="0004368C">
        <w:rPr>
          <w:color w:val="000000"/>
        </w:rPr>
        <w:t>gruodžio</w:t>
      </w:r>
      <w:r w:rsidR="0004368C" w:rsidRPr="005C621D">
        <w:rPr>
          <w:color w:val="000000"/>
        </w:rPr>
        <w:t xml:space="preserve"> </w:t>
      </w:r>
      <w:r w:rsidR="0004368C">
        <w:rPr>
          <w:color w:val="000000"/>
        </w:rPr>
        <w:t>22</w:t>
      </w:r>
      <w:r w:rsidR="0004368C" w:rsidRPr="005C621D">
        <w:rPr>
          <w:color w:val="000000"/>
        </w:rPr>
        <w:t xml:space="preserve"> d. </w:t>
      </w:r>
      <w:r w:rsidR="0004368C">
        <w:rPr>
          <w:color w:val="000000"/>
        </w:rPr>
        <w:t>sprendimo</w:t>
      </w:r>
      <w:r w:rsidR="0004368C" w:rsidRPr="005C621D">
        <w:rPr>
          <w:color w:val="000000"/>
        </w:rPr>
        <w:t xml:space="preserve"> Nr. </w:t>
      </w:r>
      <w:r w:rsidR="0004368C">
        <w:rPr>
          <w:color w:val="000000"/>
        </w:rPr>
        <w:t>T2</w:t>
      </w:r>
      <w:r w:rsidR="0004368C" w:rsidRPr="005C621D">
        <w:rPr>
          <w:color w:val="000000"/>
        </w:rPr>
        <w:t>-</w:t>
      </w:r>
      <w:r w:rsidR="0004368C">
        <w:rPr>
          <w:color w:val="000000"/>
        </w:rPr>
        <w:t>297</w:t>
      </w:r>
      <w:r w:rsidR="0004368C" w:rsidRPr="005C621D">
        <w:rPr>
          <w:color w:val="000000"/>
        </w:rPr>
        <w:t xml:space="preserve"> „Dėl </w:t>
      </w:r>
      <w:r w:rsidR="0004368C" w:rsidRPr="005C621D">
        <w:t xml:space="preserve">Klaipėdos </w:t>
      </w:r>
      <w:r w:rsidR="0004368C">
        <w:t xml:space="preserve">„Žemynos“ gimnazijos </w:t>
      </w:r>
      <w:r w:rsidR="0004368C" w:rsidRPr="005C621D">
        <w:t>nuostatų</w:t>
      </w:r>
      <w:r w:rsidR="0004368C">
        <w:t xml:space="preserve"> patvirtinimo</w:t>
      </w:r>
      <w:r w:rsidR="0004368C" w:rsidRPr="005C621D">
        <w:t>“</w:t>
      </w:r>
      <w:r w:rsidR="0004368C">
        <w:t xml:space="preserve"> išrašas</w:t>
      </w:r>
      <w:r>
        <w:t xml:space="preserve">, </w:t>
      </w:r>
      <w:r w:rsidR="00610880">
        <w:t>1</w:t>
      </w:r>
      <w:r w:rsidR="0004368C">
        <w:t>1</w:t>
      </w:r>
      <w:r>
        <w:t xml:space="preserve"> lap</w:t>
      </w:r>
      <w:r w:rsidR="00610880">
        <w:t>ų</w:t>
      </w:r>
      <w:r>
        <w:t>.</w:t>
      </w:r>
    </w:p>
    <w:p w:rsidR="0004368C" w:rsidRDefault="0004368C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>Viešųjų svarstymų protokolai, 4 lapai.</w:t>
      </w: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Prižgintienė     </w:t>
      </w:r>
    </w:p>
    <w:sectPr w:rsidR="00392E74" w:rsidSect="001431F5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1F5" w:rsidRDefault="001431F5" w:rsidP="001431F5">
      <w:r>
        <w:separator/>
      </w:r>
    </w:p>
  </w:endnote>
  <w:endnote w:type="continuationSeparator" w:id="0">
    <w:p w:rsidR="001431F5" w:rsidRDefault="001431F5" w:rsidP="001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1F5" w:rsidRDefault="001431F5" w:rsidP="001431F5">
      <w:r>
        <w:separator/>
      </w:r>
    </w:p>
  </w:footnote>
  <w:footnote w:type="continuationSeparator" w:id="0">
    <w:p w:rsidR="001431F5" w:rsidRDefault="001431F5" w:rsidP="0014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58684"/>
      <w:docPartObj>
        <w:docPartGallery w:val="Page Numbers (Top of Page)"/>
        <w:docPartUnique/>
      </w:docPartObj>
    </w:sdtPr>
    <w:sdtEndPr/>
    <w:sdtContent>
      <w:p w:rsidR="001431F5" w:rsidRDefault="001431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004">
          <w:rPr>
            <w:noProof/>
          </w:rPr>
          <w:t>3</w:t>
        </w:r>
        <w:r>
          <w:fldChar w:fldCharType="end"/>
        </w:r>
      </w:p>
    </w:sdtContent>
  </w:sdt>
  <w:p w:rsidR="001431F5" w:rsidRDefault="001431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755"/>
    <w:multiLevelType w:val="hybridMultilevel"/>
    <w:tmpl w:val="6082B24C"/>
    <w:lvl w:ilvl="0" w:tplc="F8987964">
      <w:start w:val="3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47CF6"/>
    <w:multiLevelType w:val="hybridMultilevel"/>
    <w:tmpl w:val="1952CAFC"/>
    <w:lvl w:ilvl="0" w:tplc="24D6B0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16D8E"/>
    <w:multiLevelType w:val="hybridMultilevel"/>
    <w:tmpl w:val="2B92CD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C28"/>
    <w:multiLevelType w:val="hybridMultilevel"/>
    <w:tmpl w:val="F2BA5CBE"/>
    <w:lvl w:ilvl="0" w:tplc="4272742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B669F"/>
    <w:multiLevelType w:val="hybridMultilevel"/>
    <w:tmpl w:val="60564D30"/>
    <w:lvl w:ilvl="0" w:tplc="7092EE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137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2FA"/>
    <w:rsid w:val="000079CC"/>
    <w:rsid w:val="00011834"/>
    <w:rsid w:val="00015E4A"/>
    <w:rsid w:val="0004368C"/>
    <w:rsid w:val="00054CAD"/>
    <w:rsid w:val="0006079E"/>
    <w:rsid w:val="00071370"/>
    <w:rsid w:val="00083C13"/>
    <w:rsid w:val="0009394F"/>
    <w:rsid w:val="000B5BFC"/>
    <w:rsid w:val="000D2EA7"/>
    <w:rsid w:val="000D6462"/>
    <w:rsid w:val="000F5806"/>
    <w:rsid w:val="00101981"/>
    <w:rsid w:val="0011058B"/>
    <w:rsid w:val="00115053"/>
    <w:rsid w:val="00121101"/>
    <w:rsid w:val="00127EAE"/>
    <w:rsid w:val="0013449E"/>
    <w:rsid w:val="001431F5"/>
    <w:rsid w:val="00154A71"/>
    <w:rsid w:val="00160FAB"/>
    <w:rsid w:val="0016238A"/>
    <w:rsid w:val="001663C7"/>
    <w:rsid w:val="00166742"/>
    <w:rsid w:val="00171E4D"/>
    <w:rsid w:val="001778C2"/>
    <w:rsid w:val="00177BF5"/>
    <w:rsid w:val="001874E4"/>
    <w:rsid w:val="001878CE"/>
    <w:rsid w:val="00192F53"/>
    <w:rsid w:val="00195CE2"/>
    <w:rsid w:val="00197ABA"/>
    <w:rsid w:val="001C279C"/>
    <w:rsid w:val="001C4B28"/>
    <w:rsid w:val="001D0A77"/>
    <w:rsid w:val="001D37F2"/>
    <w:rsid w:val="001D3A15"/>
    <w:rsid w:val="001D5D46"/>
    <w:rsid w:val="001F5A22"/>
    <w:rsid w:val="00201813"/>
    <w:rsid w:val="00207680"/>
    <w:rsid w:val="002168D9"/>
    <w:rsid w:val="00225C8E"/>
    <w:rsid w:val="00252584"/>
    <w:rsid w:val="00277842"/>
    <w:rsid w:val="0028061E"/>
    <w:rsid w:val="00292635"/>
    <w:rsid w:val="0029293B"/>
    <w:rsid w:val="002A6C60"/>
    <w:rsid w:val="002D0D58"/>
    <w:rsid w:val="002E019C"/>
    <w:rsid w:val="002F3604"/>
    <w:rsid w:val="00305012"/>
    <w:rsid w:val="00307960"/>
    <w:rsid w:val="00317F00"/>
    <w:rsid w:val="00331026"/>
    <w:rsid w:val="00334551"/>
    <w:rsid w:val="0034194B"/>
    <w:rsid w:val="00343B61"/>
    <w:rsid w:val="003610F9"/>
    <w:rsid w:val="0036414B"/>
    <w:rsid w:val="0037083E"/>
    <w:rsid w:val="003736C0"/>
    <w:rsid w:val="00392E74"/>
    <w:rsid w:val="003A398C"/>
    <w:rsid w:val="003A5C01"/>
    <w:rsid w:val="003A5C3C"/>
    <w:rsid w:val="003E661E"/>
    <w:rsid w:val="003F5932"/>
    <w:rsid w:val="003F7004"/>
    <w:rsid w:val="00407401"/>
    <w:rsid w:val="00416341"/>
    <w:rsid w:val="00437677"/>
    <w:rsid w:val="0044347A"/>
    <w:rsid w:val="004449DD"/>
    <w:rsid w:val="004476DD"/>
    <w:rsid w:val="004716C6"/>
    <w:rsid w:val="00472095"/>
    <w:rsid w:val="004929A6"/>
    <w:rsid w:val="00493A9E"/>
    <w:rsid w:val="004949A2"/>
    <w:rsid w:val="004A0D08"/>
    <w:rsid w:val="004A6212"/>
    <w:rsid w:val="004A728E"/>
    <w:rsid w:val="004C28A1"/>
    <w:rsid w:val="004C5E8E"/>
    <w:rsid w:val="004D59D8"/>
    <w:rsid w:val="004D7A02"/>
    <w:rsid w:val="00502F28"/>
    <w:rsid w:val="00507FC3"/>
    <w:rsid w:val="0052137F"/>
    <w:rsid w:val="0053660E"/>
    <w:rsid w:val="0054535C"/>
    <w:rsid w:val="00572EB9"/>
    <w:rsid w:val="00575AC6"/>
    <w:rsid w:val="00582681"/>
    <w:rsid w:val="00596E67"/>
    <w:rsid w:val="00597EE8"/>
    <w:rsid w:val="005A2A3F"/>
    <w:rsid w:val="005B090B"/>
    <w:rsid w:val="005D582F"/>
    <w:rsid w:val="005E6BDD"/>
    <w:rsid w:val="005F495C"/>
    <w:rsid w:val="0060479C"/>
    <w:rsid w:val="00610880"/>
    <w:rsid w:val="00627BB2"/>
    <w:rsid w:val="00633353"/>
    <w:rsid w:val="00646077"/>
    <w:rsid w:val="006548EB"/>
    <w:rsid w:val="006756DF"/>
    <w:rsid w:val="00683063"/>
    <w:rsid w:val="00694BDA"/>
    <w:rsid w:val="006A100F"/>
    <w:rsid w:val="006B4877"/>
    <w:rsid w:val="006B5ADD"/>
    <w:rsid w:val="006C0C93"/>
    <w:rsid w:val="006C4C07"/>
    <w:rsid w:val="006C74E4"/>
    <w:rsid w:val="006D06CB"/>
    <w:rsid w:val="006D2EF7"/>
    <w:rsid w:val="006E3235"/>
    <w:rsid w:val="00704A60"/>
    <w:rsid w:val="00705EAC"/>
    <w:rsid w:val="00710AAE"/>
    <w:rsid w:val="00727ED2"/>
    <w:rsid w:val="00727FC9"/>
    <w:rsid w:val="007312E6"/>
    <w:rsid w:val="00737BD4"/>
    <w:rsid w:val="00743347"/>
    <w:rsid w:val="00746B63"/>
    <w:rsid w:val="007554B5"/>
    <w:rsid w:val="00761465"/>
    <w:rsid w:val="0077464F"/>
    <w:rsid w:val="00783211"/>
    <w:rsid w:val="007950C6"/>
    <w:rsid w:val="00797784"/>
    <w:rsid w:val="007B18E9"/>
    <w:rsid w:val="007B483F"/>
    <w:rsid w:val="007C3793"/>
    <w:rsid w:val="007D5181"/>
    <w:rsid w:val="007E4C6C"/>
    <w:rsid w:val="007E6AAD"/>
    <w:rsid w:val="007F21CD"/>
    <w:rsid w:val="007F3CA3"/>
    <w:rsid w:val="00806D3F"/>
    <w:rsid w:val="0081450A"/>
    <w:rsid w:val="00817C03"/>
    <w:rsid w:val="00822AF9"/>
    <w:rsid w:val="0082718A"/>
    <w:rsid w:val="008354D5"/>
    <w:rsid w:val="008419AE"/>
    <w:rsid w:val="0084312F"/>
    <w:rsid w:val="0084632D"/>
    <w:rsid w:val="00856C31"/>
    <w:rsid w:val="00864F36"/>
    <w:rsid w:val="00883FD5"/>
    <w:rsid w:val="008843FC"/>
    <w:rsid w:val="00884514"/>
    <w:rsid w:val="008B4FD0"/>
    <w:rsid w:val="008B73C7"/>
    <w:rsid w:val="008D03F4"/>
    <w:rsid w:val="008D1DCC"/>
    <w:rsid w:val="008D6BA9"/>
    <w:rsid w:val="008E6E82"/>
    <w:rsid w:val="008F442B"/>
    <w:rsid w:val="00923064"/>
    <w:rsid w:val="0092412F"/>
    <w:rsid w:val="00942103"/>
    <w:rsid w:val="00945FE9"/>
    <w:rsid w:val="00951D74"/>
    <w:rsid w:val="00962B41"/>
    <w:rsid w:val="00967C09"/>
    <w:rsid w:val="00971414"/>
    <w:rsid w:val="00980ECC"/>
    <w:rsid w:val="0099289F"/>
    <w:rsid w:val="00995546"/>
    <w:rsid w:val="009A0D50"/>
    <w:rsid w:val="009A2EFF"/>
    <w:rsid w:val="009B39C3"/>
    <w:rsid w:val="009C7304"/>
    <w:rsid w:val="009D3B4E"/>
    <w:rsid w:val="009D455B"/>
    <w:rsid w:val="00A06545"/>
    <w:rsid w:val="00A1730C"/>
    <w:rsid w:val="00A22777"/>
    <w:rsid w:val="00A63EE8"/>
    <w:rsid w:val="00A6652C"/>
    <w:rsid w:val="00A74C05"/>
    <w:rsid w:val="00A750CB"/>
    <w:rsid w:val="00A76D3F"/>
    <w:rsid w:val="00A76F9C"/>
    <w:rsid w:val="00A800A6"/>
    <w:rsid w:val="00A82374"/>
    <w:rsid w:val="00A82997"/>
    <w:rsid w:val="00AA1A3B"/>
    <w:rsid w:val="00AA522E"/>
    <w:rsid w:val="00AA5895"/>
    <w:rsid w:val="00AA7015"/>
    <w:rsid w:val="00AC390A"/>
    <w:rsid w:val="00AE3410"/>
    <w:rsid w:val="00AF664E"/>
    <w:rsid w:val="00AF7D08"/>
    <w:rsid w:val="00B060AE"/>
    <w:rsid w:val="00B16A06"/>
    <w:rsid w:val="00B601A0"/>
    <w:rsid w:val="00B610AA"/>
    <w:rsid w:val="00B61E9F"/>
    <w:rsid w:val="00B65CBD"/>
    <w:rsid w:val="00B750B6"/>
    <w:rsid w:val="00B91D46"/>
    <w:rsid w:val="00BA08F4"/>
    <w:rsid w:val="00BA1D7C"/>
    <w:rsid w:val="00BA3841"/>
    <w:rsid w:val="00BA706C"/>
    <w:rsid w:val="00BC608F"/>
    <w:rsid w:val="00BD15E8"/>
    <w:rsid w:val="00BF2164"/>
    <w:rsid w:val="00C014D5"/>
    <w:rsid w:val="00C05AB8"/>
    <w:rsid w:val="00C23EEE"/>
    <w:rsid w:val="00C403A4"/>
    <w:rsid w:val="00C463FC"/>
    <w:rsid w:val="00C52796"/>
    <w:rsid w:val="00C61AF4"/>
    <w:rsid w:val="00C61ED0"/>
    <w:rsid w:val="00C70862"/>
    <w:rsid w:val="00C85B23"/>
    <w:rsid w:val="00C91887"/>
    <w:rsid w:val="00C9784C"/>
    <w:rsid w:val="00CA0F05"/>
    <w:rsid w:val="00CA4D3B"/>
    <w:rsid w:val="00CB6FA8"/>
    <w:rsid w:val="00CC159D"/>
    <w:rsid w:val="00CD00E8"/>
    <w:rsid w:val="00CD05B8"/>
    <w:rsid w:val="00CD6921"/>
    <w:rsid w:val="00CE4786"/>
    <w:rsid w:val="00CF24C1"/>
    <w:rsid w:val="00CF25F8"/>
    <w:rsid w:val="00D0169D"/>
    <w:rsid w:val="00D128A8"/>
    <w:rsid w:val="00D15106"/>
    <w:rsid w:val="00D165A6"/>
    <w:rsid w:val="00D207E7"/>
    <w:rsid w:val="00D35B4F"/>
    <w:rsid w:val="00D57786"/>
    <w:rsid w:val="00D60822"/>
    <w:rsid w:val="00D70781"/>
    <w:rsid w:val="00D71AD2"/>
    <w:rsid w:val="00D83F67"/>
    <w:rsid w:val="00D864EF"/>
    <w:rsid w:val="00D87455"/>
    <w:rsid w:val="00D91676"/>
    <w:rsid w:val="00DB27B6"/>
    <w:rsid w:val="00DB6A40"/>
    <w:rsid w:val="00DF0D3F"/>
    <w:rsid w:val="00DF5457"/>
    <w:rsid w:val="00E02614"/>
    <w:rsid w:val="00E15CD5"/>
    <w:rsid w:val="00E17F8D"/>
    <w:rsid w:val="00E317CC"/>
    <w:rsid w:val="00E33871"/>
    <w:rsid w:val="00E340D0"/>
    <w:rsid w:val="00E4786A"/>
    <w:rsid w:val="00E51AD0"/>
    <w:rsid w:val="00E54CE4"/>
    <w:rsid w:val="00E70E3D"/>
    <w:rsid w:val="00E7448C"/>
    <w:rsid w:val="00E85504"/>
    <w:rsid w:val="00E907CE"/>
    <w:rsid w:val="00EA0820"/>
    <w:rsid w:val="00F03C43"/>
    <w:rsid w:val="00F10B71"/>
    <w:rsid w:val="00F12896"/>
    <w:rsid w:val="00F20BED"/>
    <w:rsid w:val="00F220D3"/>
    <w:rsid w:val="00F2546F"/>
    <w:rsid w:val="00F36E70"/>
    <w:rsid w:val="00F54B3D"/>
    <w:rsid w:val="00F5576B"/>
    <w:rsid w:val="00F6065C"/>
    <w:rsid w:val="00F7347E"/>
    <w:rsid w:val="00F777B4"/>
    <w:rsid w:val="00F84B1E"/>
    <w:rsid w:val="00FB52AD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2BBF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431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31F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431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31F5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C4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403A4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6101</Words>
  <Characters>3478</Characters>
  <Application>Microsoft Office Word</Application>
  <DocSecurity>4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2021-06-30T11:58:00Z</dcterms:created>
  <dcterms:modified xsi:type="dcterms:W3CDTF">2021-06-30T11:58:00Z</dcterms:modified>
</cp:coreProperties>
</file>