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0D651BD" w14:textId="77777777" w:rsidTr="00C57681">
        <w:tc>
          <w:tcPr>
            <w:tcW w:w="3969" w:type="dxa"/>
          </w:tcPr>
          <w:p w14:paraId="60D651BC"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0D651BF" w14:textId="77777777" w:rsidTr="00C57681">
        <w:tc>
          <w:tcPr>
            <w:tcW w:w="3969" w:type="dxa"/>
          </w:tcPr>
          <w:p w14:paraId="60D651BE" w14:textId="77777777" w:rsidR="0006079E" w:rsidRDefault="0006079E" w:rsidP="0006079E">
            <w:r>
              <w:t>Klaipėdos miesto savivaldybės</w:t>
            </w:r>
          </w:p>
        </w:tc>
      </w:tr>
      <w:tr w:rsidR="0006079E" w14:paraId="60D651C1" w14:textId="77777777" w:rsidTr="00C57681">
        <w:tc>
          <w:tcPr>
            <w:tcW w:w="3969" w:type="dxa"/>
          </w:tcPr>
          <w:p w14:paraId="60D651C0"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60D651C3" w14:textId="77777777" w:rsidTr="00C57681">
        <w:tc>
          <w:tcPr>
            <w:tcW w:w="3969" w:type="dxa"/>
          </w:tcPr>
          <w:p w14:paraId="60D651C2"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14:paraId="60D651C4" w14:textId="77777777" w:rsidR="00832CC9" w:rsidRPr="00F72A1E" w:rsidRDefault="00832CC9" w:rsidP="0006079E">
      <w:pPr>
        <w:jc w:val="center"/>
      </w:pPr>
    </w:p>
    <w:p w14:paraId="60D651C5" w14:textId="77777777" w:rsidR="00832CC9" w:rsidRPr="00F72A1E" w:rsidRDefault="00832CC9" w:rsidP="0006079E">
      <w:pPr>
        <w:jc w:val="center"/>
      </w:pPr>
    </w:p>
    <w:p w14:paraId="60D651C6" w14:textId="77777777" w:rsidR="00277B97" w:rsidRDefault="00277B97" w:rsidP="00277B97">
      <w:pPr>
        <w:jc w:val="center"/>
        <w:rPr>
          <w:b/>
          <w:lang w:eastAsia="lt-LT"/>
        </w:rPr>
      </w:pPr>
      <w:r>
        <w:rPr>
          <w:b/>
          <w:lang w:eastAsia="lt-LT"/>
        </w:rPr>
        <w:t>KLAIPĖDOS SIMONO DACHO PROGIMNAZIJOS 2020 METŲ VEIKLOS ATASKAITA</w:t>
      </w:r>
    </w:p>
    <w:p w14:paraId="60D651C7" w14:textId="77777777" w:rsidR="00277B97" w:rsidRDefault="00277B97" w:rsidP="00277B97">
      <w:pPr>
        <w:jc w:val="center"/>
        <w:rPr>
          <w:lang w:eastAsia="lt-LT"/>
        </w:rPr>
      </w:pPr>
    </w:p>
    <w:p w14:paraId="60D651C8" w14:textId="77777777" w:rsidR="00277B97" w:rsidRDefault="00277B97" w:rsidP="00277B97">
      <w:pPr>
        <w:tabs>
          <w:tab w:val="left" w:pos="1134"/>
        </w:tabs>
        <w:ind w:firstLine="709"/>
        <w:jc w:val="both"/>
        <w:rPr>
          <w:b/>
          <w:strike/>
        </w:rPr>
      </w:pPr>
      <w:r>
        <w:t xml:space="preserve">Įgyvendinant Klaipėdos Simono Dacho progimnazijos (toliau – progimnazijos) 2020–2022 metų strateginį ir 2020 metų veiklos planą, buvo siekiama sudaryti galimybes mokiniams patirti įvairias mokymosi kryptis ir formas, siekiant kiekvieno mokinio asmeninės pažangos; kurti pozityvią emocinę aplinką, lemiančią gerą mokinių ir mokytojų savijautą progimnazijoje. Šie tikslai buvo įgyvendinami vykdant tris uždavinius. </w:t>
      </w:r>
    </w:p>
    <w:p w14:paraId="60D651C9" w14:textId="77777777" w:rsidR="00277B97" w:rsidRDefault="00277B97" w:rsidP="00277B97">
      <w:pPr>
        <w:ind w:firstLine="709"/>
        <w:jc w:val="both"/>
        <w:rPr>
          <w:strike/>
          <w:highlight w:val="yellow"/>
        </w:rPr>
      </w:pPr>
      <w:r>
        <w:t xml:space="preserve">Vykdant pirmąjį uždavinį – diegti įvairias mokymosi kryptis ir formas ugdymo procese pavienėse klasėse įgyvendinami Novatoriško verslumo sampratos elementai (toliau – NVSE): parengtos 1–2 klasių ir 5–6 klasių NVSE ugdymo programos, kurios integruotos į bendrąjį ugdymą; mokiniai papildomai mokėsi pagal pasirenkamąsias finansinio raštingumo, kūrybiškumo ugdymo, kūrybinio konstravimo, programavimo pradmenų, ekonomikos ir verslo inovacijų programas; visi mokiniai savarankiškai parengė baigiamuosius projektus, kurių pristatymai dėl karantino vykdyti virtualioje erdvėje; įkurtos 3 mokinių mokomosios bendrovės, iš kurių Lietuvos Junior Achievement 5–8 klasių renginyje „Challenge the Challenge Junior“ viena (6 Ʃ klasės) laimėjo šalyje III vietą ir piniginį prizą verslui, kita (7 Ʃ klasė) – apdovanojimą už kūrybiškiausią sprendimą. </w:t>
      </w:r>
    </w:p>
    <w:p w14:paraId="60D651CA" w14:textId="77777777" w:rsidR="00277B97" w:rsidRDefault="00277B97" w:rsidP="00277B97">
      <w:pPr>
        <w:ind w:firstLine="709"/>
        <w:jc w:val="both"/>
        <w:rPr>
          <w:strike/>
        </w:rPr>
      </w:pPr>
      <w:r>
        <w:t>Toliau progimnazijoje vykdytas kryptingas teatrinis ugdymas. Parengta kryptingo teatrinio ugdymo programa, informacinė skrajutė „Kryptingo teatrinio ugdymo klasės“, baigiamosios teatrinės klasės reklaminis filmukas „Būk teatrinukas“. Tradiciniai baigiamųjų teatrinio ugdymo programų atsiskaitymų pristatymai progimnazijos bendruomenei organizuoti virtualioje erdvėje ir viešinti progimnazijos interneto svetainėje (</w:t>
      </w:r>
      <w:hyperlink r:id="rId6" w:history="1">
        <w:r>
          <w:rPr>
            <w:rStyle w:val="Hipersaitas"/>
          </w:rPr>
          <w:t>http://www.sdachas.lm.lt/?cat=8</w:t>
        </w:r>
      </w:hyperlink>
      <w:r>
        <w:t xml:space="preserve">). </w:t>
      </w:r>
    </w:p>
    <w:p w14:paraId="60D651CB" w14:textId="77777777" w:rsidR="00277B97" w:rsidRDefault="00277B97" w:rsidP="00277B97">
      <w:pPr>
        <w:ind w:firstLine="709"/>
        <w:jc w:val="both"/>
      </w:pPr>
      <w:r>
        <w:t>Progimnazija dalyvavo integruoto gamtos mokslų kurso 5–8 klasėms išbandyme, buvo parengti ir išbandyti skaitmeniniai pamokų modeliai. Progimnazijos mokytojai parengė 35 patyriminio ugdymo programas, pagal mokinių motyvacinius laiškus buvo sudarytos mišrios grupės, tačiau dėl karantino apribojimų suplanuotos veiklos negalėjo būti vykdomos.</w:t>
      </w:r>
    </w:p>
    <w:p w14:paraId="60D651CC" w14:textId="77777777" w:rsidR="00277B97" w:rsidRDefault="00277B97" w:rsidP="00277B97">
      <w:pPr>
        <w:ind w:firstLine="709"/>
        <w:jc w:val="both"/>
      </w:pPr>
      <w:r>
        <w:t>Progimnazijoje pakankamai aukšta mokymosi kokybė: labai gerais pažymiais mokslo metus baigė 15 % 5–8 klasių mokinių (2018–2019 m. m. – 13 %), gerais – 47,9 % 5–8 klasių mokinių (2018–2019 m. m. – 41,8 %), bendras metinis 5–8 klasių mokinių pažymių vidurkis – 8,1; 1-4 klasėse aukštesniuoju lygiu mokėsi 21,5 % mokinių. Progimnazijos ugdytiniai dalyvavo dalykinėse olimpiadose ir konkursuose: Klaipėdos miesto dalykinėse olimpiadose iškovojo tris I, vieną II vietą; konkursuose septynias I, tris II, šešias III vietas; meniniuose, kūrybiniuose konkursuose vienuolika I, šešias II, penkias III vietas. Progimnazijos 5 ir 7 klasių mokiniai dalyvavo Nacionalinės švietimo agentūros vykdytuose bandomuosiuose elektroniniuose testavimuose. 2020 m. nacionaliniame kritinio mąstymo ir problemų sprendimo konkurse dalyvavo 5Ʃ ir 6Ʃ klasių mokiniai, vidutiniškai surinktų taškų dalis 47,9 % (šalyje – 52,5 %); šiame konkurse dalyvavę 3–4 klasių mokiniai surinko vidutiniškai 59,8 % taškų (šalyje – 54,7%).</w:t>
      </w:r>
    </w:p>
    <w:p w14:paraId="60D651CD" w14:textId="77777777" w:rsidR="00277B97" w:rsidRDefault="00277B97" w:rsidP="00277B97">
      <w:pPr>
        <w:ind w:firstLine="709"/>
        <w:jc w:val="both"/>
      </w:pPr>
      <w:r>
        <w:t>Progimnazijos bendruomenė toliau sistemingai vykdė ekologinę veiklą ir tarptautinėje gamtosauginių mokyklų programoje 14 kartą iškovojo „Žaliąją vėliavą“. Mokinių ir mokytojų komandos dalyvavo Europos Sąjungos struktūrinių fondų remiamuose, nacionaliniuose bei kituose ilgalaikiuose ugdymo tobulinimo projektuose: tarptautiniai projektai „Mažiau šiukšlių“, „Dreams &amp; Teams“, UNESCO asocijuotų mokyklų tinklo projektas su Japonijos moksleiviais „ArtMile“ ir kiti.</w:t>
      </w:r>
    </w:p>
    <w:p w14:paraId="60D651CE" w14:textId="77777777" w:rsidR="00277B97" w:rsidRDefault="00277B97" w:rsidP="00277B97">
      <w:pPr>
        <w:ind w:firstLine="709"/>
        <w:jc w:val="both"/>
      </w:pPr>
      <w:r>
        <w:t xml:space="preserve">Vykdant antrąjį uždavinį – siekti specialiųjų ugdymosi poreikių turinčių mokinių pažangos pastovumo teikiant mokymo(si) pagalbą –  buvo vykdomos visos numatytos priemonės. Sistemingai buvo analizuojami mokinių akademinių pasiekimų pokyčiai, taikyta mokinių asmeninės pažangos stebėjimo ir pagalbos teikimo sistema. Mokytojai analizavo ugdymo procese kiekvieno mokinio pažangą, klasių mokinių individualios pažangos vertinimo lentelėse žymėjo atitinkamo laikotarpio </w:t>
      </w:r>
      <w:r>
        <w:lastRenderedPageBreak/>
        <w:t>kiekvieno mokinio pasiektą asmeninę pažangą. Mokytojų grupės tarėsi dėl pagalbos būdų mokiniams, buvo stebimi įvertinimų pokyčiai. Mokiniai mokėsi vertinti save, numatydami tolimesnius ugdymo(si) uždavinius, kėlė savo siekius ir tikslus pusmečiui, metams. Mokinių ugdymo(si) pasiekimai buvo stebimi atliekant diagnostinius patikrinamuosius darbus, analizuojant nacionalinių ir tarptautinių tyrimų, konkursų rezultatus. Pasiekimų ir pažangos rezultatų analize remtasi planuojant ugdymo veiklą: metodinės grupės parengė ir vykdė savo ugdomųjų dalykų mokymosi pasiekimų gerinimo planus. Teikiant mokymosi pagalbą gabiesiems ir sunkumų patiriantiems mokiniams, organizuotos grupinės ir pagal poreikį individualios konsultacijos. Siekiant tenkinti įvairių gebėjimų mokinių ugdymo poreikius, buvo kaupiamas atskirų dalykų, diferencijuotų pagal pasiekimų lygius, užduočių bankas.</w:t>
      </w:r>
    </w:p>
    <w:p w14:paraId="60D651CF" w14:textId="77777777" w:rsidR="00277B97" w:rsidRDefault="00277B97" w:rsidP="00277B97">
      <w:pPr>
        <w:ind w:firstLine="709"/>
        <w:jc w:val="both"/>
      </w:pPr>
      <w:r>
        <w:t xml:space="preserve">Siekiant trečiojo uždavinio – kurti saugią, palankią mokymui(si) aplinką ir tobulinti visų bendruomenės narių bendravimo ir bendradarbiavimo kultūrą – progimnazija toliau diegė patyčių ir smurto prevencijos Olweus programos kokybės užtikrinimo sistemą, jau 5 kartą progimnazija tapo sertifikuota Olweus mokykla. Nuolat buvo vykdoma klasių mikroklimato stebėsena naudojant „Termometro“ metodą; teikta psichologinė, socialinė, specialioji, informacinė pagalba mokiniams. Organizuoti grupiniai užsiėmimai sėkmingai penktokų adaptacijai, mokiniams, turintiems specialiųjų ugdymosi poreikių, adaptaciniai užsiėmimai pirmųjų klasių mokiniams „Linksmosios stotelės“ pagal įvairias socialinių įgūdžių programas („Tiltai“, „Įveikime kartu“, „Gyvai“ ir kt.). Vaiko gerovės komisija pagal poreikį sprendė mokinių ugdymo(si), elgesio problemas, parengė ir vykdė pagalbos rekomendacijas.  </w:t>
      </w:r>
    </w:p>
    <w:p w14:paraId="60D651D0" w14:textId="77777777" w:rsidR="00277B97" w:rsidRDefault="00277B97" w:rsidP="00277B97">
      <w:pPr>
        <w:ind w:firstLine="709"/>
        <w:jc w:val="both"/>
      </w:pPr>
      <w:r>
        <w:t xml:space="preserve">Progimnazijos darbuotojams buvo organizuoti mokymai, seminarai: „Mokytojo emocinis intelektas (EQ) motyvuojančiai komunikacijai pamokoje: kaip išnaudoti emocijų energiją?“, „Bendrojo ugdymo mokyklų darbuotojų gebėjimų visuomenės psichikos sveikatos srityje stiprinimo veiklos“, „Aukšta vidinė ir tarpasmeninė emocinė kultūra (EQ)“, „Profesinio meistriškumas stiprinant ugdymo įstaigos darbuotojų emocinį intelektą“. Vyko mokymai mokytojams, kurie dirba su specialiųjų poreikių turinčiais mokiniais, klasių vadovams apie klasės valdymo metodus, dalykų mokytojams apie integravimo, diferencijavimo galimybes. Atlikti du progimnazijos pedagoginių darbuotojų mikroklimato tyrimai, kurių išvadose teigiama, kad pedagoginių darbuotojų jis yra vertinamas gerai. </w:t>
      </w:r>
    </w:p>
    <w:p w14:paraId="60D651D1" w14:textId="77777777" w:rsidR="00277B97" w:rsidRDefault="00277B97" w:rsidP="00277B97">
      <w:pPr>
        <w:ind w:firstLine="709"/>
        <w:jc w:val="both"/>
      </w:pPr>
      <w:r>
        <w:t>Atlikti visi 2020 m. numatyti ugdymo(si) aplinkų gerinimo darbai: suremontuotas ir įrengtas mitybos ir tekstilės technologijų kabinetas, aprūpintas baldais, buitine technika, virtuvės priedais ir priemonėmis; įrengtas multifunkcis sensorinis kambarys; įsigyta 30 molbertų, 2 mobilios lauko klasės; suremontuoti koridoriai, 4 kabinetai; 7 kabinetuose sumontuoti kondicionieriai; įsigyta naujų baldų, kompiuterių, demonstracinės technikos mokomiesiems kabinetams ir panašiai.</w:t>
      </w:r>
    </w:p>
    <w:p w14:paraId="60D651D2" w14:textId="77777777" w:rsidR="00277B97" w:rsidRDefault="00277B97" w:rsidP="00277B97">
      <w:pPr>
        <w:ind w:firstLine="709"/>
        <w:jc w:val="both"/>
        <w:rPr>
          <w:lang w:eastAsia="lt-LT"/>
        </w:rPr>
      </w:pPr>
      <w:r>
        <w:rPr>
          <w:lang w:eastAsia="lt-LT"/>
        </w:rPr>
        <w:t>Progimnazijos strateginiuose ir veiklos planuose numatyti uždaviniai buvo įgyvendinti panaudojant tokias lėšas:</w:t>
      </w:r>
    </w:p>
    <w:tbl>
      <w:tblPr>
        <w:tblStyle w:val="Lentelstinklelis"/>
        <w:tblW w:w="0" w:type="auto"/>
        <w:tblLook w:val="04A0" w:firstRow="1" w:lastRow="0" w:firstColumn="1" w:lastColumn="0" w:noHBand="0" w:noVBand="1"/>
      </w:tblPr>
      <w:tblGrid>
        <w:gridCol w:w="2541"/>
        <w:gridCol w:w="1470"/>
        <w:gridCol w:w="1226"/>
        <w:gridCol w:w="1283"/>
        <w:gridCol w:w="3108"/>
      </w:tblGrid>
      <w:tr w:rsidR="00277B97" w14:paraId="60D651D7" w14:textId="77777777" w:rsidTr="00277B97">
        <w:tc>
          <w:tcPr>
            <w:tcW w:w="2541" w:type="dxa"/>
            <w:vMerge w:val="restart"/>
            <w:tcBorders>
              <w:top w:val="single" w:sz="4" w:space="0" w:color="auto"/>
              <w:left w:val="single" w:sz="4" w:space="0" w:color="auto"/>
              <w:bottom w:val="single" w:sz="4" w:space="0" w:color="auto"/>
              <w:right w:val="single" w:sz="4" w:space="0" w:color="auto"/>
            </w:tcBorders>
            <w:hideMark/>
          </w:tcPr>
          <w:p w14:paraId="60D651D3" w14:textId="77777777" w:rsidR="00277B97" w:rsidRDefault="00277B97">
            <w:pPr>
              <w:jc w:val="center"/>
            </w:pPr>
            <w:r>
              <w:t>Finansavimo šaltinis</w:t>
            </w:r>
          </w:p>
        </w:tc>
        <w:tc>
          <w:tcPr>
            <w:tcW w:w="3979" w:type="dxa"/>
            <w:gridSpan w:val="3"/>
            <w:tcBorders>
              <w:top w:val="single" w:sz="4" w:space="0" w:color="auto"/>
              <w:left w:val="single" w:sz="4" w:space="0" w:color="auto"/>
              <w:bottom w:val="single" w:sz="4" w:space="0" w:color="auto"/>
              <w:right w:val="single" w:sz="4" w:space="0" w:color="auto"/>
            </w:tcBorders>
            <w:hideMark/>
          </w:tcPr>
          <w:p w14:paraId="60D651D4" w14:textId="77777777" w:rsidR="00277B97" w:rsidRDefault="00277B97">
            <w:pPr>
              <w:jc w:val="center"/>
            </w:pPr>
            <w:r>
              <w:t>Lėšos (tūkst. eurų)</w:t>
            </w:r>
          </w:p>
        </w:tc>
        <w:tc>
          <w:tcPr>
            <w:tcW w:w="3108" w:type="dxa"/>
            <w:vMerge w:val="restart"/>
            <w:tcBorders>
              <w:top w:val="single" w:sz="4" w:space="0" w:color="auto"/>
              <w:left w:val="single" w:sz="4" w:space="0" w:color="auto"/>
              <w:bottom w:val="single" w:sz="4" w:space="0" w:color="auto"/>
              <w:right w:val="single" w:sz="4" w:space="0" w:color="auto"/>
            </w:tcBorders>
          </w:tcPr>
          <w:p w14:paraId="60D651D5" w14:textId="77777777" w:rsidR="00277B97" w:rsidRDefault="00277B97">
            <w:pPr>
              <w:jc w:val="both"/>
            </w:pPr>
            <w:r>
              <w:t>Pastabos</w:t>
            </w:r>
          </w:p>
          <w:p w14:paraId="60D651D6" w14:textId="77777777" w:rsidR="00277B97" w:rsidRDefault="00277B97">
            <w:pPr>
              <w:jc w:val="center"/>
            </w:pPr>
          </w:p>
        </w:tc>
      </w:tr>
      <w:tr w:rsidR="00277B97" w14:paraId="60D651DD" w14:textId="77777777" w:rsidTr="00277B97">
        <w:tc>
          <w:tcPr>
            <w:tcW w:w="0" w:type="auto"/>
            <w:vMerge/>
            <w:tcBorders>
              <w:top w:val="single" w:sz="4" w:space="0" w:color="auto"/>
              <w:left w:val="single" w:sz="4" w:space="0" w:color="auto"/>
              <w:bottom w:val="single" w:sz="4" w:space="0" w:color="auto"/>
              <w:right w:val="single" w:sz="4" w:space="0" w:color="auto"/>
            </w:tcBorders>
            <w:vAlign w:val="center"/>
            <w:hideMark/>
          </w:tcPr>
          <w:p w14:paraId="60D651D8" w14:textId="77777777" w:rsidR="00277B97" w:rsidRDefault="00277B97"/>
        </w:tc>
        <w:tc>
          <w:tcPr>
            <w:tcW w:w="1470" w:type="dxa"/>
            <w:tcBorders>
              <w:top w:val="single" w:sz="4" w:space="0" w:color="auto"/>
              <w:left w:val="single" w:sz="4" w:space="0" w:color="auto"/>
              <w:bottom w:val="single" w:sz="4" w:space="0" w:color="auto"/>
              <w:right w:val="single" w:sz="4" w:space="0" w:color="auto"/>
            </w:tcBorders>
            <w:hideMark/>
          </w:tcPr>
          <w:p w14:paraId="60D651D9" w14:textId="77777777" w:rsidR="00277B97" w:rsidRDefault="00277B97">
            <w:pPr>
              <w:jc w:val="center"/>
            </w:pPr>
            <w:r>
              <w:t>Planas (patikslintas)</w:t>
            </w:r>
          </w:p>
        </w:tc>
        <w:tc>
          <w:tcPr>
            <w:tcW w:w="1226" w:type="dxa"/>
            <w:tcBorders>
              <w:top w:val="single" w:sz="4" w:space="0" w:color="auto"/>
              <w:left w:val="single" w:sz="4" w:space="0" w:color="auto"/>
              <w:bottom w:val="single" w:sz="4" w:space="0" w:color="auto"/>
              <w:right w:val="single" w:sz="4" w:space="0" w:color="auto"/>
            </w:tcBorders>
            <w:hideMark/>
          </w:tcPr>
          <w:p w14:paraId="60D651DA" w14:textId="77777777" w:rsidR="00277B97" w:rsidRDefault="00277B97">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60D651DB" w14:textId="77777777" w:rsidR="00277B97" w:rsidRDefault="00277B97">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51DC" w14:textId="77777777" w:rsidR="00277B97" w:rsidRDefault="00277B97"/>
        </w:tc>
      </w:tr>
      <w:tr w:rsidR="00277B97" w14:paraId="60D651E3" w14:textId="77777777" w:rsidTr="00277B97">
        <w:trPr>
          <w:trHeight w:val="164"/>
        </w:trPr>
        <w:tc>
          <w:tcPr>
            <w:tcW w:w="2541" w:type="dxa"/>
            <w:tcBorders>
              <w:top w:val="single" w:sz="4" w:space="0" w:color="auto"/>
              <w:left w:val="single" w:sz="4" w:space="0" w:color="auto"/>
              <w:bottom w:val="single" w:sz="4" w:space="0" w:color="auto"/>
              <w:right w:val="single" w:sz="4" w:space="0" w:color="auto"/>
            </w:tcBorders>
            <w:hideMark/>
          </w:tcPr>
          <w:p w14:paraId="60D651DE" w14:textId="77777777" w:rsidR="00277B97" w:rsidRDefault="00277B97">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14:paraId="60D651DF" w14:textId="77777777" w:rsidR="00277B97" w:rsidRDefault="00277B97">
            <w:pPr>
              <w:jc w:val="center"/>
            </w:pPr>
            <w:r>
              <w:t>345,60</w:t>
            </w:r>
          </w:p>
        </w:tc>
        <w:tc>
          <w:tcPr>
            <w:tcW w:w="1226" w:type="dxa"/>
            <w:tcBorders>
              <w:top w:val="single" w:sz="4" w:space="0" w:color="auto"/>
              <w:left w:val="single" w:sz="4" w:space="0" w:color="auto"/>
              <w:bottom w:val="single" w:sz="4" w:space="0" w:color="auto"/>
              <w:right w:val="single" w:sz="4" w:space="0" w:color="auto"/>
            </w:tcBorders>
            <w:hideMark/>
          </w:tcPr>
          <w:p w14:paraId="60D651E0" w14:textId="77777777" w:rsidR="00277B97" w:rsidRDefault="00277B97">
            <w:pPr>
              <w:jc w:val="center"/>
            </w:pPr>
            <w:r>
              <w:t>341,76</w:t>
            </w:r>
          </w:p>
        </w:tc>
        <w:tc>
          <w:tcPr>
            <w:tcW w:w="1283" w:type="dxa"/>
            <w:tcBorders>
              <w:top w:val="single" w:sz="4" w:space="0" w:color="auto"/>
              <w:left w:val="single" w:sz="4" w:space="0" w:color="auto"/>
              <w:bottom w:val="single" w:sz="4" w:space="0" w:color="auto"/>
              <w:right w:val="single" w:sz="4" w:space="0" w:color="auto"/>
            </w:tcBorders>
            <w:hideMark/>
          </w:tcPr>
          <w:p w14:paraId="60D651E1" w14:textId="77777777" w:rsidR="00277B97" w:rsidRDefault="00277B97">
            <w:pPr>
              <w:jc w:val="center"/>
            </w:pPr>
            <w:r>
              <w:t>98,9</w:t>
            </w:r>
          </w:p>
        </w:tc>
        <w:tc>
          <w:tcPr>
            <w:tcW w:w="3108" w:type="dxa"/>
            <w:tcBorders>
              <w:top w:val="single" w:sz="4" w:space="0" w:color="auto"/>
              <w:left w:val="single" w:sz="4" w:space="0" w:color="auto"/>
              <w:bottom w:val="single" w:sz="4" w:space="0" w:color="auto"/>
              <w:right w:val="single" w:sz="4" w:space="0" w:color="auto"/>
            </w:tcBorders>
            <w:hideMark/>
          </w:tcPr>
          <w:p w14:paraId="60D651E2" w14:textId="77777777" w:rsidR="00277B97" w:rsidRDefault="00277B97">
            <w:r>
              <w:t>Lėšos sutaupytos iš darbuotojų kvalifikacijos tobulinimo, komandiruočių išlaidų, kadangi dėl pandemijos nevyko seminarai. Taip pat sutaupyta iš darbdavio socialinės paramos, kadangi dėl pandemijos darbuotojai dirbo nuotoliniu būdu</w:t>
            </w:r>
          </w:p>
        </w:tc>
      </w:tr>
      <w:tr w:rsidR="00277B97" w14:paraId="60D651E9" w14:textId="77777777" w:rsidTr="00277B97">
        <w:tc>
          <w:tcPr>
            <w:tcW w:w="2541" w:type="dxa"/>
            <w:tcBorders>
              <w:top w:val="single" w:sz="4" w:space="0" w:color="auto"/>
              <w:left w:val="single" w:sz="4" w:space="0" w:color="auto"/>
              <w:bottom w:val="single" w:sz="4" w:space="0" w:color="auto"/>
              <w:right w:val="single" w:sz="4" w:space="0" w:color="auto"/>
            </w:tcBorders>
            <w:hideMark/>
          </w:tcPr>
          <w:p w14:paraId="60D651E4" w14:textId="77777777" w:rsidR="00277B97" w:rsidRDefault="00277B97">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14:paraId="60D651E5" w14:textId="77777777" w:rsidR="00277B97" w:rsidRDefault="00277B97">
            <w:pPr>
              <w:jc w:val="center"/>
            </w:pPr>
            <w:r>
              <w:t>1301,50</w:t>
            </w:r>
          </w:p>
        </w:tc>
        <w:tc>
          <w:tcPr>
            <w:tcW w:w="1226" w:type="dxa"/>
            <w:tcBorders>
              <w:top w:val="single" w:sz="4" w:space="0" w:color="auto"/>
              <w:left w:val="single" w:sz="4" w:space="0" w:color="auto"/>
              <w:bottom w:val="single" w:sz="4" w:space="0" w:color="auto"/>
              <w:right w:val="single" w:sz="4" w:space="0" w:color="auto"/>
            </w:tcBorders>
            <w:hideMark/>
          </w:tcPr>
          <w:p w14:paraId="60D651E6" w14:textId="77777777" w:rsidR="00277B97" w:rsidRDefault="00277B97">
            <w:pPr>
              <w:jc w:val="center"/>
            </w:pPr>
            <w:r>
              <w:t>1300,15</w:t>
            </w:r>
          </w:p>
        </w:tc>
        <w:tc>
          <w:tcPr>
            <w:tcW w:w="1283" w:type="dxa"/>
            <w:tcBorders>
              <w:top w:val="single" w:sz="4" w:space="0" w:color="auto"/>
              <w:left w:val="single" w:sz="4" w:space="0" w:color="auto"/>
              <w:bottom w:val="single" w:sz="4" w:space="0" w:color="auto"/>
              <w:right w:val="single" w:sz="4" w:space="0" w:color="auto"/>
            </w:tcBorders>
            <w:hideMark/>
          </w:tcPr>
          <w:p w14:paraId="60D651E7" w14:textId="77777777" w:rsidR="00277B97" w:rsidRDefault="00277B97">
            <w:pPr>
              <w:jc w:val="center"/>
            </w:pPr>
            <w:r>
              <w:t>99,9</w:t>
            </w:r>
          </w:p>
        </w:tc>
        <w:tc>
          <w:tcPr>
            <w:tcW w:w="3108" w:type="dxa"/>
            <w:tcBorders>
              <w:top w:val="single" w:sz="4" w:space="0" w:color="auto"/>
              <w:left w:val="single" w:sz="4" w:space="0" w:color="auto"/>
              <w:bottom w:val="single" w:sz="4" w:space="0" w:color="auto"/>
              <w:right w:val="single" w:sz="4" w:space="0" w:color="auto"/>
            </w:tcBorders>
            <w:hideMark/>
          </w:tcPr>
          <w:p w14:paraId="60D651E8" w14:textId="77777777" w:rsidR="00277B97" w:rsidRDefault="00277B97">
            <w:r>
              <w:t>Sutaupyta iš darbdavio socialinės paramos, kadangi dėl pandemijos darbuotojai dirbo nuotoliniu būdu</w:t>
            </w:r>
          </w:p>
        </w:tc>
      </w:tr>
      <w:tr w:rsidR="00277B97" w14:paraId="60D651EF" w14:textId="77777777" w:rsidTr="00277B97">
        <w:tc>
          <w:tcPr>
            <w:tcW w:w="2541" w:type="dxa"/>
            <w:tcBorders>
              <w:top w:val="single" w:sz="4" w:space="0" w:color="auto"/>
              <w:left w:val="single" w:sz="4" w:space="0" w:color="auto"/>
              <w:bottom w:val="single" w:sz="4" w:space="0" w:color="auto"/>
              <w:right w:val="single" w:sz="4" w:space="0" w:color="auto"/>
            </w:tcBorders>
            <w:hideMark/>
          </w:tcPr>
          <w:p w14:paraId="60D651EA" w14:textId="77777777" w:rsidR="00277B97" w:rsidRDefault="00277B97">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14:paraId="60D651EB" w14:textId="77777777" w:rsidR="00277B97" w:rsidRDefault="00277B97">
            <w:pPr>
              <w:jc w:val="center"/>
            </w:pPr>
            <w:r>
              <w:t>24,63</w:t>
            </w:r>
          </w:p>
        </w:tc>
        <w:tc>
          <w:tcPr>
            <w:tcW w:w="1226" w:type="dxa"/>
            <w:tcBorders>
              <w:top w:val="single" w:sz="4" w:space="0" w:color="auto"/>
              <w:left w:val="single" w:sz="4" w:space="0" w:color="auto"/>
              <w:bottom w:val="single" w:sz="4" w:space="0" w:color="auto"/>
              <w:right w:val="single" w:sz="4" w:space="0" w:color="auto"/>
            </w:tcBorders>
            <w:hideMark/>
          </w:tcPr>
          <w:p w14:paraId="60D651EC" w14:textId="77777777" w:rsidR="00277B97" w:rsidRDefault="00277B97">
            <w:pPr>
              <w:jc w:val="center"/>
            </w:pPr>
            <w:r>
              <w:t>22,53</w:t>
            </w:r>
          </w:p>
        </w:tc>
        <w:tc>
          <w:tcPr>
            <w:tcW w:w="1283" w:type="dxa"/>
            <w:tcBorders>
              <w:top w:val="single" w:sz="4" w:space="0" w:color="auto"/>
              <w:left w:val="single" w:sz="4" w:space="0" w:color="auto"/>
              <w:bottom w:val="single" w:sz="4" w:space="0" w:color="auto"/>
              <w:right w:val="single" w:sz="4" w:space="0" w:color="auto"/>
            </w:tcBorders>
            <w:hideMark/>
          </w:tcPr>
          <w:p w14:paraId="60D651ED" w14:textId="77777777" w:rsidR="00277B97" w:rsidRDefault="00277B97">
            <w:pPr>
              <w:jc w:val="center"/>
            </w:pPr>
            <w:r>
              <w:t>91,5</w:t>
            </w:r>
          </w:p>
        </w:tc>
        <w:tc>
          <w:tcPr>
            <w:tcW w:w="3108" w:type="dxa"/>
            <w:tcBorders>
              <w:top w:val="single" w:sz="4" w:space="0" w:color="auto"/>
              <w:left w:val="single" w:sz="4" w:space="0" w:color="auto"/>
              <w:bottom w:val="single" w:sz="4" w:space="0" w:color="auto"/>
              <w:right w:val="single" w:sz="4" w:space="0" w:color="auto"/>
            </w:tcBorders>
            <w:hideMark/>
          </w:tcPr>
          <w:p w14:paraId="60D651EE" w14:textId="77777777" w:rsidR="00277B97" w:rsidRDefault="00277B97">
            <w:r>
              <w:t>Sutaupyta iš darbuotojų darbo užmokesčio ir socialinio draudimo, kadangi buvo naudojamas ankstesnių metų likutis</w:t>
            </w:r>
          </w:p>
        </w:tc>
      </w:tr>
      <w:tr w:rsidR="00277B97" w14:paraId="60D651F5" w14:textId="77777777" w:rsidTr="00277B97">
        <w:trPr>
          <w:trHeight w:val="58"/>
        </w:trPr>
        <w:tc>
          <w:tcPr>
            <w:tcW w:w="2541" w:type="dxa"/>
            <w:tcBorders>
              <w:top w:val="single" w:sz="4" w:space="0" w:color="auto"/>
              <w:left w:val="single" w:sz="4" w:space="0" w:color="auto"/>
              <w:bottom w:val="single" w:sz="4" w:space="0" w:color="auto"/>
              <w:right w:val="single" w:sz="4" w:space="0" w:color="auto"/>
            </w:tcBorders>
            <w:hideMark/>
          </w:tcPr>
          <w:p w14:paraId="60D651F0" w14:textId="77777777" w:rsidR="00277B97" w:rsidRDefault="00277B97">
            <w:r>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60D651F1" w14:textId="77777777" w:rsidR="00277B97" w:rsidRDefault="00277B97">
            <w:pPr>
              <w:jc w:val="center"/>
            </w:pPr>
            <w:r>
              <w:t>–</w:t>
            </w:r>
          </w:p>
        </w:tc>
        <w:tc>
          <w:tcPr>
            <w:tcW w:w="1226" w:type="dxa"/>
            <w:tcBorders>
              <w:top w:val="single" w:sz="4" w:space="0" w:color="auto"/>
              <w:left w:val="single" w:sz="4" w:space="0" w:color="auto"/>
              <w:bottom w:val="single" w:sz="4" w:space="0" w:color="auto"/>
              <w:right w:val="single" w:sz="4" w:space="0" w:color="auto"/>
            </w:tcBorders>
            <w:hideMark/>
          </w:tcPr>
          <w:p w14:paraId="60D651F2" w14:textId="77777777" w:rsidR="00277B97" w:rsidRDefault="00277B97">
            <w:pPr>
              <w:jc w:val="center"/>
            </w:pPr>
            <w:r>
              <w:t>22,53</w:t>
            </w:r>
          </w:p>
        </w:tc>
        <w:tc>
          <w:tcPr>
            <w:tcW w:w="1283" w:type="dxa"/>
            <w:tcBorders>
              <w:top w:val="single" w:sz="4" w:space="0" w:color="auto"/>
              <w:left w:val="single" w:sz="4" w:space="0" w:color="auto"/>
              <w:bottom w:val="single" w:sz="4" w:space="0" w:color="auto"/>
              <w:right w:val="single" w:sz="4" w:space="0" w:color="auto"/>
            </w:tcBorders>
          </w:tcPr>
          <w:p w14:paraId="60D651F3" w14:textId="77777777" w:rsidR="00277B97" w:rsidRDefault="00277B97">
            <w:pPr>
              <w:jc w:val="center"/>
            </w:pPr>
          </w:p>
        </w:tc>
        <w:tc>
          <w:tcPr>
            <w:tcW w:w="3108" w:type="dxa"/>
            <w:tcBorders>
              <w:top w:val="single" w:sz="4" w:space="0" w:color="auto"/>
              <w:left w:val="single" w:sz="4" w:space="0" w:color="auto"/>
              <w:bottom w:val="single" w:sz="4" w:space="0" w:color="auto"/>
              <w:right w:val="single" w:sz="4" w:space="0" w:color="auto"/>
            </w:tcBorders>
          </w:tcPr>
          <w:p w14:paraId="60D651F4" w14:textId="77777777" w:rsidR="00277B97" w:rsidRDefault="00277B97"/>
        </w:tc>
      </w:tr>
      <w:tr w:rsidR="00277B97" w14:paraId="60D651FB" w14:textId="77777777" w:rsidTr="00277B97">
        <w:trPr>
          <w:trHeight w:val="125"/>
        </w:trPr>
        <w:tc>
          <w:tcPr>
            <w:tcW w:w="2541" w:type="dxa"/>
            <w:tcBorders>
              <w:top w:val="single" w:sz="4" w:space="0" w:color="auto"/>
              <w:left w:val="single" w:sz="4" w:space="0" w:color="auto"/>
              <w:bottom w:val="single" w:sz="4" w:space="0" w:color="auto"/>
              <w:right w:val="single" w:sz="4" w:space="0" w:color="auto"/>
            </w:tcBorders>
            <w:hideMark/>
          </w:tcPr>
          <w:p w14:paraId="60D651F6" w14:textId="77777777" w:rsidR="00277B97" w:rsidRDefault="00277B97">
            <w:r>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14:paraId="60D651F7" w14:textId="77777777" w:rsidR="00277B97" w:rsidRDefault="00277B97">
            <w:pPr>
              <w:jc w:val="center"/>
            </w:pPr>
            <w:r>
              <w:t>253,62</w:t>
            </w:r>
          </w:p>
        </w:tc>
        <w:tc>
          <w:tcPr>
            <w:tcW w:w="1226" w:type="dxa"/>
            <w:tcBorders>
              <w:top w:val="single" w:sz="4" w:space="0" w:color="auto"/>
              <w:left w:val="single" w:sz="4" w:space="0" w:color="auto"/>
              <w:bottom w:val="single" w:sz="4" w:space="0" w:color="auto"/>
              <w:right w:val="single" w:sz="4" w:space="0" w:color="auto"/>
            </w:tcBorders>
            <w:hideMark/>
          </w:tcPr>
          <w:p w14:paraId="60D651F8" w14:textId="77777777" w:rsidR="00277B97" w:rsidRDefault="00277B97">
            <w:pPr>
              <w:jc w:val="center"/>
            </w:pPr>
            <w:r>
              <w:t>127,45</w:t>
            </w:r>
          </w:p>
        </w:tc>
        <w:tc>
          <w:tcPr>
            <w:tcW w:w="1283" w:type="dxa"/>
            <w:tcBorders>
              <w:top w:val="single" w:sz="4" w:space="0" w:color="auto"/>
              <w:left w:val="single" w:sz="4" w:space="0" w:color="auto"/>
              <w:bottom w:val="single" w:sz="4" w:space="0" w:color="auto"/>
              <w:right w:val="single" w:sz="4" w:space="0" w:color="auto"/>
            </w:tcBorders>
            <w:hideMark/>
          </w:tcPr>
          <w:p w14:paraId="60D651F9" w14:textId="77777777" w:rsidR="00277B97" w:rsidRDefault="00277B97">
            <w:pPr>
              <w:jc w:val="center"/>
            </w:pPr>
            <w:r>
              <w:t>50,25</w:t>
            </w:r>
          </w:p>
        </w:tc>
        <w:tc>
          <w:tcPr>
            <w:tcW w:w="3108" w:type="dxa"/>
            <w:tcBorders>
              <w:top w:val="single" w:sz="4" w:space="0" w:color="auto"/>
              <w:left w:val="single" w:sz="4" w:space="0" w:color="auto"/>
              <w:bottom w:val="single" w:sz="4" w:space="0" w:color="auto"/>
              <w:right w:val="single" w:sz="4" w:space="0" w:color="auto"/>
            </w:tcBorders>
          </w:tcPr>
          <w:p w14:paraId="60D651FA" w14:textId="77777777" w:rsidR="00277B97" w:rsidRDefault="00277B97"/>
        </w:tc>
      </w:tr>
      <w:tr w:rsidR="00277B97" w14:paraId="60D65201" w14:textId="77777777" w:rsidTr="00277B97">
        <w:tc>
          <w:tcPr>
            <w:tcW w:w="2541" w:type="dxa"/>
            <w:tcBorders>
              <w:top w:val="single" w:sz="4" w:space="0" w:color="auto"/>
              <w:left w:val="single" w:sz="4" w:space="0" w:color="auto"/>
              <w:bottom w:val="single" w:sz="4" w:space="0" w:color="auto"/>
              <w:right w:val="single" w:sz="4" w:space="0" w:color="auto"/>
            </w:tcBorders>
            <w:hideMark/>
          </w:tcPr>
          <w:p w14:paraId="60D651FC" w14:textId="77777777" w:rsidR="00277B97" w:rsidRDefault="00277B97">
            <w:r>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14:paraId="60D651FD" w14:textId="77777777" w:rsidR="00277B97" w:rsidRDefault="00277B97">
            <w:pPr>
              <w:jc w:val="center"/>
            </w:pPr>
            <w:r>
              <w:t>7,3</w:t>
            </w:r>
          </w:p>
        </w:tc>
        <w:tc>
          <w:tcPr>
            <w:tcW w:w="1226" w:type="dxa"/>
            <w:tcBorders>
              <w:top w:val="single" w:sz="4" w:space="0" w:color="auto"/>
              <w:left w:val="single" w:sz="4" w:space="0" w:color="auto"/>
              <w:bottom w:val="single" w:sz="4" w:space="0" w:color="auto"/>
              <w:right w:val="single" w:sz="4" w:space="0" w:color="auto"/>
            </w:tcBorders>
            <w:hideMark/>
          </w:tcPr>
          <w:p w14:paraId="60D651FE" w14:textId="77777777" w:rsidR="00277B97" w:rsidRDefault="00277B97">
            <w:pPr>
              <w:jc w:val="center"/>
            </w:pPr>
            <w:r>
              <w:t>2,9</w:t>
            </w:r>
          </w:p>
        </w:tc>
        <w:tc>
          <w:tcPr>
            <w:tcW w:w="1283" w:type="dxa"/>
            <w:tcBorders>
              <w:top w:val="single" w:sz="4" w:space="0" w:color="auto"/>
              <w:left w:val="single" w:sz="4" w:space="0" w:color="auto"/>
              <w:bottom w:val="single" w:sz="4" w:space="0" w:color="auto"/>
              <w:right w:val="single" w:sz="4" w:space="0" w:color="auto"/>
            </w:tcBorders>
            <w:hideMark/>
          </w:tcPr>
          <w:p w14:paraId="60D651FF" w14:textId="77777777" w:rsidR="00277B97" w:rsidRDefault="00277B97">
            <w:pPr>
              <w:jc w:val="center"/>
            </w:pPr>
            <w:r>
              <w:t>39,7</w:t>
            </w:r>
          </w:p>
        </w:tc>
        <w:tc>
          <w:tcPr>
            <w:tcW w:w="3108" w:type="dxa"/>
            <w:tcBorders>
              <w:top w:val="single" w:sz="4" w:space="0" w:color="auto"/>
              <w:left w:val="single" w:sz="4" w:space="0" w:color="auto"/>
              <w:bottom w:val="single" w:sz="4" w:space="0" w:color="auto"/>
              <w:right w:val="single" w:sz="4" w:space="0" w:color="auto"/>
            </w:tcBorders>
          </w:tcPr>
          <w:p w14:paraId="60D65200" w14:textId="77777777" w:rsidR="00277B97" w:rsidRDefault="00277B97"/>
        </w:tc>
      </w:tr>
      <w:tr w:rsidR="00277B97" w14:paraId="60D65207" w14:textId="77777777" w:rsidTr="00277B97">
        <w:trPr>
          <w:trHeight w:val="58"/>
        </w:trPr>
        <w:tc>
          <w:tcPr>
            <w:tcW w:w="2541" w:type="dxa"/>
            <w:tcBorders>
              <w:top w:val="single" w:sz="4" w:space="0" w:color="auto"/>
              <w:left w:val="single" w:sz="4" w:space="0" w:color="auto"/>
              <w:bottom w:val="single" w:sz="4" w:space="0" w:color="auto"/>
              <w:right w:val="single" w:sz="4" w:space="0" w:color="auto"/>
            </w:tcBorders>
            <w:hideMark/>
          </w:tcPr>
          <w:p w14:paraId="60D65202" w14:textId="77777777" w:rsidR="00277B97" w:rsidRDefault="00277B97">
            <w:pPr>
              <w:jc w:val="right"/>
            </w:pPr>
            <w:r>
              <w:t>Iš viso</w:t>
            </w:r>
          </w:p>
        </w:tc>
        <w:tc>
          <w:tcPr>
            <w:tcW w:w="1470" w:type="dxa"/>
            <w:tcBorders>
              <w:top w:val="single" w:sz="4" w:space="0" w:color="auto"/>
              <w:left w:val="single" w:sz="4" w:space="0" w:color="auto"/>
              <w:bottom w:val="single" w:sz="4" w:space="0" w:color="auto"/>
              <w:right w:val="single" w:sz="4" w:space="0" w:color="auto"/>
            </w:tcBorders>
            <w:hideMark/>
          </w:tcPr>
          <w:p w14:paraId="60D65203" w14:textId="77777777" w:rsidR="00277B97" w:rsidRDefault="00277B97">
            <w:pPr>
              <w:jc w:val="center"/>
            </w:pPr>
            <w:r>
              <w:t>1825,63</w:t>
            </w:r>
          </w:p>
        </w:tc>
        <w:tc>
          <w:tcPr>
            <w:tcW w:w="1226" w:type="dxa"/>
            <w:tcBorders>
              <w:top w:val="single" w:sz="4" w:space="0" w:color="auto"/>
              <w:left w:val="single" w:sz="4" w:space="0" w:color="auto"/>
              <w:bottom w:val="single" w:sz="4" w:space="0" w:color="auto"/>
              <w:right w:val="single" w:sz="4" w:space="0" w:color="auto"/>
            </w:tcBorders>
            <w:hideMark/>
          </w:tcPr>
          <w:p w14:paraId="60D65204" w14:textId="77777777" w:rsidR="00277B97" w:rsidRDefault="00277B97">
            <w:pPr>
              <w:jc w:val="center"/>
            </w:pPr>
            <w:r>
              <w:t>1687,77</w:t>
            </w:r>
          </w:p>
        </w:tc>
        <w:tc>
          <w:tcPr>
            <w:tcW w:w="1283" w:type="dxa"/>
            <w:tcBorders>
              <w:top w:val="single" w:sz="4" w:space="0" w:color="auto"/>
              <w:left w:val="single" w:sz="4" w:space="0" w:color="auto"/>
              <w:bottom w:val="single" w:sz="4" w:space="0" w:color="auto"/>
              <w:right w:val="single" w:sz="4" w:space="0" w:color="auto"/>
            </w:tcBorders>
            <w:hideMark/>
          </w:tcPr>
          <w:p w14:paraId="60D65205" w14:textId="77777777" w:rsidR="00277B97" w:rsidRDefault="00277B97">
            <w:pPr>
              <w:jc w:val="center"/>
            </w:pPr>
            <w:r>
              <w:t>92,44</w:t>
            </w:r>
          </w:p>
        </w:tc>
        <w:tc>
          <w:tcPr>
            <w:tcW w:w="3108" w:type="dxa"/>
            <w:tcBorders>
              <w:top w:val="single" w:sz="4" w:space="0" w:color="auto"/>
              <w:left w:val="single" w:sz="4" w:space="0" w:color="auto"/>
              <w:bottom w:val="single" w:sz="4" w:space="0" w:color="auto"/>
              <w:right w:val="single" w:sz="4" w:space="0" w:color="auto"/>
            </w:tcBorders>
          </w:tcPr>
          <w:p w14:paraId="60D65206" w14:textId="77777777" w:rsidR="00277B97" w:rsidRDefault="00277B97"/>
        </w:tc>
      </w:tr>
      <w:tr w:rsidR="00277B97" w14:paraId="60D6520A" w14:textId="77777777" w:rsidTr="00277B97">
        <w:tc>
          <w:tcPr>
            <w:tcW w:w="6520" w:type="dxa"/>
            <w:gridSpan w:val="4"/>
            <w:tcBorders>
              <w:top w:val="single" w:sz="4" w:space="0" w:color="auto"/>
              <w:left w:val="single" w:sz="4" w:space="0" w:color="auto"/>
              <w:bottom w:val="single" w:sz="4" w:space="0" w:color="auto"/>
              <w:right w:val="single" w:sz="4" w:space="0" w:color="auto"/>
            </w:tcBorders>
            <w:hideMark/>
          </w:tcPr>
          <w:p w14:paraId="60D65208" w14:textId="77777777" w:rsidR="00277B97" w:rsidRDefault="00277B97">
            <w:r>
              <w:t>Kreditinis įsiskolinimas (pagal visus finansavimo šaltinius) 2021-01-01 – 1,23 tūkst. eurų</w:t>
            </w:r>
          </w:p>
        </w:tc>
        <w:tc>
          <w:tcPr>
            <w:tcW w:w="3108" w:type="dxa"/>
            <w:tcBorders>
              <w:top w:val="single" w:sz="4" w:space="0" w:color="auto"/>
              <w:left w:val="single" w:sz="4" w:space="0" w:color="auto"/>
              <w:bottom w:val="single" w:sz="4" w:space="0" w:color="auto"/>
              <w:right w:val="single" w:sz="4" w:space="0" w:color="auto"/>
            </w:tcBorders>
            <w:hideMark/>
          </w:tcPr>
          <w:p w14:paraId="60D65209" w14:textId="77777777" w:rsidR="00277B97" w:rsidRDefault="00277B97">
            <w:r>
              <w:t>Kadangi nuo 2021 m. sausio 1 d. Klaipėdos m. savivaldybė perėmė centralizuotai mokėti už elektros energiją, todėl tiekėjai negalėjo išrašyti išankstinių sąskaitų už elektros energiją</w:t>
            </w:r>
          </w:p>
        </w:tc>
      </w:tr>
    </w:tbl>
    <w:p w14:paraId="60D6520B" w14:textId="77777777" w:rsidR="00277B97" w:rsidRDefault="00277B97" w:rsidP="00277B97">
      <w:pPr>
        <w:jc w:val="both"/>
        <w:rPr>
          <w:b/>
          <w:lang w:eastAsia="lt-LT"/>
        </w:rPr>
      </w:pPr>
    </w:p>
    <w:p w14:paraId="60D6520C" w14:textId="77777777" w:rsidR="00277B97" w:rsidRDefault="00277B97" w:rsidP="00277B97">
      <w:pPr>
        <w:pStyle w:val="prastasiniatinklio"/>
        <w:spacing w:before="0" w:beforeAutospacing="0" w:after="0" w:afterAutospacing="0"/>
        <w:ind w:firstLine="709"/>
        <w:jc w:val="both"/>
        <w:rPr>
          <w:lang w:val="lt-LT"/>
        </w:rPr>
      </w:pPr>
      <w:r>
        <w:rPr>
          <w:lang w:val="lt-LT" w:eastAsia="lt-LT"/>
        </w:rPr>
        <w:t xml:space="preserve">Progimnazijos bendruomenė, planuodama 2021 m. veiklą, susitarė dėl tokių prioritetų: </w:t>
      </w:r>
      <w:r>
        <w:rPr>
          <w:color w:val="000000"/>
          <w:lang w:val="lt-LT"/>
        </w:rPr>
        <w:t>vykdyti mokymosi pagalbą įvairių gebėjimų mokiniams individualizuojant ir diferencijuojant ugdymo turinį; stiprinti bendruomenės mikroklimatą, kuriant pozityvią emocinę aplinką.</w:t>
      </w:r>
    </w:p>
    <w:p w14:paraId="60D6520D" w14:textId="77777777" w:rsidR="00277B97" w:rsidRDefault="00277B97" w:rsidP="00277B97">
      <w:pPr>
        <w:tabs>
          <w:tab w:val="left" w:pos="426"/>
          <w:tab w:val="left" w:pos="1134"/>
          <w:tab w:val="left" w:pos="1701"/>
        </w:tabs>
        <w:autoSpaceDE w:val="0"/>
        <w:autoSpaceDN w:val="0"/>
        <w:adjustRightInd w:val="0"/>
        <w:spacing w:after="200" w:line="276" w:lineRule="auto"/>
        <w:contextualSpacing/>
        <w:jc w:val="both"/>
      </w:pPr>
    </w:p>
    <w:p w14:paraId="60D6520E" w14:textId="77777777" w:rsidR="00277B97" w:rsidRDefault="00277B97" w:rsidP="00277B97">
      <w:pPr>
        <w:tabs>
          <w:tab w:val="left" w:pos="426"/>
          <w:tab w:val="left" w:pos="1134"/>
          <w:tab w:val="left" w:pos="1701"/>
        </w:tabs>
        <w:autoSpaceDE w:val="0"/>
        <w:autoSpaceDN w:val="0"/>
        <w:adjustRightInd w:val="0"/>
        <w:spacing w:after="200" w:line="276" w:lineRule="auto"/>
        <w:contextualSpacing/>
        <w:jc w:val="both"/>
      </w:pPr>
    </w:p>
    <w:p w14:paraId="60D6520F" w14:textId="77777777" w:rsidR="00277B97" w:rsidRDefault="00277B97" w:rsidP="00277B97">
      <w:pPr>
        <w:jc w:val="both"/>
        <w:rPr>
          <w:lang w:eastAsia="lt-LT"/>
        </w:rPr>
      </w:pPr>
      <w:r>
        <w:rPr>
          <w:lang w:eastAsia="lt-LT"/>
        </w:rPr>
        <w:t>Direktorė</w:t>
      </w:r>
      <w:r>
        <w:rPr>
          <w:lang w:eastAsia="lt-LT"/>
        </w:rPr>
        <w:tab/>
      </w:r>
      <w:r>
        <w:t xml:space="preserve">             </w:t>
      </w:r>
      <w:r>
        <w:rPr>
          <w:lang w:eastAsia="lt-LT"/>
        </w:rPr>
        <w:tab/>
        <w:t xml:space="preserve">                                                                                     Daiva Marozienė</w:t>
      </w:r>
    </w:p>
    <w:p w14:paraId="60D65210" w14:textId="77777777"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65213" w14:textId="77777777" w:rsidR="005B434A" w:rsidRDefault="005B434A" w:rsidP="00D57F27">
      <w:r>
        <w:separator/>
      </w:r>
    </w:p>
  </w:endnote>
  <w:endnote w:type="continuationSeparator" w:id="0">
    <w:p w14:paraId="60D65214"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65211" w14:textId="77777777" w:rsidR="005B434A" w:rsidRDefault="005B434A" w:rsidP="00D57F27">
      <w:r>
        <w:separator/>
      </w:r>
    </w:p>
  </w:footnote>
  <w:footnote w:type="continuationSeparator" w:id="0">
    <w:p w14:paraId="60D65212"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0D65215" w14:textId="77777777" w:rsidR="00D57F27" w:rsidRDefault="00D57F27">
        <w:pPr>
          <w:pStyle w:val="Antrats"/>
          <w:jc w:val="center"/>
        </w:pPr>
        <w:r>
          <w:fldChar w:fldCharType="begin"/>
        </w:r>
        <w:r>
          <w:instrText>PAGE   \* MERGEFORMAT</w:instrText>
        </w:r>
        <w:r>
          <w:fldChar w:fldCharType="separate"/>
        </w:r>
        <w:r w:rsidR="00DA6908">
          <w:rPr>
            <w:noProof/>
          </w:rPr>
          <w:t>3</w:t>
        </w:r>
        <w:r>
          <w:fldChar w:fldCharType="end"/>
        </w:r>
      </w:p>
    </w:sdtContent>
  </w:sdt>
  <w:p w14:paraId="60D6521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77B97"/>
    <w:rsid w:val="0034183E"/>
    <w:rsid w:val="004476DD"/>
    <w:rsid w:val="00597EE8"/>
    <w:rsid w:val="005B434A"/>
    <w:rsid w:val="005F495C"/>
    <w:rsid w:val="00832CC9"/>
    <w:rsid w:val="008354D5"/>
    <w:rsid w:val="008E6E82"/>
    <w:rsid w:val="00AF7D08"/>
    <w:rsid w:val="00B750B6"/>
    <w:rsid w:val="00C57681"/>
    <w:rsid w:val="00CA4D3B"/>
    <w:rsid w:val="00D42B72"/>
    <w:rsid w:val="00D57F27"/>
    <w:rsid w:val="00DA6908"/>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51BC"/>
  <w15:docId w15:val="{5F767B65-4538-42F3-87F0-4F42A78A0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277B97"/>
    <w:pPr>
      <w:spacing w:before="100" w:beforeAutospacing="1" w:after="100" w:afterAutospacing="1"/>
    </w:pPr>
    <w:rPr>
      <w:lang w:val="en-US"/>
    </w:rPr>
  </w:style>
  <w:style w:type="character" w:styleId="Hipersaitas">
    <w:name w:val="Hyperlink"/>
    <w:basedOn w:val="Numatytasispastraiposriftas"/>
    <w:uiPriority w:val="99"/>
    <w:semiHidden/>
    <w:unhideWhenUsed/>
    <w:rsid w:val="00277B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667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achas.lm.lt/?cat=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5628</Words>
  <Characters>3208</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2021-06-01T13:12:00Z</dcterms:created>
  <dcterms:modified xsi:type="dcterms:W3CDTF">2021-06-01T13:12:00Z</dcterms:modified>
</cp:coreProperties>
</file>