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45713F09" w14:textId="77777777" w:rsidTr="00C57681">
        <w:tc>
          <w:tcPr>
            <w:tcW w:w="3969" w:type="dxa"/>
          </w:tcPr>
          <w:p w14:paraId="45713F08"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45713F0B" w14:textId="77777777" w:rsidTr="00C57681">
        <w:tc>
          <w:tcPr>
            <w:tcW w:w="3969" w:type="dxa"/>
          </w:tcPr>
          <w:p w14:paraId="45713F0A" w14:textId="77777777" w:rsidR="0006079E" w:rsidRDefault="0006079E" w:rsidP="0006079E">
            <w:r>
              <w:t>Klaipėdos miesto savivaldybės</w:t>
            </w:r>
          </w:p>
        </w:tc>
      </w:tr>
      <w:tr w:rsidR="0006079E" w14:paraId="45713F0D" w14:textId="77777777" w:rsidTr="00C57681">
        <w:tc>
          <w:tcPr>
            <w:tcW w:w="3969" w:type="dxa"/>
          </w:tcPr>
          <w:p w14:paraId="45713F0C"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45713F0F" w14:textId="77777777" w:rsidTr="00C57681">
        <w:tc>
          <w:tcPr>
            <w:tcW w:w="3969" w:type="dxa"/>
          </w:tcPr>
          <w:p w14:paraId="45713F0E"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T2-140</w:t>
            </w:r>
            <w:bookmarkEnd w:id="2"/>
          </w:p>
        </w:tc>
      </w:tr>
    </w:tbl>
    <w:p w14:paraId="45713F10" w14:textId="77777777" w:rsidR="00832CC9" w:rsidRPr="00F72A1E" w:rsidRDefault="00832CC9" w:rsidP="0006079E">
      <w:pPr>
        <w:jc w:val="center"/>
      </w:pPr>
    </w:p>
    <w:p w14:paraId="45713F11" w14:textId="77777777" w:rsidR="00832CC9" w:rsidRPr="00F72A1E" w:rsidRDefault="00832CC9" w:rsidP="0006079E">
      <w:pPr>
        <w:jc w:val="center"/>
      </w:pPr>
    </w:p>
    <w:p w14:paraId="45713F12" w14:textId="77777777" w:rsidR="001E6959" w:rsidRDefault="001E6959" w:rsidP="001E6959">
      <w:pPr>
        <w:tabs>
          <w:tab w:val="left" w:pos="14656"/>
        </w:tabs>
        <w:overflowPunct w:val="0"/>
        <w:jc w:val="center"/>
        <w:textAlignment w:val="baseline"/>
        <w:rPr>
          <w:b/>
          <w:lang w:eastAsia="lt-LT"/>
        </w:rPr>
      </w:pPr>
      <w:r>
        <w:rPr>
          <w:b/>
          <w:lang w:eastAsia="lt-LT"/>
        </w:rPr>
        <w:t>KLAIPĖDOS „VYTURIO“ PROGIMNAZIJOS 2020 METŲ VEIKLOS ATASKAITA</w:t>
      </w:r>
    </w:p>
    <w:p w14:paraId="45713F13" w14:textId="77777777" w:rsidR="001E6959" w:rsidRDefault="001E6959" w:rsidP="001E6959">
      <w:pPr>
        <w:jc w:val="both"/>
      </w:pPr>
    </w:p>
    <w:p w14:paraId="45713F14" w14:textId="77777777" w:rsidR="001E6959" w:rsidRDefault="001E6959" w:rsidP="001E6959">
      <w:pPr>
        <w:autoSpaceDE w:val="0"/>
        <w:autoSpaceDN w:val="0"/>
        <w:adjustRightInd w:val="0"/>
        <w:ind w:firstLine="731"/>
        <w:jc w:val="both"/>
        <w:rPr>
          <w:color w:val="000000" w:themeColor="text1"/>
        </w:rPr>
      </w:pPr>
      <w:r>
        <w:rPr>
          <w:color w:val="000000" w:themeColor="text1"/>
        </w:rPr>
        <w:t xml:space="preserve">Klaipėdos ,,Vyturio“ progimnazijos (toliau – Progimnazija) 2020–2022-ųjų metų strateginio ir 2020 metų veiklos </w:t>
      </w:r>
      <w:r>
        <w:t>planuose numatyti tikslai ir uždaviniai buvo orientuoti į bendrojo ugdymo, vaikų švietimo</w:t>
      </w:r>
      <w:r>
        <w:rPr>
          <w:bCs/>
          <w:shd w:val="clear" w:color="auto" w:fill="FFFFFF"/>
        </w:rPr>
        <w:t xml:space="preserve"> paslaugų kokybę bei jų prieinamumą</w:t>
      </w:r>
      <w:r>
        <w:rPr>
          <w:bCs/>
          <w:color w:val="000000" w:themeColor="text1"/>
          <w:shd w:val="clear" w:color="auto" w:fill="FFFFFF"/>
        </w:rPr>
        <w:t xml:space="preserve">, grįžusių iš užsienio mokinių integraciją, </w:t>
      </w:r>
      <w:r>
        <w:rPr>
          <w:color w:val="000000" w:themeColor="text1"/>
        </w:rPr>
        <w:t>kryptingą mokinių meninį (muzikinį) ugdymą.</w:t>
      </w:r>
    </w:p>
    <w:p w14:paraId="45713F15" w14:textId="77777777" w:rsidR="001E6959" w:rsidRDefault="001E6959" w:rsidP="001E6959">
      <w:pPr>
        <w:autoSpaceDE w:val="0"/>
        <w:autoSpaceDN w:val="0"/>
        <w:adjustRightInd w:val="0"/>
        <w:ind w:firstLine="731"/>
        <w:jc w:val="both"/>
        <w:rPr>
          <w:color w:val="000000" w:themeColor="text1"/>
        </w:rPr>
      </w:pPr>
      <w:r>
        <w:rPr>
          <w:color w:val="000000" w:themeColor="text1"/>
        </w:rPr>
        <w:t xml:space="preserve">Pasirinkta 2020 m. prioritetinė kryptis </w:t>
      </w:r>
      <w:r>
        <w:rPr>
          <w:bCs/>
          <w:color w:val="000000" w:themeColor="text1"/>
        </w:rPr>
        <w:t xml:space="preserve">– </w:t>
      </w:r>
      <w:r>
        <w:rPr>
          <w:color w:val="000000" w:themeColor="text1"/>
        </w:rPr>
        <w:t xml:space="preserve">skatinti Progimnazijos bendruomenę nuolatiniam bendradarbiavimui, siekiant ugdymo kokybės ir visų veiklų dermės; siekti ugdymo(si) kokybės, diegiant kolegialų grįžtamąjį ryšį, padedantį pedagoginei bendruomenei suartėti ir tobulėti, gilinant bendruomenės narių lyderystės ir pokyčių valdymo kompetencijas. Tikslui pasiekti buvo numatyti ir įgyvendinti 3 uždaviniai: </w:t>
      </w:r>
      <w:r>
        <w:rPr>
          <w:color w:val="000000" w:themeColor="text1"/>
          <w:lang w:eastAsia="lt-LT"/>
        </w:rPr>
        <w:t xml:space="preserve">stebėti vaiko asmens ūgties individualią pažangą, bendrųjų kompetencijų ugdymą, </w:t>
      </w:r>
      <w:r>
        <w:rPr>
          <w:lang w:eastAsia="lt-LT"/>
        </w:rPr>
        <w:t xml:space="preserve">skatinant saviraiškų dalyvavimą </w:t>
      </w:r>
      <w:r>
        <w:rPr>
          <w:color w:val="000000" w:themeColor="text1"/>
          <w:lang w:eastAsia="lt-LT"/>
        </w:rPr>
        <w:t>mokyklos gyvenime, puoselėti teigiamą Progimnazijos bendruomenės mikroklimatą.</w:t>
      </w:r>
    </w:p>
    <w:p w14:paraId="45713F16" w14:textId="77777777" w:rsidR="001E6959" w:rsidRDefault="001E6959" w:rsidP="001E6959">
      <w:pPr>
        <w:autoSpaceDE w:val="0"/>
        <w:autoSpaceDN w:val="0"/>
        <w:adjustRightInd w:val="0"/>
        <w:ind w:firstLine="731"/>
        <w:jc w:val="both"/>
        <w:rPr>
          <w:color w:val="000000" w:themeColor="text1"/>
        </w:rPr>
      </w:pPr>
      <w:r>
        <w:rPr>
          <w:color w:val="000000" w:themeColor="text1"/>
        </w:rPr>
        <w:t>Vadybiniai siekiai 20</w:t>
      </w:r>
      <w:r>
        <w:rPr>
          <w:color w:val="000000" w:themeColor="text1"/>
          <w:lang w:val="en-US"/>
        </w:rPr>
        <w:t>2</w:t>
      </w:r>
      <w:r>
        <w:rPr>
          <w:color w:val="000000" w:themeColor="text1"/>
        </w:rPr>
        <w:t xml:space="preserve">0 m. buvo orientuoti į </w:t>
      </w:r>
      <w:r>
        <w:t xml:space="preserve">Progimnazijos veiklos </w:t>
      </w:r>
      <w:r>
        <w:rPr>
          <w:color w:val="000000" w:themeColor="text1"/>
        </w:rPr>
        <w:t>reglamentavimo atitiktį, pasikeitus teisės aktams, individualios mokinio pažangos sistemos tobulinimą, Progimnazijos bendruomenės teigiamo mikroklimato ir darbuotojų pasitikėjimo savo darbu stiprinimą bei pasidalintosios lyderystės skatinimą, vykdant patyriminio ugdymo veiklas.</w:t>
      </w:r>
    </w:p>
    <w:p w14:paraId="45713F17" w14:textId="77777777" w:rsidR="001E6959" w:rsidRDefault="001E6959" w:rsidP="001E6959">
      <w:pPr>
        <w:autoSpaceDE w:val="0"/>
        <w:autoSpaceDN w:val="0"/>
        <w:adjustRightInd w:val="0"/>
        <w:ind w:firstLine="731"/>
        <w:jc w:val="both"/>
        <w:rPr>
          <w:highlight w:val="green"/>
          <w:shd w:val="clear" w:color="auto" w:fill="FFFFFF"/>
          <w:lang w:eastAsia="lt-LT"/>
        </w:rPr>
      </w:pPr>
      <w:r>
        <w:t>2020 metais pasiekti švietimo paslaugų kiekybiniai pokyčiai, gerėjo mokinių mokymosi pažanga 2020-09-01 duomenimis ugdyti 502 mokiniai (2019 m. – 486), užtikrintas nenutrūkstamas pradinio, pagrindinio ugdymo I dalies programų įgyvendinimas. Dirbo 50 pedagogų, 5 specialistai, 26 nepedagoginiai darbuotojai. Įgyvendintos 34 neformaliojo vaikų švietimo programos, kuriose dalyvavo</w:t>
      </w:r>
      <w:r>
        <w:rPr>
          <w:lang w:eastAsia="lt-LT"/>
        </w:rPr>
        <w:t xml:space="preserve"> </w:t>
      </w:r>
      <w:bookmarkStart w:id="3" w:name="_Hlk67482329"/>
      <w:r>
        <w:t>87 %</w:t>
      </w:r>
      <w:bookmarkEnd w:id="3"/>
      <w:r>
        <w:t xml:space="preserve"> mokinių (</w:t>
      </w:r>
      <w:r>
        <w:rPr>
          <w:lang w:eastAsia="lt-LT"/>
        </w:rPr>
        <w:t xml:space="preserve">2019 m. – </w:t>
      </w:r>
      <w:r>
        <w:t>80 %</w:t>
      </w:r>
      <w:r>
        <w:rPr>
          <w:lang w:eastAsia="lt-LT"/>
        </w:rPr>
        <w:t xml:space="preserve">). </w:t>
      </w:r>
      <w:r>
        <w:t>S</w:t>
      </w:r>
      <w:r>
        <w:rPr>
          <w:lang w:eastAsia="lt-LT"/>
        </w:rPr>
        <w:t xml:space="preserve">ėkmingą 2020 metų veiklos plano įgyvendinimą rodo ir mokinių pasiekimai. 100 </w:t>
      </w:r>
      <w:r>
        <w:t xml:space="preserve">% </w:t>
      </w:r>
      <w:r>
        <w:rPr>
          <w:lang w:eastAsia="lt-LT"/>
        </w:rPr>
        <w:t xml:space="preserve">mokinių gavo pradinio (86) ir pagrindinio ugdymo I dalies (49) išsilavinimo pažymėjimus. 5–8 klasėse aukštesnįjį lygį (9–10 balų) pasiekė 15 mokinių. Gerai besimokančių mokinių buvo 11. </w:t>
      </w:r>
      <w:r>
        <w:rPr>
          <w:shd w:val="clear" w:color="auto" w:fill="FFFFFF"/>
          <w:lang w:eastAsia="lt-LT"/>
        </w:rPr>
        <w:t>Progimnazijoje vykdomas kryptingas meninis (muzikinis) ugdymas. Muzikinio ugdymo programose 2020 m. dalyvavo 371 mokinys.</w:t>
      </w:r>
    </w:p>
    <w:p w14:paraId="45713F18" w14:textId="77777777" w:rsidR="001E6959" w:rsidRDefault="001E6959" w:rsidP="001E6959">
      <w:pPr>
        <w:shd w:val="clear" w:color="auto" w:fill="FFFFFF"/>
        <w:ind w:firstLine="731"/>
        <w:jc w:val="both"/>
        <w:rPr>
          <w:strike/>
        </w:rPr>
      </w:pPr>
      <w:r>
        <w:rPr>
          <w:rFonts w:eastAsia="Calibri"/>
        </w:rPr>
        <w:t>Progimnazijoje buvo užtikrinta sisteminė pagalba mokiniams: pagalbą teikė specialusis pedagogas, logopedas, socialinis pedagogas, psichologas,</w:t>
      </w:r>
      <w:r>
        <w:rPr>
          <w:lang w:eastAsia="lt-LT"/>
        </w:rPr>
        <w:t xml:space="preserve"> dirbo 6 mokytojų padėjėjai</w:t>
      </w:r>
      <w:r>
        <w:rPr>
          <w:rFonts w:eastAsia="Calibri"/>
        </w:rPr>
        <w:t xml:space="preserve">. </w:t>
      </w:r>
      <w:r>
        <w:t xml:space="preserve">Mokyklos psichologas įgyvendino „Tėvystės įgūdžių“ programą, teikė </w:t>
      </w:r>
      <w:r>
        <w:rPr>
          <w:lang w:eastAsia="lt-LT"/>
        </w:rPr>
        <w:t>psichologines konsultacijas tėvams, mokiniams, mokytojams</w:t>
      </w:r>
      <w:r>
        <w:t>.</w:t>
      </w:r>
      <w:r>
        <w:rPr>
          <w:lang w:eastAsia="lt-LT"/>
        </w:rPr>
        <w:t xml:space="preserve"> 2020 m. mokėsi 52 mokiniai, turintys specialiųjų ugdymosi poreikių. </w:t>
      </w:r>
      <w:r>
        <w:rPr>
          <w:lang w:val="en-GB"/>
        </w:rPr>
        <w:t xml:space="preserve">53 </w:t>
      </w:r>
      <w:r>
        <w:t xml:space="preserve">mokiniams teikta logopedo, 27 – specialioji pedagoginė pagalba. </w:t>
      </w:r>
    </w:p>
    <w:p w14:paraId="45713F19" w14:textId="77777777" w:rsidR="001E6959" w:rsidRDefault="001E6959" w:rsidP="001E6959">
      <w:pPr>
        <w:autoSpaceDE w:val="0"/>
        <w:autoSpaceDN w:val="0"/>
        <w:adjustRightInd w:val="0"/>
        <w:ind w:firstLine="740"/>
        <w:jc w:val="both"/>
      </w:pPr>
      <w:r>
        <w:rPr>
          <w:rFonts w:eastAsia="Calibri"/>
        </w:rPr>
        <w:t>2020 metais kiekvienas pedagoginis darbuotojas kompetencijas tobulino vidutiniškai 5 dienas. Mokytojai dalyvavo kvalifikacijos tobulinimo renginiuose,</w:t>
      </w:r>
      <w:r>
        <w:t xml:space="preserve"> organizuoti 4 bendri kvalifikacijos tobulinimo mokymai. </w:t>
      </w:r>
      <w:r>
        <w:rPr>
          <w:rFonts w:ascii="Arial" w:hAnsi="Arial" w:cs="Arial"/>
          <w:b/>
          <w:bCs/>
          <w:sz w:val="20"/>
          <w:szCs w:val="20"/>
        </w:rPr>
        <w:t xml:space="preserve"> </w:t>
      </w:r>
      <w:r>
        <w:rPr>
          <w:rFonts w:eastAsia="Calibri"/>
        </w:rPr>
        <w:t>Pedagogai sėkmingai dalijosi gerąja patirtimi: per metus parengė ir įgyvendino miesto lygmens kvalifikacijos tobulinimo 2 programas, skaitė 2 pranešimus respublikinėje konferencijoje. Organizuota 15 atvirų veiklų,</w:t>
      </w:r>
      <w:r>
        <w:t xml:space="preserve"> </w:t>
      </w:r>
      <w:r>
        <w:rPr>
          <w:rFonts w:eastAsia="Calibri"/>
        </w:rPr>
        <w:t xml:space="preserve">organizuota 100 edukacinių išvykų, 50 tradicinių ir netradicinių renginių, kuriuose dalyvavo Progimnazijos pedagogai, ugdytiniai ir jų tėvai. 11 mokinių tapo </w:t>
      </w:r>
      <w:r>
        <w:rPr>
          <w:rFonts w:eastAsia="Calibri"/>
          <w:color w:val="FF0000"/>
        </w:rPr>
        <w:t xml:space="preserve"> </w:t>
      </w:r>
      <w:r>
        <w:rPr>
          <w:rFonts w:eastAsia="Calibri"/>
        </w:rPr>
        <w:t xml:space="preserve">tarptautinių, 20 šalies ir 19 miesto konkursų prizinių vietų nugalėtojais.  Buvo sudarytos sąlygos atlikti praktinį mokymą Klaipėdos universiteto studentams, studijuojantiems lietuvių filologijos bei </w:t>
      </w:r>
      <w:bookmarkStart w:id="4" w:name="_Hlk63698517"/>
      <w:r>
        <w:rPr>
          <w:rFonts w:eastAsia="Calibri"/>
        </w:rPr>
        <w:t>kūno kultūros ir sporto pedagogik</w:t>
      </w:r>
      <w:bookmarkEnd w:id="4"/>
      <w:r>
        <w:rPr>
          <w:rFonts w:eastAsia="Calibri"/>
        </w:rPr>
        <w:t>os studijas.</w:t>
      </w:r>
    </w:p>
    <w:p w14:paraId="45713F1A" w14:textId="77777777" w:rsidR="001E6959" w:rsidRDefault="001E6959" w:rsidP="001E6959">
      <w:pPr>
        <w:spacing w:line="252" w:lineRule="auto"/>
        <w:ind w:firstLine="720"/>
        <w:jc w:val="both"/>
        <w:rPr>
          <w:color w:val="000000"/>
          <w:lang w:eastAsia="lt-LT"/>
        </w:rPr>
      </w:pPr>
      <w:r>
        <w:t>Įgyvendinant 2020 m. veiklos planą, didelis dėmesys skirtas projektinei veiklai. 2020 m. vykdytas 1 tarptautinis (gauta suma 9,6 tūkst. eurų) bei 3 Klaipėdos miesto savivaldybės finansuojamos neformaliojo vaikų švietimo programos (bendra suma 12,0 tūkst. eurų). Dalyvaudami Goethe‘s instituto organizuotame projekte „CLILiG – integruotas vokiečių kalbos ir dalyko mokymas(is) Lietuvoje“, 5 klasių mokiniai turėjo</w:t>
      </w:r>
      <w:r>
        <w:rPr>
          <w:color w:val="222222"/>
          <w:shd w:val="clear" w:color="auto" w:fill="FFFFFF"/>
        </w:rPr>
        <w:t xml:space="preserve"> galimybę ugdytis bendradarbiavimo, tolerancijos ir kritinio bei kūrybinio mąstymo kompetencijas. </w:t>
      </w:r>
      <w:r>
        <w:rPr>
          <w:color w:val="000000"/>
          <w:lang w:eastAsia="lt-LT"/>
        </w:rPr>
        <w:t xml:space="preserve">Daug įvairių įdomių veiklų vyko įgyvendinant </w:t>
      </w:r>
      <w:r>
        <w:rPr>
          <w:color w:val="000000" w:themeColor="text1"/>
        </w:rPr>
        <w:t xml:space="preserve">e </w:t>
      </w:r>
      <w:r>
        <w:rPr>
          <w:color w:val="000000" w:themeColor="text1"/>
        </w:rPr>
        <w:lastRenderedPageBreak/>
        <w:t>TWINING</w:t>
      </w:r>
      <w:r>
        <w:t xml:space="preserve"> bei Erasmus+ </w:t>
      </w:r>
      <w:hyperlink r:id="rId7" w:tgtFrame="_blank" w:history="1">
        <w:r>
          <w:rPr>
            <w:rStyle w:val="Hipersaitas"/>
          </w:rPr>
          <w:t>„Green World – Happy People“</w:t>
        </w:r>
      </w:hyperlink>
      <w:r>
        <w:t xml:space="preserve">, </w:t>
      </w:r>
      <w:r>
        <w:rPr>
          <w:color w:val="000000"/>
          <w:lang w:eastAsia="lt-LT"/>
        </w:rPr>
        <w:t>projektus. Pastarojo projekto veiklos tęsiamos ir 2020–2021 m. m. Aktyviai Progimnazijos mokiniai įsijungė į respublikinius projektus: „Sveikatiada“, „</w:t>
      </w:r>
      <w:r>
        <w:rPr>
          <w:color w:val="000000" w:themeColor="text1"/>
        </w:rPr>
        <w:t>Solidarumo bėgimas</w:t>
      </w:r>
      <w:r>
        <w:t>“</w:t>
      </w:r>
      <w:r>
        <w:rPr>
          <w:lang w:eastAsia="lt-LT"/>
        </w:rPr>
        <w:t xml:space="preserve">. Siekiant </w:t>
      </w:r>
      <w:r>
        <w:rPr>
          <w:color w:val="000000"/>
          <w:lang w:eastAsia="lt-LT"/>
        </w:rPr>
        <w:t>įdomesnių pamokų, u</w:t>
      </w:r>
      <w:r>
        <w:t>gdant mokinių pilietiškumą, atsakomybę, bendruomeniškumą įvyko visi suplanuoti tradiciniai renginiai,</w:t>
      </w:r>
      <w:r>
        <w:rPr>
          <w:color w:val="000000" w:themeColor="text1"/>
        </w:rPr>
        <w:t xml:space="preserve"> </w:t>
      </w:r>
      <w:r>
        <w:t xml:space="preserve">paminėtos valstybinės ir tautinės šventės, </w:t>
      </w:r>
      <w:r>
        <w:rPr>
          <w:rFonts w:eastAsia="Calibri"/>
        </w:rPr>
        <w:t xml:space="preserve">į ugdymo procesą įtraukiami socialiniai partneriai. </w:t>
      </w:r>
      <w:r>
        <w:rPr>
          <w:color w:val="000000" w:themeColor="text1"/>
          <w:lang w:eastAsia="lt-LT"/>
        </w:rPr>
        <w:t>Bendradarbiaujant su Klaipėdos miesto 8 lopšeliais-darželiais, 2 pradinėmis, 2 profesinėmis mokyklomis bei „Varpo“ gimnazija vyko bendri projektai, akcijos.</w:t>
      </w:r>
    </w:p>
    <w:p w14:paraId="45713F1B" w14:textId="77777777" w:rsidR="001E6959" w:rsidRDefault="001E6959" w:rsidP="001E6959">
      <w:pPr>
        <w:ind w:left="29" w:firstLine="709"/>
        <w:jc w:val="both"/>
      </w:pPr>
      <w:r>
        <w:t>Progimnazija pasiruošė ir įgyvendino priemones, susijusias su nuotolinio mokymo(si) iššūkiais. Buvo atliktas nuotolinio mokymo(si) įsivertinimas, t. y., įvykdytos tėvų, mokinių ir mokytojų anketinės apklausos, kurios atskleidė, kad Progimnazijoje labai gerai ir gerai vyko nuotolinio ugdymo procesas. Konstatuotina, kad pagerėjo daugumos mokinių mokėjimo mokytis kompetencijos, nes nuotolinis mokymas(is) suteikė galimybę mokiniams pasitikrinti, kaip geba valdyti laiką, atlikti užduotis, reikalingų mokymosi šaltinių paiešką, tartis su mokytoju apie mokymosi užduočių aktualumą, prasmingumą, pritaikymą. Progimnazijoje padidėjo iš užsienio sugrįžusių mokinių skaičius (2020 m. m. – 16 mokinių, 2019 m. m. – 10 mokinių). Parengtos rekomendacijos mokytojams, tėvams ir mokiniams, siekiant užtikrinti sėkmingą iš užsienio sugrįžusių mokinių integraciją.</w:t>
      </w:r>
    </w:p>
    <w:p w14:paraId="45713F1C" w14:textId="77777777" w:rsidR="001E6959" w:rsidRDefault="001E6959" w:rsidP="001E6959">
      <w:pPr>
        <w:ind w:left="29" w:firstLine="709"/>
        <w:jc w:val="both"/>
      </w:pPr>
      <w:r>
        <w:t>Didelis dėmesys buvo skiriamas mokinio individualiai pažangai, diferencijuotam ugdymui, taikytos įvairios pagalbos priemonės bei būdai. 2020 metais, tenkinant mokinių poreikius gabiesiems mokiniams ir mokiniams, kuriems reikalinga pagalba, skirtos ilgalaikių lietuvių kalbos, matematikos konsultacijos, 6 ilgalaikės konsultacijos grįžusiems iš užsienio mokiniams, 32 trumpalaikės konsultacijos mokymosi spragoms šalinti, ruošiant mokinius konkursams, olimpiadoms.</w:t>
      </w:r>
    </w:p>
    <w:p w14:paraId="45713F1D" w14:textId="77777777" w:rsidR="001E6959" w:rsidRDefault="001E6959" w:rsidP="001E6959">
      <w:pPr>
        <w:ind w:left="29" w:firstLine="702"/>
        <w:jc w:val="both"/>
        <w:rPr>
          <w:lang w:eastAsia="lt-LT"/>
        </w:rPr>
      </w:pPr>
      <w:r>
        <w:rPr>
          <w:rFonts w:eastAsia="Calibri"/>
        </w:rPr>
        <w:t>2020 m. savivaldybės lėšomis buvo vykdyti Progimnazijoje materialinio turto remonto darbai (2919,88 Eur). Pakeistos žaliuzės kabinetuose (64 m², 1159,96 Eur). Suremontuota Progimnazijos fojė, kurios remonto paslaugoms bei priemonėms išleista 22109,18 Eur. Fojė pagrindinės sienos tapybai išleista 3900 Eur. Įsigytas ilgalaikis turtas – oro kondicionieriai (7 vnt.) už 8049,46 Eur. Taip pat atnaujintas mokytojų kambarys bei įrengta edukacinė erdvė mokiniams ,,Piešimas ant sienų“.</w:t>
      </w:r>
    </w:p>
    <w:p w14:paraId="45713F1E" w14:textId="77777777" w:rsidR="001E6959" w:rsidRDefault="001E6959" w:rsidP="001E6959">
      <w:pPr>
        <w:ind w:left="29" w:firstLine="702"/>
        <w:jc w:val="both"/>
      </w:pPr>
      <w:r>
        <w:rPr>
          <w:rFonts w:eastAsia="Calibri"/>
        </w:rPr>
        <w:t>Iš mokymo lėšų 2020 m. buvo įsigyta vadovėlių ir mokymo priemonių už 8905,95 Eur</w:t>
      </w:r>
      <w:r>
        <w:t>, įsigyta informacinių technologijų priemonių: interaktyvus ekranas (</w:t>
      </w:r>
      <w:r>
        <w:rPr>
          <w:lang w:val="en-US"/>
        </w:rPr>
        <w:t>2</w:t>
      </w:r>
      <w:r>
        <w:t xml:space="preserve"> vnt.), kompiuteriai (10 vnt.), spausdintuvas (1 vnt.). Pagal paramos sutartį iš Nacionalinės švietimo agentūros gauti planšetiniai kompiuteriai už 7080,92 Eur (38 vnt.) ir nešiojami kompiuteriai už 3455,76 Eur (6 vnt.).</w:t>
      </w:r>
    </w:p>
    <w:p w14:paraId="45713F1F" w14:textId="77777777" w:rsidR="001E6959" w:rsidRDefault="001E6959" w:rsidP="001E6959">
      <w:pPr>
        <w:ind w:firstLine="731"/>
        <w:jc w:val="both"/>
        <w:rPr>
          <w:b/>
        </w:rPr>
      </w:pPr>
      <w:r>
        <w:t>Finansinė informacija:</w:t>
      </w:r>
    </w:p>
    <w:tbl>
      <w:tblPr>
        <w:tblStyle w:val="Lentelstinklelis"/>
        <w:tblW w:w="9630" w:type="dxa"/>
        <w:tblLayout w:type="fixed"/>
        <w:tblLook w:val="04A0" w:firstRow="1" w:lastRow="0" w:firstColumn="1" w:lastColumn="0" w:noHBand="0" w:noVBand="1"/>
      </w:tblPr>
      <w:tblGrid>
        <w:gridCol w:w="1838"/>
        <w:gridCol w:w="1557"/>
        <w:gridCol w:w="1275"/>
        <w:gridCol w:w="1421"/>
        <w:gridCol w:w="3539"/>
      </w:tblGrid>
      <w:tr w:rsidR="001E6959" w14:paraId="45713F25" w14:textId="77777777" w:rsidTr="001E6959">
        <w:tc>
          <w:tcPr>
            <w:tcW w:w="1838" w:type="dxa"/>
            <w:vMerge w:val="restart"/>
            <w:tcBorders>
              <w:top w:val="single" w:sz="4" w:space="0" w:color="auto"/>
              <w:left w:val="single" w:sz="4" w:space="0" w:color="auto"/>
              <w:bottom w:val="single" w:sz="4" w:space="0" w:color="auto"/>
              <w:right w:val="single" w:sz="4" w:space="0" w:color="auto"/>
            </w:tcBorders>
            <w:hideMark/>
          </w:tcPr>
          <w:p w14:paraId="45713F20" w14:textId="77777777" w:rsidR="001E6959" w:rsidRDefault="001E6959">
            <w:pPr>
              <w:jc w:val="center"/>
            </w:pPr>
            <w:r>
              <w:t>Finansavimo šaltinis</w:t>
            </w:r>
          </w:p>
        </w:tc>
        <w:tc>
          <w:tcPr>
            <w:tcW w:w="4255" w:type="dxa"/>
            <w:gridSpan w:val="3"/>
            <w:tcBorders>
              <w:top w:val="single" w:sz="4" w:space="0" w:color="auto"/>
              <w:left w:val="single" w:sz="4" w:space="0" w:color="auto"/>
              <w:bottom w:val="single" w:sz="4" w:space="0" w:color="auto"/>
              <w:right w:val="single" w:sz="4" w:space="0" w:color="auto"/>
            </w:tcBorders>
            <w:hideMark/>
          </w:tcPr>
          <w:p w14:paraId="45713F21" w14:textId="77777777" w:rsidR="001E6959" w:rsidRDefault="001E6959">
            <w:pPr>
              <w:jc w:val="center"/>
            </w:pPr>
            <w:r>
              <w:t>Lėšos (tūkst. eurų)</w:t>
            </w:r>
          </w:p>
        </w:tc>
        <w:tc>
          <w:tcPr>
            <w:tcW w:w="3541" w:type="dxa"/>
            <w:vMerge w:val="restart"/>
            <w:tcBorders>
              <w:top w:val="single" w:sz="4" w:space="0" w:color="auto"/>
              <w:left w:val="single" w:sz="4" w:space="0" w:color="auto"/>
              <w:bottom w:val="single" w:sz="4" w:space="0" w:color="auto"/>
              <w:right w:val="single" w:sz="4" w:space="0" w:color="auto"/>
            </w:tcBorders>
          </w:tcPr>
          <w:p w14:paraId="45713F22" w14:textId="77777777" w:rsidR="001E6959" w:rsidRDefault="001E6959">
            <w:pPr>
              <w:jc w:val="center"/>
            </w:pPr>
            <w:r>
              <w:t>Pastabos</w:t>
            </w:r>
          </w:p>
          <w:p w14:paraId="45713F23" w14:textId="77777777" w:rsidR="001E6959" w:rsidRDefault="001E6959">
            <w:pPr>
              <w:jc w:val="center"/>
            </w:pPr>
            <w:r>
              <w:t>(tūkst. eurų)</w:t>
            </w:r>
          </w:p>
          <w:p w14:paraId="45713F24" w14:textId="77777777" w:rsidR="001E6959" w:rsidRDefault="001E6959">
            <w:pPr>
              <w:jc w:val="center"/>
            </w:pPr>
          </w:p>
        </w:tc>
      </w:tr>
      <w:tr w:rsidR="001E6959" w14:paraId="45713F2B" w14:textId="77777777" w:rsidTr="001E6959">
        <w:tc>
          <w:tcPr>
            <w:tcW w:w="6093" w:type="dxa"/>
            <w:vMerge/>
            <w:tcBorders>
              <w:top w:val="single" w:sz="4" w:space="0" w:color="auto"/>
              <w:left w:val="single" w:sz="4" w:space="0" w:color="auto"/>
              <w:bottom w:val="single" w:sz="4" w:space="0" w:color="auto"/>
              <w:right w:val="single" w:sz="4" w:space="0" w:color="auto"/>
            </w:tcBorders>
            <w:vAlign w:val="center"/>
            <w:hideMark/>
          </w:tcPr>
          <w:p w14:paraId="45713F26" w14:textId="77777777" w:rsidR="001E6959" w:rsidRDefault="001E6959"/>
        </w:tc>
        <w:tc>
          <w:tcPr>
            <w:tcW w:w="1558" w:type="dxa"/>
            <w:tcBorders>
              <w:top w:val="single" w:sz="4" w:space="0" w:color="auto"/>
              <w:left w:val="single" w:sz="4" w:space="0" w:color="auto"/>
              <w:bottom w:val="single" w:sz="4" w:space="0" w:color="auto"/>
              <w:right w:val="single" w:sz="4" w:space="0" w:color="auto"/>
            </w:tcBorders>
            <w:hideMark/>
          </w:tcPr>
          <w:p w14:paraId="45713F27" w14:textId="77777777" w:rsidR="001E6959" w:rsidRDefault="001E6959">
            <w:pPr>
              <w:jc w:val="center"/>
            </w:pPr>
            <w:r>
              <w:t>Planas (patikslintas)</w:t>
            </w:r>
          </w:p>
        </w:tc>
        <w:tc>
          <w:tcPr>
            <w:tcW w:w="1275" w:type="dxa"/>
            <w:tcBorders>
              <w:top w:val="single" w:sz="4" w:space="0" w:color="auto"/>
              <w:left w:val="single" w:sz="4" w:space="0" w:color="auto"/>
              <w:bottom w:val="single" w:sz="4" w:space="0" w:color="auto"/>
              <w:right w:val="single" w:sz="4" w:space="0" w:color="auto"/>
            </w:tcBorders>
            <w:hideMark/>
          </w:tcPr>
          <w:p w14:paraId="45713F28" w14:textId="77777777" w:rsidR="001E6959" w:rsidRDefault="001E6959">
            <w:pPr>
              <w:jc w:val="center"/>
            </w:pPr>
            <w:r>
              <w:t>Panaudota lėšų</w:t>
            </w:r>
          </w:p>
        </w:tc>
        <w:tc>
          <w:tcPr>
            <w:tcW w:w="1422" w:type="dxa"/>
            <w:tcBorders>
              <w:top w:val="single" w:sz="4" w:space="0" w:color="auto"/>
              <w:left w:val="single" w:sz="4" w:space="0" w:color="auto"/>
              <w:bottom w:val="single" w:sz="4" w:space="0" w:color="auto"/>
              <w:right w:val="single" w:sz="4" w:space="0" w:color="auto"/>
            </w:tcBorders>
            <w:hideMark/>
          </w:tcPr>
          <w:p w14:paraId="45713F29" w14:textId="77777777" w:rsidR="001E6959" w:rsidRDefault="001E6959">
            <w:pPr>
              <w:jc w:val="center"/>
            </w:pPr>
            <w:r>
              <w:t>Įvykdymas (%)</w:t>
            </w:r>
          </w:p>
        </w:tc>
        <w:tc>
          <w:tcPr>
            <w:tcW w:w="3541" w:type="dxa"/>
            <w:vMerge/>
            <w:tcBorders>
              <w:top w:val="single" w:sz="4" w:space="0" w:color="auto"/>
              <w:left w:val="single" w:sz="4" w:space="0" w:color="auto"/>
              <w:bottom w:val="single" w:sz="4" w:space="0" w:color="auto"/>
              <w:right w:val="single" w:sz="4" w:space="0" w:color="auto"/>
            </w:tcBorders>
            <w:vAlign w:val="center"/>
            <w:hideMark/>
          </w:tcPr>
          <w:p w14:paraId="45713F2A" w14:textId="77777777" w:rsidR="001E6959" w:rsidRDefault="001E6959"/>
        </w:tc>
      </w:tr>
      <w:tr w:rsidR="001E6959" w14:paraId="45713F31" w14:textId="77777777" w:rsidTr="001E6959">
        <w:trPr>
          <w:trHeight w:val="415"/>
        </w:trPr>
        <w:tc>
          <w:tcPr>
            <w:tcW w:w="1838" w:type="dxa"/>
            <w:tcBorders>
              <w:top w:val="single" w:sz="4" w:space="0" w:color="auto"/>
              <w:left w:val="single" w:sz="4" w:space="0" w:color="auto"/>
              <w:bottom w:val="single" w:sz="4" w:space="0" w:color="auto"/>
              <w:right w:val="single" w:sz="4" w:space="0" w:color="auto"/>
            </w:tcBorders>
            <w:hideMark/>
          </w:tcPr>
          <w:p w14:paraId="45713F2C" w14:textId="77777777" w:rsidR="001E6959" w:rsidRDefault="001E6959">
            <w:r>
              <w:t>Savivaldybės biudžetas (SB)</w:t>
            </w:r>
          </w:p>
        </w:tc>
        <w:tc>
          <w:tcPr>
            <w:tcW w:w="1558" w:type="dxa"/>
            <w:tcBorders>
              <w:top w:val="single" w:sz="4" w:space="0" w:color="auto"/>
              <w:left w:val="single" w:sz="4" w:space="0" w:color="auto"/>
              <w:bottom w:val="single" w:sz="4" w:space="0" w:color="auto"/>
              <w:right w:val="single" w:sz="4" w:space="0" w:color="auto"/>
            </w:tcBorders>
            <w:hideMark/>
          </w:tcPr>
          <w:p w14:paraId="45713F2D" w14:textId="77777777" w:rsidR="001E6959" w:rsidRDefault="001E6959">
            <w:pPr>
              <w:jc w:val="center"/>
            </w:pPr>
            <w:r>
              <w:t>430,7</w:t>
            </w:r>
          </w:p>
        </w:tc>
        <w:tc>
          <w:tcPr>
            <w:tcW w:w="1275" w:type="dxa"/>
            <w:tcBorders>
              <w:top w:val="single" w:sz="4" w:space="0" w:color="auto"/>
              <w:left w:val="single" w:sz="4" w:space="0" w:color="auto"/>
              <w:bottom w:val="single" w:sz="4" w:space="0" w:color="auto"/>
              <w:right w:val="single" w:sz="4" w:space="0" w:color="auto"/>
            </w:tcBorders>
            <w:hideMark/>
          </w:tcPr>
          <w:p w14:paraId="45713F2E" w14:textId="77777777" w:rsidR="001E6959" w:rsidRDefault="001E6959">
            <w:pPr>
              <w:jc w:val="center"/>
            </w:pPr>
            <w:r>
              <w:t>424,6</w:t>
            </w:r>
          </w:p>
        </w:tc>
        <w:tc>
          <w:tcPr>
            <w:tcW w:w="1422" w:type="dxa"/>
            <w:tcBorders>
              <w:top w:val="single" w:sz="4" w:space="0" w:color="auto"/>
              <w:left w:val="single" w:sz="4" w:space="0" w:color="auto"/>
              <w:bottom w:val="single" w:sz="4" w:space="0" w:color="auto"/>
              <w:right w:val="single" w:sz="4" w:space="0" w:color="auto"/>
            </w:tcBorders>
            <w:hideMark/>
          </w:tcPr>
          <w:p w14:paraId="45713F2F" w14:textId="77777777" w:rsidR="001E6959" w:rsidRDefault="001E6959">
            <w:pPr>
              <w:jc w:val="center"/>
            </w:pPr>
            <w:r>
              <w:t>98,6</w:t>
            </w:r>
          </w:p>
        </w:tc>
        <w:tc>
          <w:tcPr>
            <w:tcW w:w="3541" w:type="dxa"/>
            <w:tcBorders>
              <w:top w:val="single" w:sz="4" w:space="0" w:color="auto"/>
              <w:left w:val="single" w:sz="4" w:space="0" w:color="auto"/>
              <w:bottom w:val="single" w:sz="4" w:space="0" w:color="auto"/>
              <w:right w:val="single" w:sz="4" w:space="0" w:color="auto"/>
            </w:tcBorders>
            <w:hideMark/>
          </w:tcPr>
          <w:p w14:paraId="45713F30" w14:textId="77777777" w:rsidR="001E6959" w:rsidRDefault="001E6959">
            <w:pPr>
              <w:jc w:val="both"/>
            </w:pPr>
            <w:r>
              <w:t>Dėl paskelbto karantino liko nepanaudota 1,4 proc. elektros energijai ir ligos pašalpoms skirtų lėšų</w:t>
            </w:r>
          </w:p>
        </w:tc>
      </w:tr>
      <w:tr w:rsidR="001E6959" w14:paraId="45713F38" w14:textId="77777777" w:rsidTr="001E6959">
        <w:tc>
          <w:tcPr>
            <w:tcW w:w="1838" w:type="dxa"/>
            <w:tcBorders>
              <w:top w:val="single" w:sz="4" w:space="0" w:color="auto"/>
              <w:left w:val="single" w:sz="4" w:space="0" w:color="auto"/>
              <w:bottom w:val="single" w:sz="4" w:space="0" w:color="auto"/>
              <w:right w:val="single" w:sz="4" w:space="0" w:color="auto"/>
            </w:tcBorders>
            <w:hideMark/>
          </w:tcPr>
          <w:p w14:paraId="45713F32" w14:textId="77777777" w:rsidR="001E6959" w:rsidRDefault="001E6959">
            <w:r>
              <w:t>Specialioji tikslinė dotacija (VB)</w:t>
            </w:r>
          </w:p>
        </w:tc>
        <w:tc>
          <w:tcPr>
            <w:tcW w:w="1558" w:type="dxa"/>
            <w:tcBorders>
              <w:top w:val="single" w:sz="4" w:space="0" w:color="auto"/>
              <w:left w:val="single" w:sz="4" w:space="0" w:color="auto"/>
              <w:bottom w:val="single" w:sz="4" w:space="0" w:color="auto"/>
              <w:right w:val="single" w:sz="4" w:space="0" w:color="auto"/>
            </w:tcBorders>
            <w:hideMark/>
          </w:tcPr>
          <w:p w14:paraId="45713F33" w14:textId="77777777" w:rsidR="001E6959" w:rsidRDefault="001E6959">
            <w:pPr>
              <w:jc w:val="center"/>
            </w:pPr>
            <w:r>
              <w:t>840,9</w:t>
            </w:r>
          </w:p>
        </w:tc>
        <w:tc>
          <w:tcPr>
            <w:tcW w:w="1275" w:type="dxa"/>
            <w:tcBorders>
              <w:top w:val="single" w:sz="4" w:space="0" w:color="auto"/>
              <w:left w:val="single" w:sz="4" w:space="0" w:color="auto"/>
              <w:bottom w:val="single" w:sz="4" w:space="0" w:color="auto"/>
              <w:right w:val="single" w:sz="4" w:space="0" w:color="auto"/>
            </w:tcBorders>
            <w:hideMark/>
          </w:tcPr>
          <w:p w14:paraId="45713F34" w14:textId="77777777" w:rsidR="001E6959" w:rsidRDefault="001E6959">
            <w:pPr>
              <w:jc w:val="center"/>
            </w:pPr>
            <w:r>
              <w:t>837,9</w:t>
            </w:r>
          </w:p>
        </w:tc>
        <w:tc>
          <w:tcPr>
            <w:tcW w:w="1422" w:type="dxa"/>
            <w:tcBorders>
              <w:top w:val="single" w:sz="4" w:space="0" w:color="auto"/>
              <w:left w:val="single" w:sz="4" w:space="0" w:color="auto"/>
              <w:bottom w:val="single" w:sz="4" w:space="0" w:color="auto"/>
              <w:right w:val="single" w:sz="4" w:space="0" w:color="auto"/>
            </w:tcBorders>
          </w:tcPr>
          <w:p w14:paraId="45713F35" w14:textId="77777777" w:rsidR="001E6959" w:rsidRDefault="001E6959">
            <w:pPr>
              <w:jc w:val="center"/>
            </w:pPr>
            <w:r>
              <w:t>99,6</w:t>
            </w:r>
          </w:p>
          <w:p w14:paraId="45713F36" w14:textId="77777777" w:rsidR="001E6959" w:rsidRDefault="001E6959">
            <w:pPr>
              <w:jc w:val="center"/>
            </w:pPr>
          </w:p>
        </w:tc>
        <w:tc>
          <w:tcPr>
            <w:tcW w:w="3541" w:type="dxa"/>
            <w:tcBorders>
              <w:top w:val="single" w:sz="4" w:space="0" w:color="auto"/>
              <w:left w:val="single" w:sz="4" w:space="0" w:color="auto"/>
              <w:bottom w:val="single" w:sz="4" w:space="0" w:color="auto"/>
              <w:right w:val="single" w:sz="4" w:space="0" w:color="auto"/>
            </w:tcBorders>
            <w:hideMark/>
          </w:tcPr>
          <w:p w14:paraId="45713F37" w14:textId="77777777" w:rsidR="001E6959" w:rsidRDefault="001E6959">
            <w:pPr>
              <w:jc w:val="both"/>
            </w:pPr>
            <w:r>
              <w:t>Dėl paskelbto karantino liko nepanaudota 0,4 proc. mokinių nemokamam maitinimui skirtų lėšų</w:t>
            </w:r>
          </w:p>
        </w:tc>
      </w:tr>
      <w:tr w:rsidR="001E6959" w14:paraId="45713F40" w14:textId="77777777" w:rsidTr="001E6959">
        <w:tc>
          <w:tcPr>
            <w:tcW w:w="1838" w:type="dxa"/>
            <w:tcBorders>
              <w:top w:val="single" w:sz="4" w:space="0" w:color="auto"/>
              <w:left w:val="single" w:sz="4" w:space="0" w:color="auto"/>
              <w:bottom w:val="single" w:sz="4" w:space="0" w:color="auto"/>
              <w:right w:val="single" w:sz="4" w:space="0" w:color="auto"/>
            </w:tcBorders>
            <w:hideMark/>
          </w:tcPr>
          <w:p w14:paraId="45713F39" w14:textId="77777777" w:rsidR="001E6959" w:rsidRDefault="001E6959">
            <w:r>
              <w:t>Įstaigos gautos pajamos (surinkta pajamų SP), iš jų:</w:t>
            </w:r>
          </w:p>
        </w:tc>
        <w:tc>
          <w:tcPr>
            <w:tcW w:w="1558" w:type="dxa"/>
            <w:tcBorders>
              <w:top w:val="single" w:sz="4" w:space="0" w:color="auto"/>
              <w:left w:val="single" w:sz="4" w:space="0" w:color="auto"/>
              <w:bottom w:val="single" w:sz="4" w:space="0" w:color="auto"/>
              <w:right w:val="single" w:sz="4" w:space="0" w:color="auto"/>
            </w:tcBorders>
          </w:tcPr>
          <w:p w14:paraId="45713F3A" w14:textId="77777777" w:rsidR="001E6959" w:rsidRDefault="001E6959">
            <w:pPr>
              <w:jc w:val="center"/>
            </w:pPr>
            <w:r>
              <w:t>9,2</w:t>
            </w:r>
          </w:p>
          <w:p w14:paraId="45713F3B" w14:textId="77777777" w:rsidR="001E6959" w:rsidRDefault="001E6959">
            <w:pPr>
              <w:jc w:val="center"/>
            </w:pPr>
          </w:p>
        </w:tc>
        <w:tc>
          <w:tcPr>
            <w:tcW w:w="1275" w:type="dxa"/>
            <w:tcBorders>
              <w:top w:val="single" w:sz="4" w:space="0" w:color="auto"/>
              <w:left w:val="single" w:sz="4" w:space="0" w:color="auto"/>
              <w:bottom w:val="single" w:sz="4" w:space="0" w:color="auto"/>
              <w:right w:val="single" w:sz="4" w:space="0" w:color="auto"/>
            </w:tcBorders>
          </w:tcPr>
          <w:p w14:paraId="45713F3C" w14:textId="77777777" w:rsidR="001E6959" w:rsidRDefault="001E6959">
            <w:pPr>
              <w:jc w:val="center"/>
            </w:pPr>
            <w:r>
              <w:t>9,8</w:t>
            </w:r>
          </w:p>
          <w:p w14:paraId="45713F3D" w14:textId="77777777" w:rsidR="001E6959" w:rsidRDefault="001E6959">
            <w:pPr>
              <w:jc w:val="center"/>
            </w:pPr>
          </w:p>
        </w:tc>
        <w:tc>
          <w:tcPr>
            <w:tcW w:w="1422" w:type="dxa"/>
            <w:tcBorders>
              <w:top w:val="single" w:sz="4" w:space="0" w:color="auto"/>
              <w:left w:val="single" w:sz="4" w:space="0" w:color="auto"/>
              <w:bottom w:val="single" w:sz="4" w:space="0" w:color="auto"/>
              <w:right w:val="single" w:sz="4" w:space="0" w:color="auto"/>
            </w:tcBorders>
            <w:hideMark/>
          </w:tcPr>
          <w:p w14:paraId="45713F3E" w14:textId="77777777" w:rsidR="001E6959" w:rsidRDefault="001E6959">
            <w:pPr>
              <w:jc w:val="center"/>
            </w:pPr>
            <w:r>
              <w:t>106,5</w:t>
            </w:r>
          </w:p>
        </w:tc>
        <w:tc>
          <w:tcPr>
            <w:tcW w:w="3541" w:type="dxa"/>
            <w:tcBorders>
              <w:top w:val="single" w:sz="4" w:space="0" w:color="auto"/>
              <w:left w:val="single" w:sz="4" w:space="0" w:color="auto"/>
              <w:bottom w:val="single" w:sz="4" w:space="0" w:color="auto"/>
              <w:right w:val="single" w:sz="4" w:space="0" w:color="auto"/>
            </w:tcBorders>
            <w:hideMark/>
          </w:tcPr>
          <w:p w14:paraId="45713F3F" w14:textId="77777777" w:rsidR="001E6959" w:rsidRDefault="001E6959">
            <w:pPr>
              <w:jc w:val="both"/>
            </w:pPr>
            <w:r>
              <w:t xml:space="preserve">Įvykdymas 106,5 proc., kadangi  atidaryta daugiau pailgintos dienos grupių nei planuota. Papildomai pasirašytos 3 ilgalaikės nuomos sutartys </w:t>
            </w:r>
          </w:p>
        </w:tc>
      </w:tr>
      <w:tr w:rsidR="001E6959" w14:paraId="45713F47" w14:textId="77777777" w:rsidTr="001E6959">
        <w:trPr>
          <w:trHeight w:val="311"/>
        </w:trPr>
        <w:tc>
          <w:tcPr>
            <w:tcW w:w="1838" w:type="dxa"/>
            <w:tcBorders>
              <w:top w:val="single" w:sz="4" w:space="0" w:color="auto"/>
              <w:left w:val="single" w:sz="4" w:space="0" w:color="auto"/>
              <w:bottom w:val="single" w:sz="4" w:space="0" w:color="auto"/>
              <w:right w:val="single" w:sz="4" w:space="0" w:color="auto"/>
            </w:tcBorders>
            <w:hideMark/>
          </w:tcPr>
          <w:p w14:paraId="45713F41" w14:textId="77777777" w:rsidR="001E6959" w:rsidRDefault="001E6959">
            <w:r>
              <w:t>Pajamų išlaidos (SP)</w:t>
            </w:r>
          </w:p>
        </w:tc>
        <w:tc>
          <w:tcPr>
            <w:tcW w:w="1558" w:type="dxa"/>
            <w:tcBorders>
              <w:top w:val="single" w:sz="4" w:space="0" w:color="auto"/>
              <w:left w:val="single" w:sz="4" w:space="0" w:color="auto"/>
              <w:bottom w:val="single" w:sz="4" w:space="0" w:color="auto"/>
              <w:right w:val="single" w:sz="4" w:space="0" w:color="auto"/>
            </w:tcBorders>
            <w:hideMark/>
          </w:tcPr>
          <w:p w14:paraId="45713F42" w14:textId="77777777" w:rsidR="001E6959" w:rsidRDefault="001E6959"/>
        </w:tc>
        <w:tc>
          <w:tcPr>
            <w:tcW w:w="1275" w:type="dxa"/>
            <w:tcBorders>
              <w:top w:val="single" w:sz="4" w:space="0" w:color="auto"/>
              <w:left w:val="single" w:sz="4" w:space="0" w:color="auto"/>
              <w:bottom w:val="single" w:sz="4" w:space="0" w:color="auto"/>
              <w:right w:val="single" w:sz="4" w:space="0" w:color="auto"/>
            </w:tcBorders>
          </w:tcPr>
          <w:p w14:paraId="45713F43" w14:textId="77777777" w:rsidR="001E6959" w:rsidRDefault="001E6959">
            <w:pPr>
              <w:jc w:val="center"/>
            </w:pPr>
            <w:r>
              <w:t>7,7</w:t>
            </w:r>
          </w:p>
          <w:p w14:paraId="45713F44" w14:textId="77777777" w:rsidR="001E6959" w:rsidRDefault="001E6959">
            <w:pPr>
              <w:jc w:val="center"/>
              <w:rPr>
                <w:b/>
              </w:rPr>
            </w:pPr>
          </w:p>
        </w:tc>
        <w:tc>
          <w:tcPr>
            <w:tcW w:w="1422" w:type="dxa"/>
            <w:tcBorders>
              <w:top w:val="single" w:sz="4" w:space="0" w:color="auto"/>
              <w:left w:val="single" w:sz="4" w:space="0" w:color="auto"/>
              <w:bottom w:val="single" w:sz="4" w:space="0" w:color="auto"/>
              <w:right w:val="single" w:sz="4" w:space="0" w:color="auto"/>
            </w:tcBorders>
            <w:hideMark/>
          </w:tcPr>
          <w:p w14:paraId="45713F45" w14:textId="77777777" w:rsidR="001E6959" w:rsidRDefault="001E6959">
            <w:pPr>
              <w:jc w:val="center"/>
            </w:pPr>
            <w:r>
              <w:t>83,7</w:t>
            </w:r>
          </w:p>
        </w:tc>
        <w:tc>
          <w:tcPr>
            <w:tcW w:w="3541" w:type="dxa"/>
            <w:tcBorders>
              <w:top w:val="single" w:sz="4" w:space="0" w:color="auto"/>
              <w:left w:val="single" w:sz="4" w:space="0" w:color="auto"/>
              <w:bottom w:val="single" w:sz="4" w:space="0" w:color="auto"/>
              <w:right w:val="single" w:sz="4" w:space="0" w:color="auto"/>
            </w:tcBorders>
            <w:hideMark/>
          </w:tcPr>
          <w:p w14:paraId="45713F46" w14:textId="77777777" w:rsidR="001E6959" w:rsidRDefault="001E6959">
            <w:pPr>
              <w:jc w:val="both"/>
            </w:pPr>
            <w:r>
              <w:t>Dėl paskelbto karantino liko  nepanaudotų auklėtojų darbo užmokesčiui bei prekėms skirtų lėšų</w:t>
            </w:r>
          </w:p>
        </w:tc>
      </w:tr>
      <w:tr w:rsidR="001E6959" w14:paraId="45713F4D" w14:textId="77777777" w:rsidTr="001E6959">
        <w:trPr>
          <w:trHeight w:val="125"/>
        </w:trPr>
        <w:tc>
          <w:tcPr>
            <w:tcW w:w="1838" w:type="dxa"/>
            <w:tcBorders>
              <w:top w:val="single" w:sz="4" w:space="0" w:color="auto"/>
              <w:left w:val="single" w:sz="4" w:space="0" w:color="auto"/>
              <w:bottom w:val="single" w:sz="4" w:space="0" w:color="auto"/>
              <w:right w:val="single" w:sz="4" w:space="0" w:color="auto"/>
            </w:tcBorders>
            <w:hideMark/>
          </w:tcPr>
          <w:p w14:paraId="45713F48" w14:textId="77777777" w:rsidR="001E6959" w:rsidRDefault="001E6959">
            <w:r>
              <w:t>Projektų finansavimas (ES; VB;SB)</w:t>
            </w:r>
          </w:p>
        </w:tc>
        <w:tc>
          <w:tcPr>
            <w:tcW w:w="1558" w:type="dxa"/>
            <w:tcBorders>
              <w:top w:val="single" w:sz="4" w:space="0" w:color="auto"/>
              <w:left w:val="single" w:sz="4" w:space="0" w:color="auto"/>
              <w:bottom w:val="single" w:sz="4" w:space="0" w:color="auto"/>
              <w:right w:val="single" w:sz="4" w:space="0" w:color="auto"/>
            </w:tcBorders>
            <w:hideMark/>
          </w:tcPr>
          <w:p w14:paraId="45713F49" w14:textId="77777777" w:rsidR="001E6959" w:rsidRDefault="001E6959">
            <w:pPr>
              <w:jc w:val="center"/>
            </w:pPr>
            <w:r>
              <w:t>37,6</w:t>
            </w:r>
          </w:p>
        </w:tc>
        <w:tc>
          <w:tcPr>
            <w:tcW w:w="1275" w:type="dxa"/>
            <w:tcBorders>
              <w:top w:val="single" w:sz="4" w:space="0" w:color="auto"/>
              <w:left w:val="single" w:sz="4" w:space="0" w:color="auto"/>
              <w:bottom w:val="single" w:sz="4" w:space="0" w:color="auto"/>
              <w:right w:val="single" w:sz="4" w:space="0" w:color="auto"/>
            </w:tcBorders>
            <w:hideMark/>
          </w:tcPr>
          <w:p w14:paraId="45713F4A" w14:textId="77777777" w:rsidR="001E6959" w:rsidRDefault="001E6959">
            <w:pPr>
              <w:jc w:val="center"/>
            </w:pPr>
            <w:r>
              <w:t>13,7</w:t>
            </w:r>
          </w:p>
        </w:tc>
        <w:tc>
          <w:tcPr>
            <w:tcW w:w="1422" w:type="dxa"/>
            <w:tcBorders>
              <w:top w:val="single" w:sz="4" w:space="0" w:color="auto"/>
              <w:left w:val="single" w:sz="4" w:space="0" w:color="auto"/>
              <w:bottom w:val="single" w:sz="4" w:space="0" w:color="auto"/>
              <w:right w:val="single" w:sz="4" w:space="0" w:color="auto"/>
            </w:tcBorders>
            <w:hideMark/>
          </w:tcPr>
          <w:p w14:paraId="45713F4B" w14:textId="77777777" w:rsidR="001E6959" w:rsidRDefault="001E6959">
            <w:pPr>
              <w:jc w:val="center"/>
            </w:pPr>
            <w:r>
              <w:t>36,4</w:t>
            </w:r>
          </w:p>
        </w:tc>
        <w:tc>
          <w:tcPr>
            <w:tcW w:w="3541" w:type="dxa"/>
            <w:tcBorders>
              <w:top w:val="single" w:sz="4" w:space="0" w:color="auto"/>
              <w:left w:val="single" w:sz="4" w:space="0" w:color="auto"/>
              <w:bottom w:val="single" w:sz="4" w:space="0" w:color="auto"/>
              <w:right w:val="single" w:sz="4" w:space="0" w:color="auto"/>
            </w:tcBorders>
            <w:hideMark/>
          </w:tcPr>
          <w:p w14:paraId="45713F4C" w14:textId="77777777" w:rsidR="001E6959" w:rsidRDefault="001E6959">
            <w:pPr>
              <w:jc w:val="both"/>
            </w:pPr>
            <w:r>
              <w:t>ES finansuojamas ERASMUS+ projektas vykdomas iki 2022 m. rugpjūčio 31 d.</w:t>
            </w:r>
          </w:p>
        </w:tc>
      </w:tr>
      <w:tr w:rsidR="001E6959" w14:paraId="45713F53" w14:textId="77777777" w:rsidTr="001E6959">
        <w:trPr>
          <w:trHeight w:val="58"/>
        </w:trPr>
        <w:tc>
          <w:tcPr>
            <w:tcW w:w="1838" w:type="dxa"/>
            <w:tcBorders>
              <w:top w:val="single" w:sz="4" w:space="0" w:color="auto"/>
              <w:left w:val="single" w:sz="4" w:space="0" w:color="auto"/>
              <w:bottom w:val="single" w:sz="4" w:space="0" w:color="auto"/>
              <w:right w:val="single" w:sz="4" w:space="0" w:color="auto"/>
            </w:tcBorders>
            <w:hideMark/>
          </w:tcPr>
          <w:p w14:paraId="45713F4E" w14:textId="77777777" w:rsidR="001E6959" w:rsidRDefault="001E6959">
            <w:r>
              <w:t>Kitos lėšos (parama 2 % GM ir kt.)</w:t>
            </w:r>
          </w:p>
        </w:tc>
        <w:tc>
          <w:tcPr>
            <w:tcW w:w="1558" w:type="dxa"/>
            <w:tcBorders>
              <w:top w:val="single" w:sz="4" w:space="0" w:color="auto"/>
              <w:left w:val="single" w:sz="4" w:space="0" w:color="auto"/>
              <w:bottom w:val="single" w:sz="4" w:space="0" w:color="auto"/>
              <w:right w:val="single" w:sz="4" w:space="0" w:color="auto"/>
            </w:tcBorders>
            <w:hideMark/>
          </w:tcPr>
          <w:p w14:paraId="45713F4F" w14:textId="77777777" w:rsidR="001E6959" w:rsidRDefault="001E6959">
            <w:pPr>
              <w:jc w:val="center"/>
            </w:pPr>
            <w:r>
              <w:t>5,5</w:t>
            </w:r>
          </w:p>
        </w:tc>
        <w:tc>
          <w:tcPr>
            <w:tcW w:w="1275" w:type="dxa"/>
            <w:tcBorders>
              <w:top w:val="single" w:sz="4" w:space="0" w:color="auto"/>
              <w:left w:val="single" w:sz="4" w:space="0" w:color="auto"/>
              <w:bottom w:val="single" w:sz="4" w:space="0" w:color="auto"/>
              <w:right w:val="single" w:sz="4" w:space="0" w:color="auto"/>
            </w:tcBorders>
            <w:hideMark/>
          </w:tcPr>
          <w:p w14:paraId="45713F50" w14:textId="77777777" w:rsidR="001E6959" w:rsidRDefault="001E6959">
            <w:pPr>
              <w:jc w:val="center"/>
            </w:pPr>
            <w:r>
              <w:t>3,4</w:t>
            </w:r>
          </w:p>
        </w:tc>
        <w:tc>
          <w:tcPr>
            <w:tcW w:w="1422" w:type="dxa"/>
            <w:tcBorders>
              <w:top w:val="single" w:sz="4" w:space="0" w:color="auto"/>
              <w:left w:val="single" w:sz="4" w:space="0" w:color="auto"/>
              <w:bottom w:val="single" w:sz="4" w:space="0" w:color="auto"/>
              <w:right w:val="single" w:sz="4" w:space="0" w:color="auto"/>
            </w:tcBorders>
            <w:hideMark/>
          </w:tcPr>
          <w:p w14:paraId="45713F51" w14:textId="77777777" w:rsidR="001E6959" w:rsidRDefault="001E6959">
            <w:pPr>
              <w:jc w:val="center"/>
            </w:pPr>
            <w:r>
              <w:t>63,2</w:t>
            </w:r>
          </w:p>
        </w:tc>
        <w:tc>
          <w:tcPr>
            <w:tcW w:w="3541" w:type="dxa"/>
            <w:tcBorders>
              <w:top w:val="single" w:sz="4" w:space="0" w:color="auto"/>
              <w:left w:val="single" w:sz="4" w:space="0" w:color="auto"/>
              <w:bottom w:val="single" w:sz="4" w:space="0" w:color="auto"/>
              <w:right w:val="single" w:sz="4" w:space="0" w:color="auto"/>
            </w:tcBorders>
          </w:tcPr>
          <w:p w14:paraId="45713F52" w14:textId="77777777" w:rsidR="001E6959" w:rsidRDefault="001E6959"/>
        </w:tc>
      </w:tr>
      <w:tr w:rsidR="001E6959" w14:paraId="45713F59" w14:textId="77777777" w:rsidTr="001E6959">
        <w:trPr>
          <w:trHeight w:val="275"/>
        </w:trPr>
        <w:tc>
          <w:tcPr>
            <w:tcW w:w="1838" w:type="dxa"/>
            <w:tcBorders>
              <w:top w:val="single" w:sz="4" w:space="0" w:color="auto"/>
              <w:left w:val="single" w:sz="4" w:space="0" w:color="auto"/>
              <w:bottom w:val="single" w:sz="4" w:space="0" w:color="auto"/>
              <w:right w:val="single" w:sz="4" w:space="0" w:color="auto"/>
            </w:tcBorders>
            <w:hideMark/>
          </w:tcPr>
          <w:p w14:paraId="45713F54" w14:textId="77777777" w:rsidR="001E6959" w:rsidRDefault="001E6959">
            <w:r>
              <w:t>Iš viso</w:t>
            </w:r>
          </w:p>
        </w:tc>
        <w:tc>
          <w:tcPr>
            <w:tcW w:w="1558" w:type="dxa"/>
            <w:tcBorders>
              <w:top w:val="single" w:sz="4" w:space="0" w:color="auto"/>
              <w:left w:val="single" w:sz="4" w:space="0" w:color="auto"/>
              <w:bottom w:val="single" w:sz="4" w:space="0" w:color="auto"/>
              <w:right w:val="single" w:sz="4" w:space="0" w:color="auto"/>
            </w:tcBorders>
            <w:hideMark/>
          </w:tcPr>
          <w:p w14:paraId="45713F55" w14:textId="77777777" w:rsidR="001E6959" w:rsidRDefault="001E6959">
            <w:pPr>
              <w:jc w:val="center"/>
            </w:pPr>
            <w:r>
              <w:t>1 323,9</w:t>
            </w:r>
          </w:p>
        </w:tc>
        <w:tc>
          <w:tcPr>
            <w:tcW w:w="1275" w:type="dxa"/>
            <w:tcBorders>
              <w:top w:val="single" w:sz="4" w:space="0" w:color="auto"/>
              <w:left w:val="single" w:sz="4" w:space="0" w:color="auto"/>
              <w:bottom w:val="single" w:sz="4" w:space="0" w:color="auto"/>
              <w:right w:val="single" w:sz="4" w:space="0" w:color="auto"/>
            </w:tcBorders>
            <w:hideMark/>
          </w:tcPr>
          <w:p w14:paraId="45713F56" w14:textId="77777777" w:rsidR="001E6959" w:rsidRDefault="001E6959">
            <w:pPr>
              <w:jc w:val="center"/>
            </w:pPr>
            <w:r>
              <w:t>1297,1</w:t>
            </w:r>
          </w:p>
        </w:tc>
        <w:tc>
          <w:tcPr>
            <w:tcW w:w="1422" w:type="dxa"/>
            <w:tcBorders>
              <w:top w:val="single" w:sz="4" w:space="0" w:color="auto"/>
              <w:left w:val="single" w:sz="4" w:space="0" w:color="auto"/>
              <w:bottom w:val="single" w:sz="4" w:space="0" w:color="auto"/>
              <w:right w:val="single" w:sz="4" w:space="0" w:color="auto"/>
            </w:tcBorders>
            <w:hideMark/>
          </w:tcPr>
          <w:p w14:paraId="45713F57" w14:textId="77777777" w:rsidR="001E6959" w:rsidRDefault="001E6959">
            <w:pPr>
              <w:jc w:val="center"/>
            </w:pPr>
            <w:r>
              <w:t>97,98</w:t>
            </w:r>
          </w:p>
        </w:tc>
        <w:tc>
          <w:tcPr>
            <w:tcW w:w="3541" w:type="dxa"/>
            <w:tcBorders>
              <w:top w:val="single" w:sz="4" w:space="0" w:color="auto"/>
              <w:left w:val="single" w:sz="4" w:space="0" w:color="auto"/>
              <w:bottom w:val="single" w:sz="4" w:space="0" w:color="auto"/>
              <w:right w:val="single" w:sz="4" w:space="0" w:color="auto"/>
            </w:tcBorders>
          </w:tcPr>
          <w:p w14:paraId="45713F58" w14:textId="77777777" w:rsidR="001E6959" w:rsidRDefault="001E6959"/>
        </w:tc>
      </w:tr>
      <w:tr w:rsidR="001E6959" w14:paraId="45713F5C" w14:textId="77777777" w:rsidTr="001E6959">
        <w:trPr>
          <w:trHeight w:val="275"/>
        </w:trPr>
        <w:tc>
          <w:tcPr>
            <w:tcW w:w="6093" w:type="dxa"/>
            <w:gridSpan w:val="4"/>
            <w:tcBorders>
              <w:top w:val="single" w:sz="4" w:space="0" w:color="auto"/>
              <w:left w:val="single" w:sz="4" w:space="0" w:color="auto"/>
              <w:bottom w:val="single" w:sz="4" w:space="0" w:color="auto"/>
              <w:right w:val="single" w:sz="4" w:space="0" w:color="auto"/>
            </w:tcBorders>
            <w:hideMark/>
          </w:tcPr>
          <w:p w14:paraId="45713F5A" w14:textId="77777777" w:rsidR="001E6959" w:rsidRDefault="001E6959">
            <w:pPr>
              <w:jc w:val="both"/>
            </w:pPr>
            <w:r>
              <w:t>Kreditinis įsiskolinimas (pagal visus finansavimo šaltinius) 2021 m. sausio 1 d – 1,0</w:t>
            </w:r>
          </w:p>
        </w:tc>
        <w:tc>
          <w:tcPr>
            <w:tcW w:w="3541" w:type="dxa"/>
            <w:tcBorders>
              <w:top w:val="single" w:sz="4" w:space="0" w:color="auto"/>
              <w:left w:val="single" w:sz="4" w:space="0" w:color="auto"/>
              <w:bottom w:val="single" w:sz="4" w:space="0" w:color="auto"/>
              <w:right w:val="single" w:sz="4" w:space="0" w:color="auto"/>
            </w:tcBorders>
            <w:hideMark/>
          </w:tcPr>
          <w:p w14:paraId="45713F5B" w14:textId="77777777" w:rsidR="001E6959" w:rsidRDefault="001E6959">
            <w:pPr>
              <w:jc w:val="both"/>
            </w:pPr>
            <w:r>
              <w:t>Kreditinis įsiskolinimas susidarė už 2020 m. gruodžio mėnesį suteiktas komunalines paslaugas, kurių sąskaitos gaunamos tik 2021 m. sausio mėn.</w:t>
            </w:r>
          </w:p>
        </w:tc>
      </w:tr>
    </w:tbl>
    <w:p w14:paraId="45713F5D" w14:textId="77777777" w:rsidR="001E6959" w:rsidRDefault="001E6959" w:rsidP="001E6959">
      <w:pPr>
        <w:jc w:val="both"/>
      </w:pPr>
    </w:p>
    <w:p w14:paraId="45713F5E" w14:textId="77777777" w:rsidR="001E6959" w:rsidRDefault="001E6959" w:rsidP="001E6959">
      <w:pPr>
        <w:ind w:firstLine="709"/>
        <w:jc w:val="both"/>
        <w:rPr>
          <w:iCs/>
        </w:rPr>
      </w:pPr>
      <w:bookmarkStart w:id="5" w:name="_Hlk67485242"/>
      <w:r>
        <w:t xml:space="preserve">Planuodama 2021 metų veiklą, Progimnazijos bendruomenė susitarė </w:t>
      </w:r>
      <w:r>
        <w:rPr>
          <w:iCs/>
        </w:rPr>
        <w:t>dėl šių tikslų:</w:t>
      </w:r>
    </w:p>
    <w:p w14:paraId="45713F5F" w14:textId="77777777" w:rsidR="001E6959" w:rsidRDefault="001E6959" w:rsidP="001E6959">
      <w:pPr>
        <w:pStyle w:val="Sraopastraipa"/>
        <w:numPr>
          <w:ilvl w:val="0"/>
          <w:numId w:val="1"/>
        </w:numPr>
        <w:ind w:left="0" w:firstLine="709"/>
        <w:jc w:val="both"/>
        <w:rPr>
          <w:color w:val="000000" w:themeColor="text1"/>
          <w:lang w:eastAsia="lt-LT"/>
        </w:rPr>
      </w:pPr>
      <w:r>
        <w:rPr>
          <w:color w:val="000000" w:themeColor="text1"/>
          <w:lang w:eastAsia="lt-LT"/>
        </w:rPr>
        <w:t>siekti ugdymo(si) kokybės, naudojant informacines komunikacines technologijas ir jas integruojant į ugdymo procesą, taikant virtualias ir nuotoliniam mokymuisi skirtas platformas;</w:t>
      </w:r>
    </w:p>
    <w:p w14:paraId="45713F60" w14:textId="77777777" w:rsidR="001E6959" w:rsidRDefault="001E6959" w:rsidP="001E6959">
      <w:pPr>
        <w:pStyle w:val="Sraopastraipa"/>
        <w:numPr>
          <w:ilvl w:val="0"/>
          <w:numId w:val="1"/>
        </w:numPr>
        <w:jc w:val="both"/>
        <w:rPr>
          <w:iCs/>
        </w:rPr>
      </w:pPr>
      <w:r>
        <w:rPr>
          <w:color w:val="000000" w:themeColor="text1"/>
          <w:lang w:eastAsia="lt-LT"/>
        </w:rPr>
        <w:t>stebėti vaiko asmenybės ugtį, ir pagal turimus gebėjimus skatinat jo individualią pažangą;</w:t>
      </w:r>
    </w:p>
    <w:p w14:paraId="45713F61" w14:textId="77777777" w:rsidR="001E6959" w:rsidRDefault="001E6959" w:rsidP="001E6959">
      <w:pPr>
        <w:pStyle w:val="Sraopastraipa"/>
        <w:numPr>
          <w:ilvl w:val="0"/>
          <w:numId w:val="1"/>
        </w:numPr>
        <w:jc w:val="both"/>
        <w:rPr>
          <w:sz w:val="20"/>
          <w:szCs w:val="20"/>
        </w:rPr>
      </w:pPr>
      <w:r>
        <w:rPr>
          <w:color w:val="000000" w:themeColor="text1"/>
          <w:lang w:eastAsia="lt-LT"/>
        </w:rPr>
        <w:t xml:space="preserve">gilinti bendruomenės narių pasidalintosios lyderystės ir pokyčių valdymo kompetencijas. </w:t>
      </w:r>
    </w:p>
    <w:p w14:paraId="45713F62" w14:textId="77777777" w:rsidR="001E6959" w:rsidRDefault="001E6959" w:rsidP="001E6959">
      <w:pPr>
        <w:pStyle w:val="Sraopastraipa"/>
        <w:ind w:left="1069"/>
        <w:jc w:val="both"/>
        <w:rPr>
          <w:sz w:val="20"/>
          <w:szCs w:val="20"/>
        </w:rPr>
      </w:pPr>
    </w:p>
    <w:p w14:paraId="45713F63" w14:textId="77777777" w:rsidR="001E6959" w:rsidRDefault="001E6959" w:rsidP="001E6959">
      <w:pPr>
        <w:pStyle w:val="Sraopastraipa"/>
        <w:ind w:left="1069"/>
        <w:jc w:val="both"/>
        <w:rPr>
          <w:sz w:val="20"/>
          <w:szCs w:val="20"/>
        </w:rPr>
      </w:pPr>
    </w:p>
    <w:bookmarkEnd w:id="5"/>
    <w:p w14:paraId="45713F64" w14:textId="77777777" w:rsidR="001E6959" w:rsidRDefault="001E6959" w:rsidP="001E6959">
      <w:r>
        <w:t xml:space="preserve">Direktorė </w:t>
      </w:r>
      <w:r>
        <w:tab/>
      </w:r>
      <w:r>
        <w:tab/>
      </w:r>
      <w:r>
        <w:tab/>
      </w:r>
      <w:r>
        <w:tab/>
      </w:r>
      <w:r>
        <w:tab/>
      </w:r>
      <w:r>
        <w:tab/>
        <w:t>Inga Bagdonienė</w:t>
      </w:r>
    </w:p>
    <w:p w14:paraId="45713F65" w14:textId="77777777" w:rsidR="00D57F27" w:rsidRPr="00832CC9" w:rsidRDefault="00D57F27" w:rsidP="00832CC9">
      <w:pPr>
        <w:ind w:firstLine="709"/>
        <w:jc w:val="both"/>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13F68" w14:textId="77777777" w:rsidR="005B434A" w:rsidRDefault="005B434A" w:rsidP="00D57F27">
      <w:r>
        <w:separator/>
      </w:r>
    </w:p>
  </w:endnote>
  <w:endnote w:type="continuationSeparator" w:id="0">
    <w:p w14:paraId="45713F69"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13F66" w14:textId="77777777" w:rsidR="005B434A" w:rsidRDefault="005B434A" w:rsidP="00D57F27">
      <w:r>
        <w:separator/>
      </w:r>
    </w:p>
  </w:footnote>
  <w:footnote w:type="continuationSeparator" w:id="0">
    <w:p w14:paraId="45713F67"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5713F6A" w14:textId="77777777" w:rsidR="00D57F27" w:rsidRDefault="00D57F27">
        <w:pPr>
          <w:pStyle w:val="Antrats"/>
          <w:jc w:val="center"/>
        </w:pPr>
        <w:r>
          <w:fldChar w:fldCharType="begin"/>
        </w:r>
        <w:r>
          <w:instrText>PAGE   \* MERGEFORMAT</w:instrText>
        </w:r>
        <w:r>
          <w:fldChar w:fldCharType="separate"/>
        </w:r>
        <w:r w:rsidR="00F17099">
          <w:rPr>
            <w:noProof/>
          </w:rPr>
          <w:t>3</w:t>
        </w:r>
        <w:r>
          <w:fldChar w:fldCharType="end"/>
        </w:r>
      </w:p>
    </w:sdtContent>
  </w:sdt>
  <w:p w14:paraId="45713F6B"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7166BC"/>
    <w:multiLevelType w:val="hybridMultilevel"/>
    <w:tmpl w:val="82B83220"/>
    <w:lvl w:ilvl="0" w:tplc="52BEA7F2">
      <w:start w:val="1"/>
      <w:numFmt w:val="decimal"/>
      <w:lvlText w:val="%1."/>
      <w:lvlJc w:val="left"/>
      <w:pPr>
        <w:ind w:left="1069" w:hanging="360"/>
      </w:pPr>
      <w:rPr>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E6959"/>
    <w:rsid w:val="0034183E"/>
    <w:rsid w:val="004476DD"/>
    <w:rsid w:val="00597EE8"/>
    <w:rsid w:val="005B434A"/>
    <w:rsid w:val="005F495C"/>
    <w:rsid w:val="00832CC9"/>
    <w:rsid w:val="008354D5"/>
    <w:rsid w:val="008E6E82"/>
    <w:rsid w:val="00AF7D08"/>
    <w:rsid w:val="00B750B6"/>
    <w:rsid w:val="00C57681"/>
    <w:rsid w:val="00CA4D3B"/>
    <w:rsid w:val="00D42B72"/>
    <w:rsid w:val="00D57F27"/>
    <w:rsid w:val="00E33871"/>
    <w:rsid w:val="00E56A73"/>
    <w:rsid w:val="00F1275A"/>
    <w:rsid w:val="00F17099"/>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13F08"/>
  <w15:docId w15:val="{02840565-0F63-49FC-8F13-01E298AA0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1E6959"/>
    <w:rPr>
      <w:color w:val="0000FF"/>
      <w:u w:val="single"/>
    </w:rPr>
  </w:style>
  <w:style w:type="paragraph" w:styleId="Sraopastraipa">
    <w:name w:val="List Paragraph"/>
    <w:basedOn w:val="prastasis"/>
    <w:uiPriority w:val="34"/>
    <w:qFormat/>
    <w:rsid w:val="001E69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2211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tes.google.com/vyturioprogimnazija.lt/klaipdos-vyturio-progimnazija/erasmus-projekt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5501</Words>
  <Characters>3137</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2021-06-01T13:14:00Z</dcterms:created>
  <dcterms:modified xsi:type="dcterms:W3CDTF">2021-06-01T13:14:00Z</dcterms:modified>
</cp:coreProperties>
</file>