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6" w:type="dxa"/>
        <w:tblInd w:w="4928" w:type="dxa"/>
        <w:tblLook w:val="04A0" w:firstRow="1" w:lastRow="0" w:firstColumn="1" w:lastColumn="0" w:noHBand="0" w:noVBand="1"/>
      </w:tblPr>
      <w:tblGrid>
        <w:gridCol w:w="4756"/>
      </w:tblGrid>
      <w:tr w:rsidR="003D0D87">
        <w:trPr>
          <w:trHeight w:val="726"/>
        </w:trPr>
        <w:tc>
          <w:tcPr>
            <w:tcW w:w="4756" w:type="dxa"/>
          </w:tcPr>
          <w:p w:rsidR="003D0D87" w:rsidRDefault="003D0D87">
            <w:pPr>
              <w:tabs>
                <w:tab w:val="center" w:pos="4986"/>
                <w:tab w:val="right" w:pos="9972"/>
              </w:tabs>
              <w:rPr>
                <w:lang w:eastAsia="lt-LT"/>
              </w:rPr>
            </w:pPr>
            <w:bookmarkStart w:id="0" w:name="_GoBack"/>
            <w:bookmarkEnd w:id="0"/>
          </w:p>
          <w:p w:rsidR="003D0D87" w:rsidRDefault="00705D45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Klaipėdos miesto savivaldybės neformaliojo vaikų švietimo  lėšų skyrimo ir naudojimo tvarkos aprašo </w:t>
            </w:r>
          </w:p>
          <w:p w:rsidR="003D0D87" w:rsidRDefault="00705D45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2 priedas </w:t>
            </w:r>
          </w:p>
        </w:tc>
      </w:tr>
    </w:tbl>
    <w:p w:rsidR="003D0D87" w:rsidRDefault="003D0D87">
      <w:pPr>
        <w:ind w:left="6237"/>
      </w:pPr>
    </w:p>
    <w:p w:rsidR="003D0D87" w:rsidRDefault="00705D45">
      <w:pPr>
        <w:tabs>
          <w:tab w:val="num" w:pos="0"/>
        </w:tabs>
        <w:jc w:val="center"/>
        <w:rPr>
          <w:rFonts w:eastAsia="MS Mincho"/>
          <w:b/>
          <w:szCs w:val="24"/>
          <w:lang w:eastAsia="ja-JP"/>
        </w:rPr>
      </w:pPr>
      <w:r>
        <w:rPr>
          <w:rFonts w:eastAsia="MS Mincho"/>
          <w:b/>
          <w:szCs w:val="24"/>
          <w:lang w:eastAsia="ja-JP"/>
        </w:rPr>
        <w:t>(Neformaliojo vaikų švietimo programos atitikties reikalavimams vertinimo pildymo forma)</w:t>
      </w:r>
    </w:p>
    <w:p w:rsidR="003D0D87" w:rsidRDefault="003D0D87">
      <w:pPr>
        <w:ind w:firstLine="62"/>
        <w:jc w:val="center"/>
        <w:rPr>
          <w:szCs w:val="24"/>
          <w:lang w:val="en-US" w:eastAsia="lt-LT"/>
        </w:rPr>
      </w:pPr>
    </w:p>
    <w:p w:rsidR="003D0D87" w:rsidRDefault="00705D45">
      <w:pPr>
        <w:jc w:val="center"/>
      </w:pPr>
      <w:r>
        <w:rPr>
          <w:b/>
          <w:bCs/>
          <w:caps/>
        </w:rPr>
        <w:t xml:space="preserve">Neformaliojo vaikų ŠVIETIMO programOS atitikties reikalavimams </w:t>
      </w:r>
    </w:p>
    <w:p w:rsidR="003D0D87" w:rsidRDefault="00705D45">
      <w:pPr>
        <w:jc w:val="center"/>
      </w:pPr>
      <w:r>
        <w:rPr>
          <w:b/>
          <w:bCs/>
          <w:caps/>
        </w:rPr>
        <w:t>VERTINIMO FORMA</w:t>
      </w:r>
    </w:p>
    <w:p w:rsidR="003D0D87" w:rsidRDefault="003D0D87">
      <w:pPr>
        <w:ind w:firstLine="124"/>
      </w:pPr>
    </w:p>
    <w:tbl>
      <w:tblPr>
        <w:tblW w:w="49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4"/>
        <w:gridCol w:w="3159"/>
        <w:gridCol w:w="2740"/>
      </w:tblGrid>
      <w:tr w:rsidR="003D0D87">
        <w:trPr>
          <w:trHeight w:val="428"/>
        </w:trPr>
        <w:tc>
          <w:tcPr>
            <w:tcW w:w="19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>Neformaliojo vaikų švietimo programos (toliau – NVŠ programos) teikėjas</w:t>
            </w:r>
          </w:p>
        </w:tc>
        <w:tc>
          <w:tcPr>
            <w:tcW w:w="16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>NVŠ programos pavadinimas</w:t>
            </w:r>
          </w:p>
        </w:tc>
        <w:tc>
          <w:tcPr>
            <w:tcW w:w="1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>NVŠ programos kodas NŠPR</w:t>
            </w:r>
          </w:p>
        </w:tc>
      </w:tr>
      <w:tr w:rsidR="003D0D87">
        <w:trPr>
          <w:trHeight w:val="292"/>
        </w:trPr>
        <w:tc>
          <w:tcPr>
            <w:tcW w:w="19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3D0D87">
            <w:pPr>
              <w:ind w:firstLine="124"/>
              <w:rPr>
                <w:szCs w:val="24"/>
              </w:rPr>
            </w:pPr>
          </w:p>
          <w:p w:rsidR="003D0D87" w:rsidRDefault="003D0D87">
            <w:pPr>
              <w:ind w:firstLine="124"/>
              <w:rPr>
                <w:szCs w:val="24"/>
              </w:rPr>
            </w:pPr>
          </w:p>
        </w:tc>
        <w:tc>
          <w:tcPr>
            <w:tcW w:w="164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3D0D87">
            <w:pPr>
              <w:rPr>
                <w:sz w:val="20"/>
                <w:lang w:eastAsia="lt-LT"/>
              </w:rPr>
            </w:pPr>
          </w:p>
        </w:tc>
        <w:tc>
          <w:tcPr>
            <w:tcW w:w="14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3D0D87">
            <w:pPr>
              <w:rPr>
                <w:sz w:val="20"/>
                <w:lang w:eastAsia="lt-LT"/>
              </w:rPr>
            </w:pPr>
          </w:p>
        </w:tc>
      </w:tr>
    </w:tbl>
    <w:p w:rsidR="003D0D87" w:rsidRDefault="003D0D87">
      <w:pPr>
        <w:ind w:firstLine="248"/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1844"/>
        <w:gridCol w:w="3121"/>
        <w:gridCol w:w="2267"/>
        <w:gridCol w:w="709"/>
      </w:tblGrid>
      <w:tr w:rsidR="003D0D87">
        <w:trPr>
          <w:trHeight w:val="415"/>
        </w:trPr>
        <w:tc>
          <w:tcPr>
            <w:tcW w:w="83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jc w:val="center"/>
              <w:rPr>
                <w:szCs w:val="24"/>
              </w:rPr>
            </w:pPr>
            <w:r>
              <w:t>Vertinimo sritis</w:t>
            </w:r>
          </w:p>
        </w:tc>
        <w:tc>
          <w:tcPr>
            <w:tcW w:w="9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ind w:left="34"/>
              <w:jc w:val="center"/>
              <w:rPr>
                <w:szCs w:val="24"/>
              </w:rPr>
            </w:pPr>
            <w:r>
              <w:t>Kriterijus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jc w:val="center"/>
              <w:rPr>
                <w:szCs w:val="24"/>
              </w:rPr>
            </w:pPr>
            <w:r>
              <w:t>Rodiklis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jc w:val="center"/>
              <w:rPr>
                <w:szCs w:val="24"/>
              </w:rPr>
            </w:pPr>
            <w:r>
              <w:t>Balo reikšmė</w:t>
            </w:r>
          </w:p>
        </w:tc>
        <w:tc>
          <w:tcPr>
            <w:tcW w:w="372" w:type="pct"/>
            <w:hideMark/>
          </w:tcPr>
          <w:p w:rsidR="003D0D87" w:rsidRDefault="00705D45">
            <w:pPr>
              <w:jc w:val="center"/>
              <w:rPr>
                <w:szCs w:val="24"/>
              </w:rPr>
            </w:pPr>
            <w:r>
              <w:t>Balas</w:t>
            </w:r>
          </w:p>
        </w:tc>
      </w:tr>
      <w:tr w:rsidR="003D0D87">
        <w:trPr>
          <w:trHeight w:val="654"/>
        </w:trPr>
        <w:tc>
          <w:tcPr>
            <w:tcW w:w="832" w:type="pct"/>
            <w:vMerge w:val="restart"/>
            <w:vAlign w:val="center"/>
            <w:hideMark/>
          </w:tcPr>
          <w:p w:rsidR="003D0D87" w:rsidRDefault="00705D45">
            <w:pPr>
              <w:ind w:left="143"/>
              <w:rPr>
                <w:szCs w:val="24"/>
              </w:rPr>
            </w:pPr>
            <w:r>
              <w:t>1. NVŠ programos tikslingumas</w:t>
            </w:r>
          </w:p>
        </w:tc>
        <w:tc>
          <w:tcPr>
            <w:tcW w:w="9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1.1. Principai 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Teikėjas deklaruoja, kad, vykdant programą, bus vadovaujamasi NVŠ principais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1 </w:t>
            </w:r>
          </w:p>
          <w:p w:rsidR="003D0D87" w:rsidRDefault="00705D45">
            <w:pPr>
              <w:rPr>
                <w:szCs w:val="24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729"/>
        </w:trPr>
        <w:tc>
          <w:tcPr>
            <w:tcW w:w="832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9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1.2. Tikslas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NVŠ programos tikslas formuluojamas aiškiai, atliepia programos visumą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2 </w:t>
            </w:r>
          </w:p>
          <w:p w:rsidR="003D0D87" w:rsidRDefault="00705D45">
            <w:r>
              <w:t xml:space="preserve">Iš dalies atitinka – 1 </w:t>
            </w:r>
          </w:p>
          <w:p w:rsidR="003D0D87" w:rsidRDefault="00705D45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424"/>
        </w:trPr>
        <w:tc>
          <w:tcPr>
            <w:tcW w:w="832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9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1.3. Uždaviniai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Uždaviniai konkretūs, atspindintys siekiamą tikslą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2 </w:t>
            </w:r>
          </w:p>
          <w:p w:rsidR="003D0D87" w:rsidRDefault="00705D45">
            <w:r>
              <w:t xml:space="preserve">Iš dalies atitinka – 1 </w:t>
            </w:r>
          </w:p>
          <w:p w:rsidR="003D0D87" w:rsidRDefault="00705D45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896"/>
        </w:trPr>
        <w:tc>
          <w:tcPr>
            <w:tcW w:w="832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Teikėjas patvirtina, kad programos uždaviniai atitinka paraiškoje pateiktus bendruosius NVŠ programos uždavinius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1 </w:t>
            </w:r>
          </w:p>
          <w:p w:rsidR="003D0D87" w:rsidRDefault="00705D45">
            <w:pPr>
              <w:rPr>
                <w:szCs w:val="24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896"/>
        </w:trPr>
        <w:tc>
          <w:tcPr>
            <w:tcW w:w="832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  <w:highlight w:val="magenta"/>
              </w:rPr>
            </w:pPr>
            <w:r>
              <w:t>Programos uždaviniai atitinka teikėjo pasirinktus Neformaliojo vaikų švietimo koncepcijoje apibrėžtus bendruosius NVŠ programos uždavinius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2 </w:t>
            </w:r>
          </w:p>
          <w:p w:rsidR="003D0D87" w:rsidRDefault="00705D45">
            <w:r>
              <w:t xml:space="preserve">Iš dalies atitinka – 1 </w:t>
            </w:r>
          </w:p>
          <w:p w:rsidR="003D0D87" w:rsidRDefault="00705D45">
            <w:pPr>
              <w:rPr>
                <w:szCs w:val="24"/>
                <w:highlight w:val="magenta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1285"/>
        </w:trPr>
        <w:tc>
          <w:tcPr>
            <w:tcW w:w="83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ind w:left="34"/>
              <w:rPr>
                <w:szCs w:val="24"/>
              </w:rPr>
            </w:pPr>
            <w:r>
              <w:t>2. Ugdymo turinys</w:t>
            </w:r>
          </w:p>
        </w:tc>
        <w:tc>
          <w:tcPr>
            <w:tcW w:w="9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ind w:left="34"/>
              <w:rPr>
                <w:szCs w:val="24"/>
              </w:rPr>
            </w:pPr>
            <w:r>
              <w:t>2.1. Temos ir veiklos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NVŠ programos sudėtinės dalys (temos) ir jas atskleisianti veikla siejasi su programos uždaviniais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2 </w:t>
            </w:r>
          </w:p>
          <w:p w:rsidR="003D0D87" w:rsidRDefault="00705D45">
            <w:r>
              <w:t xml:space="preserve">Iš dalies atitinka – 1 </w:t>
            </w:r>
          </w:p>
          <w:p w:rsidR="003D0D87" w:rsidRDefault="00705D45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1285"/>
        </w:trPr>
        <w:tc>
          <w:tcPr>
            <w:tcW w:w="832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NVŠ temose ir veiklose numatytas turinys orientuotas į teorinių ir praktinių veiklų balansą  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2 </w:t>
            </w:r>
          </w:p>
          <w:p w:rsidR="003D0D87" w:rsidRDefault="00705D45">
            <w:r>
              <w:t xml:space="preserve">Iš dalies atitinka – 1 </w:t>
            </w:r>
          </w:p>
          <w:p w:rsidR="003D0D87" w:rsidRDefault="00705D45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675"/>
        </w:trPr>
        <w:tc>
          <w:tcPr>
            <w:tcW w:w="832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9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2.2. Metodai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Metodai tinka numatytoms kompetencijoms ugdyti 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2 </w:t>
            </w:r>
          </w:p>
          <w:p w:rsidR="003D0D87" w:rsidRDefault="00705D45">
            <w:r>
              <w:t xml:space="preserve">Iš dalies atitinka – 1 </w:t>
            </w:r>
          </w:p>
          <w:p w:rsidR="003D0D87" w:rsidRDefault="00705D45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675"/>
        </w:trPr>
        <w:tc>
          <w:tcPr>
            <w:tcW w:w="832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Metodai dera su NVŠ principais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2 </w:t>
            </w:r>
          </w:p>
          <w:p w:rsidR="003D0D87" w:rsidRDefault="00705D45">
            <w:r>
              <w:t xml:space="preserve">Iš dalies atitinka – 1 </w:t>
            </w:r>
          </w:p>
          <w:p w:rsidR="003D0D87" w:rsidRDefault="00705D45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370"/>
        </w:trPr>
        <w:tc>
          <w:tcPr>
            <w:tcW w:w="832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9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2.3. Ugdomos kompetencijos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Teikėjas nurodė planuojamas ugdyti bendrąsias kompetencijas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1 </w:t>
            </w:r>
          </w:p>
          <w:p w:rsidR="003D0D87" w:rsidRDefault="00705D45">
            <w:pPr>
              <w:rPr>
                <w:szCs w:val="24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370"/>
        </w:trPr>
        <w:tc>
          <w:tcPr>
            <w:tcW w:w="832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Aiškiai suformuluotos dalykinės kompetencijos, numatomos ugdyti šia programa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2 </w:t>
            </w:r>
          </w:p>
          <w:p w:rsidR="003D0D87" w:rsidRDefault="00705D45">
            <w:r>
              <w:t xml:space="preserve">Iš dalies atitinka – 1 </w:t>
            </w:r>
          </w:p>
          <w:p w:rsidR="003D0D87" w:rsidRDefault="00705D45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370"/>
        </w:trPr>
        <w:tc>
          <w:tcPr>
            <w:tcW w:w="832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Veiklų temos ir pobūdis dera su deklaruojamos kompetencijos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2 </w:t>
            </w:r>
          </w:p>
          <w:p w:rsidR="003D0D87" w:rsidRDefault="00705D45">
            <w:r>
              <w:t xml:space="preserve">Iš dalies atitinka – 1 </w:t>
            </w:r>
          </w:p>
          <w:p w:rsidR="003D0D87" w:rsidRDefault="00705D45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1127"/>
        </w:trPr>
        <w:tc>
          <w:tcPr>
            <w:tcW w:w="83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ind w:left="34" w:firstLine="1"/>
              <w:rPr>
                <w:szCs w:val="24"/>
              </w:rPr>
            </w:pPr>
            <w:r>
              <w:t>3. NVŠ programos apimtis</w:t>
            </w:r>
          </w:p>
        </w:tc>
        <w:tc>
          <w:tcPr>
            <w:tcW w:w="9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ind w:left="34" w:right="-250"/>
              <w:rPr>
                <w:szCs w:val="24"/>
              </w:rPr>
            </w:pPr>
            <w:r>
              <w:t>Intensyvumas ir bendra trukmė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NVŠ programa nuosekli, orientuota į ilgalaikį ugdymą, veiklos neepizodinės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1 </w:t>
            </w:r>
          </w:p>
          <w:p w:rsidR="003D0D87" w:rsidRDefault="00705D45">
            <w:pPr>
              <w:rPr>
                <w:szCs w:val="24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1127"/>
        </w:trPr>
        <w:tc>
          <w:tcPr>
            <w:tcW w:w="832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Vykdoma ne rečiau kaip po 2 pedagoginio darbo val. per savaitę arba ne mažiau kaip 8 pedagoginio darbo val. per mėnesį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1 </w:t>
            </w:r>
          </w:p>
          <w:p w:rsidR="003D0D87" w:rsidRDefault="00705D45">
            <w:pPr>
              <w:rPr>
                <w:szCs w:val="24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413"/>
        </w:trPr>
        <w:tc>
          <w:tcPr>
            <w:tcW w:w="83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ind w:left="34" w:firstLine="1"/>
              <w:rPr>
                <w:szCs w:val="24"/>
              </w:rPr>
            </w:pPr>
            <w:r>
              <w:t>4. Informacija apie vaikus</w:t>
            </w:r>
          </w:p>
        </w:tc>
        <w:tc>
          <w:tcPr>
            <w:tcW w:w="9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ind w:firstLine="34"/>
              <w:rPr>
                <w:szCs w:val="24"/>
              </w:rPr>
            </w:pPr>
            <w:r>
              <w:t>4.1. Vaikų amžius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  <w:highlight w:val="yellow"/>
              </w:rPr>
            </w:pPr>
            <w:r>
              <w:t>Teikėjas numato, kokiai tikslinei grupei skiriama programa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1 </w:t>
            </w:r>
          </w:p>
          <w:p w:rsidR="003D0D87" w:rsidRDefault="00705D45">
            <w:pPr>
              <w:rPr>
                <w:szCs w:val="24"/>
                <w:highlight w:val="yellow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413"/>
        </w:trPr>
        <w:tc>
          <w:tcPr>
            <w:tcW w:w="832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rPr>
                <w:szCs w:val="24"/>
              </w:rPr>
              <w:t>Programa yra tinkama numatomai tikslinei mokinių grupei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2 </w:t>
            </w:r>
          </w:p>
          <w:p w:rsidR="003D0D87" w:rsidRDefault="00705D45">
            <w:r>
              <w:t xml:space="preserve">Iš dalies atitinka – 1 </w:t>
            </w:r>
          </w:p>
          <w:p w:rsidR="003D0D87" w:rsidRDefault="00705D45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830"/>
        </w:trPr>
        <w:tc>
          <w:tcPr>
            <w:tcW w:w="832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9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4.2. Grupės dydis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Numatomas grupės dydis atitinka veiklos metodus ir padeda pasiekti geriausią rezultatą.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2 </w:t>
            </w:r>
          </w:p>
          <w:p w:rsidR="003D0D87" w:rsidRDefault="00705D45">
            <w:r>
              <w:t xml:space="preserve">Iš dalies atitinka – 1 </w:t>
            </w:r>
          </w:p>
          <w:p w:rsidR="003D0D87" w:rsidRDefault="00705D45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674"/>
        </w:trPr>
        <w:tc>
          <w:tcPr>
            <w:tcW w:w="832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9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4.3. Galimybės vaikų iniciatyvai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Numatyta galimybė atsiskleisti vaikų iniciatyvai, priimti sprendimus, pasirinkti ugdymo metodus, koreguoti turinį ir pan.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1 </w:t>
            </w:r>
          </w:p>
          <w:p w:rsidR="003D0D87" w:rsidRDefault="00705D45">
            <w:pPr>
              <w:rPr>
                <w:szCs w:val="24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529"/>
        </w:trPr>
        <w:tc>
          <w:tcPr>
            <w:tcW w:w="83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ind w:left="34" w:firstLine="1"/>
              <w:rPr>
                <w:szCs w:val="24"/>
              </w:rPr>
            </w:pPr>
            <w:r>
              <w:t xml:space="preserve">5. Pažangos skatinimas ir vertinimas </w:t>
            </w:r>
          </w:p>
        </w:tc>
        <w:tc>
          <w:tcPr>
            <w:tcW w:w="9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ind w:firstLine="34"/>
              <w:rPr>
                <w:szCs w:val="24"/>
              </w:rPr>
            </w:pPr>
            <w:r>
              <w:t>5.1. Pažangos skatinimas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Aprašyta, kokiais būdais vaikai bus motyvuojami dalyvauti programoje ir siekti pažangos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1 </w:t>
            </w:r>
          </w:p>
          <w:p w:rsidR="003D0D87" w:rsidRDefault="00705D45">
            <w:pPr>
              <w:rPr>
                <w:szCs w:val="24"/>
                <w:highlight w:val="yellow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529"/>
        </w:trPr>
        <w:tc>
          <w:tcPr>
            <w:tcW w:w="832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Numatyti pažangos skatinimo būdai tinka programos tikslinei grupei, iškeltiems tikslams ir ugdomoms kompetencijoms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2 </w:t>
            </w:r>
          </w:p>
          <w:p w:rsidR="003D0D87" w:rsidRDefault="00705D45">
            <w:r>
              <w:t xml:space="preserve">Iš dalies atitinka – 1 </w:t>
            </w:r>
          </w:p>
          <w:p w:rsidR="003D0D87" w:rsidRDefault="00705D45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538"/>
        </w:trPr>
        <w:tc>
          <w:tcPr>
            <w:tcW w:w="832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9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5.2. Pažangos vertinimas (įsivertinimas)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Numatytas vaikų pažangos vertinimas, dalyvavimas įsivertinant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1 </w:t>
            </w:r>
          </w:p>
          <w:p w:rsidR="003D0D87" w:rsidRDefault="00705D45">
            <w:pPr>
              <w:rPr>
                <w:szCs w:val="24"/>
                <w:highlight w:val="yellow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538"/>
        </w:trPr>
        <w:tc>
          <w:tcPr>
            <w:tcW w:w="832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Vaikų pažangos vertinimas, dalyvavimas įsivertinime tinka  programos tikslinei </w:t>
            </w:r>
            <w:r>
              <w:lastRenderedPageBreak/>
              <w:t>grupei, iškeltiems tikslams ir ugdomoms kompetencijoms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lastRenderedPageBreak/>
              <w:t xml:space="preserve">Atitinka – 2 </w:t>
            </w:r>
          </w:p>
          <w:p w:rsidR="003D0D87" w:rsidRDefault="00705D45">
            <w:r>
              <w:t xml:space="preserve">Iš dalies atitinka – 1 </w:t>
            </w:r>
          </w:p>
          <w:p w:rsidR="003D0D87" w:rsidRDefault="00705D45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640"/>
        </w:trPr>
        <w:tc>
          <w:tcPr>
            <w:tcW w:w="832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9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5.3. Pasiekimų paliudijimas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Numatyti būdais, kuriais bus pažymimi pasiekimai, įgytos kompetencijos ir kokiomis  priemonėmis jie galės būti paliudyti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1 </w:t>
            </w:r>
          </w:p>
          <w:p w:rsidR="003D0D87" w:rsidRDefault="00705D45">
            <w:pPr>
              <w:rPr>
                <w:szCs w:val="24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640"/>
        </w:trPr>
        <w:tc>
          <w:tcPr>
            <w:tcW w:w="832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Numatyti būdais, kuriais bus pažymimi pasiekimai, įgytos kompetencijos ir kokiomis  priemonėmis jie galės būti paliudyti, yra tinkami programos tikslinei grupei, iškeltiems tikslams ir ugdomoms kompetencijoms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2 </w:t>
            </w:r>
          </w:p>
          <w:p w:rsidR="003D0D87" w:rsidRDefault="00705D45">
            <w:r>
              <w:t xml:space="preserve">Iš dalies atitinka – 1 </w:t>
            </w:r>
          </w:p>
          <w:p w:rsidR="003D0D87" w:rsidRDefault="00705D45">
            <w:pPr>
              <w:rPr>
                <w:szCs w:val="24"/>
              </w:rPr>
            </w:pPr>
            <w:r>
              <w:t xml:space="preserve">Neatitinka – 0  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878"/>
        </w:trPr>
        <w:tc>
          <w:tcPr>
            <w:tcW w:w="83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ind w:left="34" w:firstLine="1"/>
              <w:rPr>
                <w:szCs w:val="24"/>
              </w:rPr>
            </w:pPr>
            <w:r>
              <w:t>6. Kokybė ir atsakomybė</w:t>
            </w:r>
          </w:p>
        </w:tc>
        <w:tc>
          <w:tcPr>
            <w:tcW w:w="96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ind w:right="13" w:firstLine="33"/>
              <w:rPr>
                <w:szCs w:val="24"/>
              </w:rPr>
            </w:pPr>
            <w:r>
              <w:t>6.1. NVŠ mokytojų kvalifikacija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Programą įgyvendinančių NVŠ mokytojų išsilavinimas, patirtis ir kvalifikacija tinkami sėkmingam programos įgyvendinimui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1 </w:t>
            </w:r>
          </w:p>
          <w:p w:rsidR="003D0D87" w:rsidRDefault="00705D45">
            <w:pPr>
              <w:rPr>
                <w:szCs w:val="24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221"/>
        </w:trPr>
        <w:tc>
          <w:tcPr>
            <w:tcW w:w="832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968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Teikėjas deklaruoja, kad programą įgyvendins asmenys, pagal Švietimo įstatymą turintys teisę dirbti NVŠ mokytojais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1 </w:t>
            </w:r>
          </w:p>
          <w:p w:rsidR="003D0D87" w:rsidRDefault="00705D45">
            <w:pPr>
              <w:rPr>
                <w:szCs w:val="24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1128"/>
        </w:trPr>
        <w:tc>
          <w:tcPr>
            <w:tcW w:w="832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9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ind w:left="175" w:hanging="141"/>
              <w:rPr>
                <w:szCs w:val="24"/>
              </w:rPr>
            </w:pPr>
            <w:r>
              <w:t>6.2. Mokymosi aplinka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Teikėjas deklaruoja, kad vaikai ugdysis sveikoje ir saugioje mokymo(</w:t>
            </w:r>
            <w:proofErr w:type="spellStart"/>
            <w:r>
              <w:t>si</w:t>
            </w:r>
            <w:proofErr w:type="spellEnd"/>
            <w:r>
              <w:t>) aplinkoje ir kad turi tinkamos įrangos ir priemonių įgyvendinti NVŠ programą, turi lėšų NVŠ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1 </w:t>
            </w:r>
          </w:p>
          <w:p w:rsidR="003D0D87" w:rsidRDefault="00705D45">
            <w:pPr>
              <w:rPr>
                <w:szCs w:val="24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1396"/>
        </w:trPr>
        <w:tc>
          <w:tcPr>
            <w:tcW w:w="832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9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6.3. Kitos teikėjo atsakomybės</w:t>
            </w:r>
          </w:p>
        </w:tc>
        <w:tc>
          <w:tcPr>
            <w:tcW w:w="163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Teikėjas deklaruoja, kad turi lėšų NVŠ programos įgyvendinimo pradžiai ir kad vykdant programą bus laikomasi Neformaliojo vaikų švietimo programos atitikties reikalavimams paraiškos formos nuostatų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D87" w:rsidRDefault="00705D45">
            <w:pPr>
              <w:rPr>
                <w:szCs w:val="24"/>
              </w:rPr>
            </w:pPr>
            <w:r>
              <w:t xml:space="preserve">Atitinka – 1 </w:t>
            </w:r>
          </w:p>
          <w:p w:rsidR="003D0D87" w:rsidRDefault="00705D45">
            <w:pPr>
              <w:rPr>
                <w:szCs w:val="24"/>
              </w:rPr>
            </w:pPr>
            <w:r>
              <w:t>Neatitinka – 0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755"/>
        </w:trPr>
        <w:tc>
          <w:tcPr>
            <w:tcW w:w="832" w:type="pct"/>
            <w:vMerge/>
            <w:vAlign w:val="center"/>
            <w:hideMark/>
          </w:tcPr>
          <w:p w:rsidR="003D0D87" w:rsidRDefault="003D0D87">
            <w:pPr>
              <w:rPr>
                <w:szCs w:val="24"/>
              </w:rPr>
            </w:pPr>
          </w:p>
        </w:tc>
        <w:tc>
          <w:tcPr>
            <w:tcW w:w="379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D87" w:rsidRDefault="00705D45">
            <w:pPr>
              <w:jc w:val="right"/>
              <w:rPr>
                <w:szCs w:val="24"/>
              </w:rPr>
            </w:pPr>
            <w:r>
              <w:rPr>
                <w:b/>
                <w:bCs/>
              </w:rPr>
              <w:t>Vertinimo balų suma</w:t>
            </w:r>
          </w:p>
        </w:tc>
        <w:tc>
          <w:tcPr>
            <w:tcW w:w="372" w:type="pct"/>
          </w:tcPr>
          <w:p w:rsidR="003D0D87" w:rsidRDefault="003D0D87">
            <w:pPr>
              <w:rPr>
                <w:szCs w:val="24"/>
              </w:rPr>
            </w:pPr>
          </w:p>
        </w:tc>
      </w:tr>
      <w:tr w:rsidR="003D0D87">
        <w:trPr>
          <w:trHeight w:val="988"/>
        </w:trPr>
        <w:tc>
          <w:tcPr>
            <w:tcW w:w="832" w:type="pct"/>
            <w:vAlign w:val="center"/>
            <w:hideMark/>
          </w:tcPr>
          <w:p w:rsidR="003D0D87" w:rsidRDefault="00705D45">
            <w:pPr>
              <w:rPr>
                <w:szCs w:val="24"/>
              </w:rPr>
            </w:pPr>
            <w:r>
              <w:t>Vertinimo komentarai</w:t>
            </w:r>
          </w:p>
        </w:tc>
        <w:tc>
          <w:tcPr>
            <w:tcW w:w="416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D87" w:rsidRDefault="003D0D87">
            <w:pPr>
              <w:rPr>
                <w:szCs w:val="24"/>
              </w:rPr>
            </w:pPr>
          </w:p>
        </w:tc>
      </w:tr>
    </w:tbl>
    <w:p w:rsidR="003D0D87" w:rsidRDefault="003D0D87">
      <w:pPr>
        <w:rPr>
          <w:b/>
          <w:bCs/>
        </w:rPr>
      </w:pPr>
    </w:p>
    <w:tbl>
      <w:tblPr>
        <w:tblW w:w="0" w:type="auto"/>
        <w:tblInd w:w="3823" w:type="dxa"/>
        <w:tblLook w:val="04A0" w:firstRow="1" w:lastRow="0" w:firstColumn="1" w:lastColumn="0" w:noHBand="0" w:noVBand="1"/>
      </w:tblPr>
      <w:tblGrid>
        <w:gridCol w:w="2131"/>
        <w:gridCol w:w="283"/>
        <w:gridCol w:w="3401"/>
      </w:tblGrid>
      <w:tr w:rsidR="003D0D87"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D87" w:rsidRDefault="003D0D87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283" w:type="dxa"/>
          </w:tcPr>
          <w:p w:rsidR="003D0D87" w:rsidRDefault="003D0D87">
            <w:pPr>
              <w:jc w:val="center"/>
              <w:rPr>
                <w:b/>
                <w:lang w:eastAsia="lt-LT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D87" w:rsidRDefault="003D0D87">
            <w:pPr>
              <w:jc w:val="center"/>
              <w:rPr>
                <w:b/>
                <w:lang w:eastAsia="lt-LT"/>
              </w:rPr>
            </w:pPr>
          </w:p>
        </w:tc>
      </w:tr>
      <w:tr w:rsidR="003D0D87"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0D87" w:rsidRDefault="00705D45">
            <w:pPr>
              <w:jc w:val="center"/>
              <w:rPr>
                <w:i/>
                <w:sz w:val="20"/>
                <w:lang w:eastAsia="lt-LT"/>
              </w:rPr>
            </w:pPr>
            <w:r>
              <w:rPr>
                <w:i/>
                <w:sz w:val="20"/>
                <w:lang w:eastAsia="lt-LT"/>
              </w:rPr>
              <w:t>(vertintojo parašas)</w:t>
            </w:r>
          </w:p>
        </w:tc>
        <w:tc>
          <w:tcPr>
            <w:tcW w:w="283" w:type="dxa"/>
          </w:tcPr>
          <w:p w:rsidR="003D0D87" w:rsidRDefault="003D0D87">
            <w:pPr>
              <w:jc w:val="center"/>
              <w:rPr>
                <w:i/>
                <w:sz w:val="20"/>
                <w:lang w:eastAsia="lt-LT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0D87" w:rsidRDefault="00705D45">
            <w:pPr>
              <w:jc w:val="center"/>
              <w:rPr>
                <w:i/>
                <w:sz w:val="20"/>
                <w:lang w:eastAsia="lt-LT"/>
              </w:rPr>
            </w:pPr>
            <w:r>
              <w:rPr>
                <w:i/>
                <w:sz w:val="20"/>
                <w:lang w:eastAsia="lt-LT"/>
              </w:rPr>
              <w:t>(vardas ir pavardė)</w:t>
            </w:r>
          </w:p>
        </w:tc>
      </w:tr>
    </w:tbl>
    <w:p w:rsidR="003D0D87" w:rsidRDefault="003D0D87">
      <w:pPr>
        <w:jc w:val="center"/>
      </w:pPr>
    </w:p>
    <w:sectPr w:rsidR="003D0D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D45" w:rsidRDefault="00705D45">
      <w:r>
        <w:separator/>
      </w:r>
    </w:p>
  </w:endnote>
  <w:endnote w:type="continuationSeparator" w:id="0">
    <w:p w:rsidR="00705D45" w:rsidRDefault="0070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87" w:rsidRDefault="003D0D87">
    <w:pPr>
      <w:tabs>
        <w:tab w:val="center" w:pos="4986"/>
        <w:tab w:val="right" w:pos="99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87" w:rsidRDefault="003D0D87">
    <w:pPr>
      <w:tabs>
        <w:tab w:val="center" w:pos="4986"/>
        <w:tab w:val="right" w:pos="99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87" w:rsidRDefault="003D0D87">
    <w:pPr>
      <w:tabs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D45" w:rsidRDefault="00705D45">
      <w:r>
        <w:separator/>
      </w:r>
    </w:p>
  </w:footnote>
  <w:footnote w:type="continuationSeparator" w:id="0">
    <w:p w:rsidR="00705D45" w:rsidRDefault="00705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87" w:rsidRDefault="003D0D87">
    <w:pPr>
      <w:tabs>
        <w:tab w:val="center" w:pos="4986"/>
        <w:tab w:val="right" w:pos="99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87" w:rsidRDefault="00705D45">
    <w:pPr>
      <w:tabs>
        <w:tab w:val="center" w:pos="4986"/>
        <w:tab w:val="right" w:pos="9972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1851D9">
      <w:rPr>
        <w:noProof/>
      </w:rPr>
      <w:t>3</w:t>
    </w:r>
    <w:r>
      <w:fldChar w:fldCharType="end"/>
    </w:r>
  </w:p>
  <w:p w:rsidR="003D0D87" w:rsidRDefault="003D0D87">
    <w:pPr>
      <w:tabs>
        <w:tab w:val="center" w:pos="4986"/>
        <w:tab w:val="right" w:pos="99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D87" w:rsidRDefault="003D0D87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DF"/>
    <w:rsid w:val="001851D9"/>
    <w:rsid w:val="003D0D87"/>
    <w:rsid w:val="00705D45"/>
    <w:rsid w:val="008010DF"/>
    <w:rsid w:val="00A423B0"/>
    <w:rsid w:val="00E4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B66B5-99DE-4722-8C3B-B19AE882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3277</Words>
  <Characters>1869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5136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Muravjova</dc:creator>
  <cp:lastModifiedBy>Sigita Muravjova</cp:lastModifiedBy>
  <cp:revision>2</cp:revision>
  <dcterms:created xsi:type="dcterms:W3CDTF">2021-09-27T17:39:00Z</dcterms:created>
  <dcterms:modified xsi:type="dcterms:W3CDTF">2021-09-27T17:39:00Z</dcterms:modified>
</cp:coreProperties>
</file>