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A01A1" w14:textId="77777777" w:rsidR="00C220D0" w:rsidRPr="004660D5" w:rsidRDefault="00C220D0" w:rsidP="00C220D0">
      <w:pPr>
        <w:jc w:val="center"/>
        <w:rPr>
          <w:b/>
          <w:sz w:val="24"/>
          <w:szCs w:val="24"/>
        </w:rPr>
      </w:pPr>
      <w:bookmarkStart w:id="0" w:name="_GoBack"/>
      <w:bookmarkEnd w:id="0"/>
      <w:r w:rsidRPr="004660D5">
        <w:rPr>
          <w:b/>
          <w:sz w:val="24"/>
          <w:szCs w:val="24"/>
        </w:rPr>
        <w:t>AIŠKINAMASIS RAŠTAS</w:t>
      </w:r>
    </w:p>
    <w:p w14:paraId="27DD2D12" w14:textId="77777777" w:rsidR="00C220D0" w:rsidRPr="004660D5" w:rsidRDefault="00C220D0" w:rsidP="00C220D0">
      <w:pPr>
        <w:jc w:val="center"/>
        <w:rPr>
          <w:b/>
          <w:sz w:val="24"/>
          <w:szCs w:val="24"/>
        </w:rPr>
      </w:pPr>
      <w:r w:rsidRPr="004660D5">
        <w:rPr>
          <w:b/>
          <w:sz w:val="24"/>
          <w:szCs w:val="24"/>
        </w:rPr>
        <w:t xml:space="preserve">PRIE SAVIVALDYBĖS TARYBOS SPRENDIMO „DĖL </w:t>
      </w:r>
      <w:r w:rsidR="00646CC3" w:rsidRPr="00646CC3">
        <w:rPr>
          <w:b/>
          <w:caps/>
          <w:sz w:val="24"/>
          <w:szCs w:val="24"/>
        </w:rPr>
        <w:t>turto perdavimo PAGAL TURTO patikėjimo SUTARTĮ</w:t>
      </w:r>
      <w:r w:rsidR="007E16D0">
        <w:rPr>
          <w:b/>
          <w:caps/>
          <w:sz w:val="24"/>
          <w:szCs w:val="24"/>
        </w:rPr>
        <w:t xml:space="preserve"> </w:t>
      </w:r>
      <w:r w:rsidR="00D004B2" w:rsidRPr="00D004B2">
        <w:rPr>
          <w:b/>
          <w:caps/>
          <w:sz w:val="24"/>
          <w:szCs w:val="24"/>
        </w:rPr>
        <w:t>VšĮ „Klaipėdos butai“</w:t>
      </w:r>
      <w:r w:rsidRPr="004660D5">
        <w:rPr>
          <w:b/>
          <w:sz w:val="24"/>
          <w:szCs w:val="24"/>
        </w:rPr>
        <w:t xml:space="preserve"> PROJEKTO</w:t>
      </w:r>
    </w:p>
    <w:p w14:paraId="6B16CC20" w14:textId="77777777" w:rsidR="00C220D0" w:rsidRPr="004660D5" w:rsidRDefault="00C220D0" w:rsidP="00C220D0">
      <w:pPr>
        <w:jc w:val="both"/>
        <w:rPr>
          <w:b/>
          <w:sz w:val="24"/>
          <w:szCs w:val="24"/>
        </w:rPr>
      </w:pPr>
    </w:p>
    <w:p w14:paraId="64A1D77E" w14:textId="77777777" w:rsidR="00C220D0" w:rsidRPr="004660D5" w:rsidRDefault="00C220D0" w:rsidP="00C220D0">
      <w:pPr>
        <w:ind w:firstLine="720"/>
        <w:jc w:val="both"/>
        <w:rPr>
          <w:b/>
          <w:sz w:val="24"/>
          <w:szCs w:val="24"/>
        </w:rPr>
      </w:pPr>
      <w:r w:rsidRPr="004660D5">
        <w:rPr>
          <w:b/>
          <w:sz w:val="24"/>
          <w:szCs w:val="24"/>
        </w:rPr>
        <w:t>1. Sprendimo projekto esmė, tikslai ir uždaviniai.</w:t>
      </w:r>
    </w:p>
    <w:p w14:paraId="2FD4DDF5" w14:textId="77777777" w:rsidR="00C220D0" w:rsidRPr="004660D5" w:rsidRDefault="00C220D0" w:rsidP="00C220D0">
      <w:pPr>
        <w:ind w:firstLine="720"/>
        <w:jc w:val="both"/>
        <w:rPr>
          <w:sz w:val="24"/>
          <w:szCs w:val="24"/>
        </w:rPr>
      </w:pPr>
      <w:r w:rsidRPr="004660D5">
        <w:rPr>
          <w:sz w:val="24"/>
          <w:szCs w:val="24"/>
        </w:rPr>
        <w:t xml:space="preserve">Šis Klaipėdos miesto savivaldybės tarybos sprendimo projektas teikiamas, siekiant </w:t>
      </w:r>
      <w:r w:rsidR="00D004B2" w:rsidRPr="00D004B2">
        <w:rPr>
          <w:sz w:val="24"/>
          <w:szCs w:val="24"/>
        </w:rPr>
        <w:t>VšĮ „Klaipėdos butai“</w:t>
      </w:r>
      <w:r w:rsidR="0009219F">
        <w:rPr>
          <w:sz w:val="24"/>
          <w:szCs w:val="24"/>
        </w:rPr>
        <w:t xml:space="preserve"> (toliau –</w:t>
      </w:r>
      <w:r w:rsidR="00D004B2">
        <w:rPr>
          <w:sz w:val="24"/>
          <w:szCs w:val="24"/>
        </w:rPr>
        <w:t xml:space="preserve"> Įstaiga</w:t>
      </w:r>
      <w:r w:rsidR="0009219F">
        <w:rPr>
          <w:sz w:val="24"/>
          <w:szCs w:val="24"/>
        </w:rPr>
        <w:t>)</w:t>
      </w:r>
      <w:r w:rsidR="00AA2D56">
        <w:rPr>
          <w:sz w:val="24"/>
          <w:szCs w:val="24"/>
        </w:rPr>
        <w:t xml:space="preserve"> pagal patikėjimo </w:t>
      </w:r>
      <w:r w:rsidR="000663D0">
        <w:rPr>
          <w:sz w:val="24"/>
          <w:szCs w:val="24"/>
        </w:rPr>
        <w:t>teisės sutartį perduoti valdyti ir naudoti</w:t>
      </w:r>
      <w:r w:rsidR="00AA2D56">
        <w:rPr>
          <w:sz w:val="24"/>
          <w:szCs w:val="24"/>
        </w:rPr>
        <w:t xml:space="preserve"> </w:t>
      </w:r>
      <w:r w:rsidR="00D004B2" w:rsidRPr="00D004B2">
        <w:rPr>
          <w:sz w:val="24"/>
          <w:szCs w:val="24"/>
        </w:rPr>
        <w:t>Klaipėdos miesto savivaldybei nuosavybės teise priklausantį nekilnojamąjį turtą – gyvenamąsias patalpas (toliau – Turtas)</w:t>
      </w:r>
      <w:r w:rsidR="007E16D0" w:rsidRPr="002011C2">
        <w:rPr>
          <w:sz w:val="24"/>
          <w:szCs w:val="24"/>
        </w:rPr>
        <w:t>.</w:t>
      </w:r>
      <w:r w:rsidR="00D004B2">
        <w:rPr>
          <w:sz w:val="24"/>
          <w:szCs w:val="24"/>
        </w:rPr>
        <w:t xml:space="preserve"> </w:t>
      </w:r>
    </w:p>
    <w:p w14:paraId="1453CA09" w14:textId="77777777" w:rsidR="00C220D0" w:rsidRPr="004660D5" w:rsidRDefault="00C220D0" w:rsidP="00C220D0">
      <w:pPr>
        <w:ind w:firstLine="720"/>
        <w:jc w:val="both"/>
        <w:rPr>
          <w:b/>
          <w:sz w:val="24"/>
          <w:szCs w:val="24"/>
        </w:rPr>
      </w:pPr>
      <w:r w:rsidRPr="004660D5">
        <w:rPr>
          <w:b/>
          <w:sz w:val="24"/>
          <w:szCs w:val="24"/>
        </w:rPr>
        <w:t>2. Projekto rengimo priežastys ir kuo remiantis parengtas sprendimo projektas.</w:t>
      </w:r>
    </w:p>
    <w:p w14:paraId="6D7A806D" w14:textId="77777777" w:rsidR="00AA2D56" w:rsidRDefault="00AA2D56" w:rsidP="00C220D0">
      <w:pPr>
        <w:ind w:firstLine="720"/>
        <w:jc w:val="both"/>
        <w:rPr>
          <w:sz w:val="24"/>
          <w:szCs w:val="24"/>
        </w:rPr>
      </w:pPr>
      <w:r>
        <w:rPr>
          <w:sz w:val="24"/>
          <w:szCs w:val="24"/>
        </w:rPr>
        <w:t>Lietuvos Respublikos valstybės ir savivaldybių turto valdymo, naudojimo ir disponavimo juo įstatymo 12 straipsnio 3 dalyje nurodyta, kad k</w:t>
      </w:r>
      <w:r w:rsidRPr="00AA2D56">
        <w:rPr>
          <w:sz w:val="24"/>
          <w:szCs w:val="24"/>
        </w:rPr>
        <w:t>itiems juridiniams asmenims savivaldybių turtas patikėjimo teise gali būti perduodamas pagal turto patikėjimo sutartį savivaldybių funkcijoms įgyvendinti ir tik tais atvejais, kai šie juridiniai asmenys pagal įstatymus gali atlikti savivaldybių funkcijas.</w:t>
      </w:r>
      <w:r>
        <w:rPr>
          <w:sz w:val="24"/>
          <w:szCs w:val="24"/>
        </w:rPr>
        <w:t xml:space="preserve"> Lietuvos Respublikos vietos savivaldos įstatymo 6 straipsnio </w:t>
      </w:r>
      <w:r w:rsidR="003E3CE9">
        <w:rPr>
          <w:sz w:val="24"/>
          <w:szCs w:val="24"/>
        </w:rPr>
        <w:t xml:space="preserve">15 </w:t>
      </w:r>
      <w:r>
        <w:rPr>
          <w:sz w:val="24"/>
          <w:szCs w:val="24"/>
        </w:rPr>
        <w:t xml:space="preserve">punkte nurodyta, kad viena iš savarankiškųjų savivaldybės funkcijų yra </w:t>
      </w:r>
      <w:r w:rsidR="003E3CE9" w:rsidRPr="003E3CE9">
        <w:rPr>
          <w:sz w:val="24"/>
          <w:szCs w:val="24"/>
        </w:rPr>
        <w:t>socialinio būsto fondo sudarymas ir jo remon</w:t>
      </w:r>
      <w:r w:rsidR="007A5041">
        <w:rPr>
          <w:sz w:val="24"/>
          <w:szCs w:val="24"/>
        </w:rPr>
        <w:t>tas, socialinio būsto nuoma.</w:t>
      </w:r>
      <w:r>
        <w:rPr>
          <w:sz w:val="24"/>
          <w:szCs w:val="24"/>
        </w:rPr>
        <w:t xml:space="preserve"> </w:t>
      </w:r>
    </w:p>
    <w:p w14:paraId="0F9DC88A" w14:textId="3757AE8B" w:rsidR="00CE759A" w:rsidRDefault="00AA2D56" w:rsidP="00CE759A">
      <w:pPr>
        <w:ind w:firstLine="720"/>
        <w:jc w:val="both"/>
        <w:rPr>
          <w:sz w:val="24"/>
          <w:szCs w:val="24"/>
        </w:rPr>
      </w:pPr>
      <w:r>
        <w:rPr>
          <w:sz w:val="24"/>
          <w:szCs w:val="24"/>
        </w:rPr>
        <w:t xml:space="preserve">Šiuo metu </w:t>
      </w:r>
      <w:r w:rsidR="007A5041">
        <w:rPr>
          <w:sz w:val="24"/>
          <w:szCs w:val="24"/>
        </w:rPr>
        <w:t>Įstaiga</w:t>
      </w:r>
      <w:r w:rsidR="004E15FC">
        <w:rPr>
          <w:sz w:val="24"/>
          <w:szCs w:val="24"/>
        </w:rPr>
        <w:t xml:space="preserve"> pagal 2018 m. lapkričio 23 d. Paslaugų </w:t>
      </w:r>
      <w:r w:rsidR="00442E8E">
        <w:rPr>
          <w:sz w:val="24"/>
          <w:szCs w:val="24"/>
        </w:rPr>
        <w:t>sutartį</w:t>
      </w:r>
      <w:r w:rsidR="00CE759A">
        <w:rPr>
          <w:sz w:val="24"/>
          <w:szCs w:val="24"/>
        </w:rPr>
        <w:t xml:space="preserve"> </w:t>
      </w:r>
      <w:r w:rsidR="00CA72AF">
        <w:rPr>
          <w:sz w:val="24"/>
          <w:szCs w:val="24"/>
        </w:rPr>
        <w:t>Nr. J9-2561</w:t>
      </w:r>
      <w:r w:rsidR="00130C37">
        <w:rPr>
          <w:sz w:val="24"/>
          <w:szCs w:val="24"/>
        </w:rPr>
        <w:t xml:space="preserve"> </w:t>
      </w:r>
      <w:r w:rsidR="00CE759A">
        <w:rPr>
          <w:sz w:val="24"/>
          <w:szCs w:val="24"/>
        </w:rPr>
        <w:t>(toliau – Paslaugų sutartis)</w:t>
      </w:r>
      <w:r>
        <w:rPr>
          <w:sz w:val="24"/>
          <w:szCs w:val="24"/>
        </w:rPr>
        <w:t xml:space="preserve"> </w:t>
      </w:r>
      <w:r w:rsidR="007A5041">
        <w:rPr>
          <w:sz w:val="24"/>
          <w:szCs w:val="24"/>
        </w:rPr>
        <w:t>teikia</w:t>
      </w:r>
      <w:r w:rsidR="007A5041" w:rsidRPr="007A5041">
        <w:rPr>
          <w:sz w:val="24"/>
          <w:szCs w:val="24"/>
        </w:rPr>
        <w:t xml:space="preserve"> </w:t>
      </w:r>
      <w:r w:rsidR="004E15FC" w:rsidRPr="004E15FC">
        <w:rPr>
          <w:sz w:val="24"/>
          <w:szCs w:val="24"/>
        </w:rPr>
        <w:t>Klaipėdos miesto savivaldybės gyvenamųjų patalp</w:t>
      </w:r>
      <w:r w:rsidR="004E15FC">
        <w:rPr>
          <w:sz w:val="24"/>
          <w:szCs w:val="24"/>
        </w:rPr>
        <w:t>ų nuomos administravimo paslauga</w:t>
      </w:r>
      <w:r w:rsidR="004E15FC" w:rsidRPr="004E15FC">
        <w:rPr>
          <w:sz w:val="24"/>
          <w:szCs w:val="24"/>
        </w:rPr>
        <w:t>s</w:t>
      </w:r>
      <w:r w:rsidR="007A5041" w:rsidRPr="007A5041">
        <w:rPr>
          <w:sz w:val="24"/>
          <w:szCs w:val="24"/>
        </w:rPr>
        <w:t>.</w:t>
      </w:r>
      <w:r w:rsidR="007A5041">
        <w:rPr>
          <w:sz w:val="24"/>
          <w:szCs w:val="24"/>
        </w:rPr>
        <w:t xml:space="preserve"> </w:t>
      </w:r>
      <w:r w:rsidR="00442E8E">
        <w:rPr>
          <w:sz w:val="24"/>
          <w:szCs w:val="24"/>
        </w:rPr>
        <w:t>Šios sutarties ter</w:t>
      </w:r>
      <w:r w:rsidR="004E15FC">
        <w:rPr>
          <w:sz w:val="24"/>
          <w:szCs w:val="24"/>
        </w:rPr>
        <w:t>minas baigiasi 2022 m. sausio 1</w:t>
      </w:r>
      <w:r w:rsidR="00442E8E">
        <w:rPr>
          <w:sz w:val="24"/>
          <w:szCs w:val="24"/>
        </w:rPr>
        <w:t xml:space="preserve"> d.</w:t>
      </w:r>
      <w:r w:rsidR="00CE759A">
        <w:rPr>
          <w:sz w:val="24"/>
          <w:szCs w:val="24"/>
        </w:rPr>
        <w:t xml:space="preserve"> Ši Paslaugų sutartis buvo sudaryta viešųjų pirkimų būdu trejų metų terminui.</w:t>
      </w:r>
    </w:p>
    <w:p w14:paraId="39CFD4D3" w14:textId="6E63A5BF" w:rsidR="00290562" w:rsidRDefault="00290562" w:rsidP="00CE759A">
      <w:pPr>
        <w:ind w:firstLine="720"/>
        <w:jc w:val="both"/>
        <w:rPr>
          <w:sz w:val="24"/>
          <w:szCs w:val="24"/>
        </w:rPr>
      </w:pPr>
      <w:r>
        <w:rPr>
          <w:sz w:val="24"/>
          <w:szCs w:val="24"/>
        </w:rPr>
        <w:t>Vadovaujantis šiuo metu ga</w:t>
      </w:r>
      <w:r w:rsidR="00F5589F">
        <w:rPr>
          <w:sz w:val="24"/>
          <w:szCs w:val="24"/>
        </w:rPr>
        <w:t>liojančia Paslaugų sutartimi</w:t>
      </w:r>
      <w:r>
        <w:rPr>
          <w:sz w:val="24"/>
          <w:szCs w:val="24"/>
        </w:rPr>
        <w:t xml:space="preserve"> atlygis už suteiktas paslaugas Įstaigai</w:t>
      </w:r>
      <w:r w:rsidR="00F5589F">
        <w:rPr>
          <w:sz w:val="24"/>
          <w:szCs w:val="24"/>
        </w:rPr>
        <w:t xml:space="preserve"> mokamas už 65000 kv. m</w:t>
      </w:r>
      <w:r w:rsidR="001F3FFD">
        <w:rPr>
          <w:sz w:val="24"/>
          <w:szCs w:val="24"/>
        </w:rPr>
        <w:t xml:space="preserve"> naudingo ploto, nes administruojamas plotas nuolat mažėja ir yra mažesnis už Paslaugų sutartyje nustatytą</w:t>
      </w:r>
      <w:r w:rsidR="007F5295">
        <w:rPr>
          <w:sz w:val="24"/>
          <w:szCs w:val="24"/>
        </w:rPr>
        <w:t xml:space="preserve"> minimaliąją </w:t>
      </w:r>
      <w:r w:rsidR="001F3FFD">
        <w:rPr>
          <w:sz w:val="24"/>
          <w:szCs w:val="24"/>
        </w:rPr>
        <w:t>ribą</w:t>
      </w:r>
      <w:r w:rsidR="007F5295">
        <w:rPr>
          <w:sz w:val="24"/>
          <w:szCs w:val="24"/>
        </w:rPr>
        <w:t>.</w:t>
      </w:r>
    </w:p>
    <w:p w14:paraId="33232230" w14:textId="2A15015F" w:rsidR="00CE759A" w:rsidRDefault="002D676E" w:rsidP="007F5295">
      <w:pPr>
        <w:ind w:firstLine="720"/>
        <w:jc w:val="both"/>
        <w:rPr>
          <w:sz w:val="24"/>
          <w:szCs w:val="24"/>
        </w:rPr>
      </w:pPr>
      <w:r>
        <w:rPr>
          <w:sz w:val="24"/>
          <w:szCs w:val="24"/>
        </w:rPr>
        <w:t>Pagal šiuo metu galiojančią Paslaugų sutart</w:t>
      </w:r>
      <w:r w:rsidR="00B51BE7">
        <w:rPr>
          <w:sz w:val="24"/>
          <w:szCs w:val="24"/>
        </w:rPr>
        <w:t xml:space="preserve">į </w:t>
      </w:r>
      <w:r>
        <w:rPr>
          <w:sz w:val="24"/>
          <w:szCs w:val="24"/>
        </w:rPr>
        <w:t>už šios paslaugos vykdymą yra taikomas 0,</w:t>
      </w:r>
      <w:r w:rsidR="0049338E">
        <w:rPr>
          <w:sz w:val="24"/>
          <w:szCs w:val="24"/>
        </w:rPr>
        <w:t xml:space="preserve">2479338 </w:t>
      </w:r>
      <w:r>
        <w:rPr>
          <w:sz w:val="24"/>
          <w:szCs w:val="24"/>
        </w:rPr>
        <w:t xml:space="preserve">Eur </w:t>
      </w:r>
      <w:r w:rsidR="0049338E">
        <w:rPr>
          <w:sz w:val="24"/>
          <w:szCs w:val="24"/>
        </w:rPr>
        <w:t>be</w:t>
      </w:r>
      <w:r>
        <w:rPr>
          <w:sz w:val="24"/>
          <w:szCs w:val="24"/>
        </w:rPr>
        <w:t xml:space="preserve"> PVM įkainis už 1 kv. metrą.</w:t>
      </w:r>
    </w:p>
    <w:p w14:paraId="65E34CEC" w14:textId="77777777" w:rsidR="002D676E" w:rsidRDefault="002D676E" w:rsidP="00CE759A">
      <w:pPr>
        <w:ind w:firstLine="720"/>
        <w:jc w:val="both"/>
        <w:rPr>
          <w:sz w:val="24"/>
          <w:szCs w:val="24"/>
        </w:rPr>
      </w:pPr>
      <w:r>
        <w:rPr>
          <w:sz w:val="24"/>
          <w:szCs w:val="24"/>
        </w:rPr>
        <w:t>Įstaigos gaunamos pajamos</w:t>
      </w:r>
      <w:r w:rsidR="004D3DC6">
        <w:rPr>
          <w:sz w:val="24"/>
          <w:szCs w:val="24"/>
        </w:rPr>
        <w:t xml:space="preserve"> per vieną mėnesį</w:t>
      </w:r>
      <w:r>
        <w:rPr>
          <w:sz w:val="24"/>
          <w:szCs w:val="24"/>
        </w:rPr>
        <w:t xml:space="preserve"> pagal Paslaugų sutartį:</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1403"/>
        <w:gridCol w:w="937"/>
        <w:gridCol w:w="1236"/>
        <w:gridCol w:w="1244"/>
      </w:tblGrid>
      <w:tr w:rsidR="004D3DC6" w:rsidRPr="009D088D" w14:paraId="21D13D11" w14:textId="77777777" w:rsidTr="00527654">
        <w:trPr>
          <w:trHeight w:val="464"/>
        </w:trPr>
        <w:tc>
          <w:tcPr>
            <w:tcW w:w="5043" w:type="dxa"/>
            <w:vMerge w:val="restart"/>
            <w:shd w:val="clear" w:color="auto" w:fill="auto"/>
            <w:noWrap/>
            <w:vAlign w:val="center"/>
            <w:hideMark/>
          </w:tcPr>
          <w:p w14:paraId="5C0AF07F" w14:textId="77777777" w:rsidR="004D3DC6" w:rsidRPr="00037AF5" w:rsidRDefault="004D3DC6" w:rsidP="002A3726">
            <w:pPr>
              <w:jc w:val="center"/>
              <w:rPr>
                <w:color w:val="000000"/>
                <w:sz w:val="24"/>
                <w:szCs w:val="24"/>
              </w:rPr>
            </w:pPr>
            <w:r w:rsidRPr="00037AF5">
              <w:rPr>
                <w:color w:val="000000"/>
                <w:sz w:val="24"/>
                <w:szCs w:val="24"/>
              </w:rPr>
              <w:t>Paslaugos pavadinimas</w:t>
            </w:r>
          </w:p>
        </w:tc>
        <w:tc>
          <w:tcPr>
            <w:tcW w:w="1356" w:type="dxa"/>
            <w:vMerge w:val="restart"/>
            <w:shd w:val="clear" w:color="auto" w:fill="auto"/>
            <w:noWrap/>
            <w:vAlign w:val="center"/>
            <w:hideMark/>
          </w:tcPr>
          <w:p w14:paraId="2AB90E28" w14:textId="77777777" w:rsidR="004D3DC6" w:rsidRPr="00037AF5" w:rsidRDefault="004D3DC6" w:rsidP="002A3726">
            <w:pPr>
              <w:jc w:val="center"/>
              <w:rPr>
                <w:color w:val="000000"/>
                <w:sz w:val="24"/>
                <w:szCs w:val="24"/>
              </w:rPr>
            </w:pPr>
            <w:r w:rsidRPr="00037AF5">
              <w:rPr>
                <w:color w:val="000000"/>
                <w:sz w:val="24"/>
                <w:szCs w:val="24"/>
              </w:rPr>
              <w:t>Mato</w:t>
            </w:r>
          </w:p>
          <w:p w14:paraId="1860DC17" w14:textId="77777777" w:rsidR="004D3DC6" w:rsidRPr="00037AF5" w:rsidRDefault="004D3DC6" w:rsidP="002A3726">
            <w:pPr>
              <w:jc w:val="center"/>
              <w:rPr>
                <w:color w:val="000000"/>
                <w:sz w:val="24"/>
                <w:szCs w:val="24"/>
              </w:rPr>
            </w:pPr>
            <w:r w:rsidRPr="00037AF5">
              <w:rPr>
                <w:color w:val="000000"/>
                <w:sz w:val="24"/>
                <w:szCs w:val="24"/>
              </w:rPr>
              <w:t>vnt.</w:t>
            </w:r>
          </w:p>
        </w:tc>
        <w:tc>
          <w:tcPr>
            <w:tcW w:w="937" w:type="dxa"/>
            <w:vMerge w:val="restart"/>
            <w:shd w:val="clear" w:color="auto" w:fill="auto"/>
            <w:noWrap/>
            <w:vAlign w:val="center"/>
            <w:hideMark/>
          </w:tcPr>
          <w:p w14:paraId="56E823BD" w14:textId="77777777" w:rsidR="004D3DC6" w:rsidRPr="00037AF5" w:rsidRDefault="004D3DC6" w:rsidP="002A3726">
            <w:pPr>
              <w:jc w:val="center"/>
              <w:rPr>
                <w:color w:val="000000"/>
                <w:sz w:val="24"/>
                <w:szCs w:val="24"/>
              </w:rPr>
            </w:pPr>
          </w:p>
          <w:p w14:paraId="22AFEB25" w14:textId="77777777" w:rsidR="004D3DC6" w:rsidRPr="00037AF5" w:rsidRDefault="004D3DC6" w:rsidP="002A3726">
            <w:pPr>
              <w:jc w:val="center"/>
              <w:rPr>
                <w:color w:val="000000"/>
                <w:sz w:val="24"/>
                <w:szCs w:val="24"/>
              </w:rPr>
            </w:pPr>
            <w:r w:rsidRPr="00037AF5">
              <w:rPr>
                <w:color w:val="000000"/>
                <w:sz w:val="24"/>
                <w:szCs w:val="24"/>
              </w:rPr>
              <w:t>Kiekis</w:t>
            </w:r>
          </w:p>
        </w:tc>
        <w:tc>
          <w:tcPr>
            <w:tcW w:w="1196" w:type="dxa"/>
            <w:vMerge w:val="restart"/>
            <w:shd w:val="clear" w:color="auto" w:fill="auto"/>
            <w:noWrap/>
            <w:vAlign w:val="center"/>
            <w:hideMark/>
          </w:tcPr>
          <w:p w14:paraId="51DCA9FB" w14:textId="77777777" w:rsidR="004D3DC6" w:rsidRPr="00037AF5" w:rsidRDefault="004D3DC6" w:rsidP="002A3726">
            <w:pPr>
              <w:jc w:val="center"/>
              <w:rPr>
                <w:color w:val="000000"/>
                <w:sz w:val="24"/>
                <w:szCs w:val="24"/>
              </w:rPr>
            </w:pPr>
            <w:r w:rsidRPr="00037AF5">
              <w:rPr>
                <w:color w:val="000000"/>
                <w:sz w:val="24"/>
                <w:szCs w:val="24"/>
              </w:rPr>
              <w:t>Įkainis</w:t>
            </w:r>
          </w:p>
          <w:p w14:paraId="1971DD39" w14:textId="77777777" w:rsidR="004D3DC6" w:rsidRPr="00037AF5" w:rsidRDefault="004D3DC6" w:rsidP="002A3726">
            <w:pPr>
              <w:jc w:val="center"/>
              <w:rPr>
                <w:color w:val="000000"/>
                <w:sz w:val="24"/>
                <w:szCs w:val="24"/>
              </w:rPr>
            </w:pPr>
            <w:r w:rsidRPr="00037AF5">
              <w:rPr>
                <w:color w:val="000000"/>
                <w:sz w:val="24"/>
                <w:szCs w:val="24"/>
              </w:rPr>
              <w:t>be PVM,</w:t>
            </w:r>
          </w:p>
          <w:p w14:paraId="4040A1C8" w14:textId="77777777" w:rsidR="004D3DC6" w:rsidRPr="00037AF5" w:rsidRDefault="004D3DC6" w:rsidP="002A3726">
            <w:pPr>
              <w:jc w:val="center"/>
              <w:rPr>
                <w:color w:val="000000"/>
                <w:sz w:val="24"/>
                <w:szCs w:val="24"/>
              </w:rPr>
            </w:pPr>
            <w:r w:rsidRPr="00037AF5">
              <w:rPr>
                <w:color w:val="000000"/>
                <w:sz w:val="24"/>
                <w:szCs w:val="24"/>
              </w:rPr>
              <w:t>Eur</w:t>
            </w:r>
          </w:p>
        </w:tc>
        <w:tc>
          <w:tcPr>
            <w:tcW w:w="1244" w:type="dxa"/>
            <w:vMerge w:val="restart"/>
            <w:shd w:val="clear" w:color="auto" w:fill="auto"/>
            <w:noWrap/>
            <w:vAlign w:val="center"/>
            <w:hideMark/>
          </w:tcPr>
          <w:p w14:paraId="0A8B59D7" w14:textId="77777777" w:rsidR="004D3DC6" w:rsidRPr="00037AF5" w:rsidRDefault="004D3DC6" w:rsidP="002A3726">
            <w:pPr>
              <w:jc w:val="center"/>
              <w:rPr>
                <w:color w:val="000000"/>
                <w:sz w:val="24"/>
                <w:szCs w:val="24"/>
              </w:rPr>
            </w:pPr>
            <w:r w:rsidRPr="00037AF5">
              <w:rPr>
                <w:color w:val="000000"/>
                <w:sz w:val="24"/>
                <w:szCs w:val="24"/>
              </w:rPr>
              <w:t>Suma per</w:t>
            </w:r>
          </w:p>
          <w:p w14:paraId="1F023AF7" w14:textId="77777777" w:rsidR="004D3DC6" w:rsidRPr="00037AF5" w:rsidRDefault="004D3DC6" w:rsidP="002A3726">
            <w:pPr>
              <w:jc w:val="center"/>
              <w:rPr>
                <w:color w:val="000000"/>
                <w:sz w:val="24"/>
                <w:szCs w:val="24"/>
              </w:rPr>
            </w:pPr>
            <w:r w:rsidRPr="00037AF5">
              <w:rPr>
                <w:color w:val="000000"/>
                <w:sz w:val="24"/>
                <w:szCs w:val="24"/>
              </w:rPr>
              <w:t>1 mėn.,</w:t>
            </w:r>
          </w:p>
          <w:p w14:paraId="339CCF80" w14:textId="77777777" w:rsidR="004D3DC6" w:rsidRPr="00037AF5" w:rsidRDefault="004D3DC6" w:rsidP="002A3726">
            <w:pPr>
              <w:jc w:val="center"/>
              <w:rPr>
                <w:color w:val="000000"/>
                <w:sz w:val="24"/>
                <w:szCs w:val="24"/>
              </w:rPr>
            </w:pPr>
            <w:r w:rsidRPr="00037AF5">
              <w:rPr>
                <w:color w:val="000000"/>
                <w:sz w:val="24"/>
                <w:szCs w:val="24"/>
              </w:rPr>
              <w:t>Eur</w:t>
            </w:r>
          </w:p>
        </w:tc>
      </w:tr>
      <w:tr w:rsidR="004D3DC6" w:rsidRPr="009D088D" w14:paraId="3088C74C" w14:textId="77777777" w:rsidTr="00527654">
        <w:trPr>
          <w:trHeight w:val="464"/>
        </w:trPr>
        <w:tc>
          <w:tcPr>
            <w:tcW w:w="5043" w:type="dxa"/>
            <w:vMerge/>
            <w:shd w:val="clear" w:color="auto" w:fill="auto"/>
            <w:noWrap/>
            <w:vAlign w:val="center"/>
            <w:hideMark/>
          </w:tcPr>
          <w:p w14:paraId="7320674D" w14:textId="77777777" w:rsidR="004D3DC6" w:rsidRPr="009D088D" w:rsidRDefault="004D3DC6" w:rsidP="002A3726">
            <w:pPr>
              <w:jc w:val="center"/>
              <w:rPr>
                <w:color w:val="000000"/>
              </w:rPr>
            </w:pPr>
          </w:p>
        </w:tc>
        <w:tc>
          <w:tcPr>
            <w:tcW w:w="1356" w:type="dxa"/>
            <w:vMerge/>
            <w:shd w:val="clear" w:color="auto" w:fill="auto"/>
            <w:noWrap/>
            <w:vAlign w:val="center"/>
            <w:hideMark/>
          </w:tcPr>
          <w:p w14:paraId="3D27E2AB" w14:textId="77777777" w:rsidR="004D3DC6" w:rsidRPr="009D088D" w:rsidRDefault="004D3DC6" w:rsidP="002A3726">
            <w:pPr>
              <w:jc w:val="center"/>
              <w:rPr>
                <w:color w:val="000000"/>
              </w:rPr>
            </w:pPr>
          </w:p>
        </w:tc>
        <w:tc>
          <w:tcPr>
            <w:tcW w:w="937" w:type="dxa"/>
            <w:vMerge/>
            <w:shd w:val="clear" w:color="auto" w:fill="auto"/>
            <w:noWrap/>
            <w:vAlign w:val="center"/>
            <w:hideMark/>
          </w:tcPr>
          <w:p w14:paraId="3E2F90F7" w14:textId="77777777" w:rsidR="004D3DC6" w:rsidRPr="009D088D" w:rsidRDefault="004D3DC6" w:rsidP="002A3726">
            <w:pPr>
              <w:jc w:val="center"/>
              <w:rPr>
                <w:color w:val="000000"/>
              </w:rPr>
            </w:pPr>
          </w:p>
        </w:tc>
        <w:tc>
          <w:tcPr>
            <w:tcW w:w="1196" w:type="dxa"/>
            <w:vMerge/>
            <w:shd w:val="clear" w:color="auto" w:fill="auto"/>
            <w:noWrap/>
            <w:vAlign w:val="center"/>
            <w:hideMark/>
          </w:tcPr>
          <w:p w14:paraId="41D91B36" w14:textId="77777777" w:rsidR="004D3DC6" w:rsidRPr="009D088D" w:rsidRDefault="004D3DC6" w:rsidP="002A3726">
            <w:pPr>
              <w:jc w:val="center"/>
              <w:rPr>
                <w:color w:val="000000"/>
              </w:rPr>
            </w:pPr>
          </w:p>
        </w:tc>
        <w:tc>
          <w:tcPr>
            <w:tcW w:w="1244" w:type="dxa"/>
            <w:vMerge/>
            <w:shd w:val="clear" w:color="auto" w:fill="auto"/>
            <w:noWrap/>
            <w:vAlign w:val="center"/>
            <w:hideMark/>
          </w:tcPr>
          <w:p w14:paraId="40F5CB65" w14:textId="77777777" w:rsidR="004D3DC6" w:rsidRPr="009D088D" w:rsidRDefault="004D3DC6" w:rsidP="002A3726">
            <w:pPr>
              <w:jc w:val="center"/>
              <w:rPr>
                <w:color w:val="000000"/>
              </w:rPr>
            </w:pPr>
          </w:p>
        </w:tc>
      </w:tr>
      <w:tr w:rsidR="004D3DC6" w:rsidRPr="009D088D" w14:paraId="4AEDB0C7" w14:textId="77777777" w:rsidTr="00527654">
        <w:trPr>
          <w:trHeight w:val="464"/>
        </w:trPr>
        <w:tc>
          <w:tcPr>
            <w:tcW w:w="5043" w:type="dxa"/>
            <w:vMerge/>
            <w:shd w:val="clear" w:color="auto" w:fill="auto"/>
            <w:noWrap/>
            <w:vAlign w:val="center"/>
            <w:hideMark/>
          </w:tcPr>
          <w:p w14:paraId="0A526DC7" w14:textId="77777777" w:rsidR="004D3DC6" w:rsidRPr="009D088D" w:rsidRDefault="004D3DC6" w:rsidP="002A3726">
            <w:pPr>
              <w:jc w:val="center"/>
              <w:rPr>
                <w:color w:val="000000"/>
              </w:rPr>
            </w:pPr>
          </w:p>
        </w:tc>
        <w:tc>
          <w:tcPr>
            <w:tcW w:w="1356" w:type="dxa"/>
            <w:vMerge/>
            <w:shd w:val="clear" w:color="auto" w:fill="auto"/>
            <w:noWrap/>
            <w:vAlign w:val="center"/>
            <w:hideMark/>
          </w:tcPr>
          <w:p w14:paraId="174A237E" w14:textId="77777777" w:rsidR="004D3DC6" w:rsidRPr="009D088D" w:rsidRDefault="004D3DC6" w:rsidP="002A3726">
            <w:pPr>
              <w:jc w:val="center"/>
              <w:rPr>
                <w:color w:val="000000"/>
              </w:rPr>
            </w:pPr>
          </w:p>
        </w:tc>
        <w:tc>
          <w:tcPr>
            <w:tcW w:w="937" w:type="dxa"/>
            <w:vMerge/>
            <w:shd w:val="clear" w:color="auto" w:fill="auto"/>
            <w:noWrap/>
            <w:vAlign w:val="center"/>
            <w:hideMark/>
          </w:tcPr>
          <w:p w14:paraId="12405518" w14:textId="77777777" w:rsidR="004D3DC6" w:rsidRPr="009D088D" w:rsidRDefault="004D3DC6" w:rsidP="002A3726">
            <w:pPr>
              <w:jc w:val="center"/>
              <w:rPr>
                <w:color w:val="000000"/>
              </w:rPr>
            </w:pPr>
          </w:p>
        </w:tc>
        <w:tc>
          <w:tcPr>
            <w:tcW w:w="1196" w:type="dxa"/>
            <w:vMerge/>
            <w:shd w:val="clear" w:color="auto" w:fill="auto"/>
            <w:noWrap/>
            <w:vAlign w:val="center"/>
            <w:hideMark/>
          </w:tcPr>
          <w:p w14:paraId="490D35A9" w14:textId="77777777" w:rsidR="004D3DC6" w:rsidRPr="009D088D" w:rsidRDefault="004D3DC6" w:rsidP="002A3726">
            <w:pPr>
              <w:jc w:val="center"/>
              <w:rPr>
                <w:color w:val="000000"/>
              </w:rPr>
            </w:pPr>
          </w:p>
        </w:tc>
        <w:tc>
          <w:tcPr>
            <w:tcW w:w="1244" w:type="dxa"/>
            <w:vMerge/>
            <w:shd w:val="clear" w:color="auto" w:fill="auto"/>
            <w:noWrap/>
            <w:vAlign w:val="center"/>
            <w:hideMark/>
          </w:tcPr>
          <w:p w14:paraId="1AD07A3A" w14:textId="77777777" w:rsidR="004D3DC6" w:rsidRPr="009D088D" w:rsidRDefault="004D3DC6" w:rsidP="002A3726">
            <w:pPr>
              <w:jc w:val="center"/>
              <w:rPr>
                <w:color w:val="000000"/>
              </w:rPr>
            </w:pPr>
          </w:p>
        </w:tc>
      </w:tr>
      <w:tr w:rsidR="00013F39" w:rsidRPr="009D088D" w14:paraId="712039EA" w14:textId="77777777" w:rsidTr="00527654">
        <w:trPr>
          <w:trHeight w:val="3424"/>
        </w:trPr>
        <w:tc>
          <w:tcPr>
            <w:tcW w:w="5043" w:type="dxa"/>
            <w:shd w:val="clear" w:color="auto" w:fill="auto"/>
            <w:hideMark/>
          </w:tcPr>
          <w:p w14:paraId="23D71680" w14:textId="77777777" w:rsidR="00013F39" w:rsidRPr="00037AF5" w:rsidRDefault="00013F39" w:rsidP="00DB5BFE">
            <w:pPr>
              <w:rPr>
                <w:color w:val="000000"/>
                <w:sz w:val="24"/>
                <w:szCs w:val="24"/>
              </w:rPr>
            </w:pPr>
            <w:r w:rsidRPr="00037AF5">
              <w:rPr>
                <w:color w:val="000000"/>
                <w:sz w:val="24"/>
                <w:szCs w:val="24"/>
              </w:rPr>
              <w:t>Klaipėdos miesto savivaldybės gyvenamųjų patalpų nuomos administravimo paslaugos</w:t>
            </w:r>
            <w:r w:rsidR="00DB5BFE" w:rsidRPr="00037AF5">
              <w:rPr>
                <w:color w:val="000000"/>
                <w:sz w:val="24"/>
                <w:szCs w:val="24"/>
              </w:rPr>
              <w:t>:</w:t>
            </w:r>
          </w:p>
          <w:p w14:paraId="19879B87" w14:textId="38DDD93E" w:rsidR="00DB5BFE" w:rsidRDefault="00C83BEA" w:rsidP="00037AF5">
            <w:pPr>
              <w:rPr>
                <w:color w:val="000000"/>
                <w:sz w:val="24"/>
                <w:szCs w:val="24"/>
              </w:rPr>
            </w:pPr>
            <w:r>
              <w:rPr>
                <w:color w:val="000000"/>
                <w:sz w:val="24"/>
                <w:szCs w:val="24"/>
              </w:rPr>
              <w:t>1. N</w:t>
            </w:r>
            <w:r w:rsidR="00037AF5" w:rsidRPr="00037AF5">
              <w:rPr>
                <w:color w:val="000000"/>
                <w:sz w:val="24"/>
                <w:szCs w:val="24"/>
              </w:rPr>
              <w:t>uomos sutarčių</w:t>
            </w:r>
            <w:r w:rsidR="00037AF5">
              <w:rPr>
                <w:color w:val="000000"/>
                <w:sz w:val="24"/>
                <w:szCs w:val="24"/>
              </w:rPr>
              <w:t xml:space="preserve"> sudarymo ir sudarytų sutarčių bei perduotų administruoti gyvenamųjų patalpų apskaitymo paslaugos</w:t>
            </w:r>
            <w:r>
              <w:rPr>
                <w:color w:val="000000"/>
                <w:sz w:val="24"/>
                <w:szCs w:val="24"/>
              </w:rPr>
              <w:t>.</w:t>
            </w:r>
          </w:p>
          <w:p w14:paraId="0A7431D1" w14:textId="1055884F" w:rsidR="00037AF5" w:rsidRDefault="00C83BEA" w:rsidP="00037AF5">
            <w:pPr>
              <w:rPr>
                <w:color w:val="000000"/>
                <w:sz w:val="24"/>
                <w:szCs w:val="24"/>
              </w:rPr>
            </w:pPr>
            <w:r>
              <w:rPr>
                <w:color w:val="000000"/>
                <w:sz w:val="24"/>
                <w:szCs w:val="24"/>
              </w:rPr>
              <w:t>2. G</w:t>
            </w:r>
            <w:r w:rsidR="00037AF5">
              <w:rPr>
                <w:color w:val="000000"/>
                <w:sz w:val="24"/>
                <w:szCs w:val="24"/>
              </w:rPr>
              <w:t>yvenamųjų patalpų nuomos mokesčio apskaičiavimo ir surinkimo paslaugos</w:t>
            </w:r>
            <w:r>
              <w:rPr>
                <w:color w:val="000000"/>
                <w:sz w:val="24"/>
                <w:szCs w:val="24"/>
              </w:rPr>
              <w:t>.</w:t>
            </w:r>
          </w:p>
          <w:p w14:paraId="4A2C5BD8" w14:textId="143335B5" w:rsidR="00037AF5" w:rsidRDefault="00C83BEA" w:rsidP="00037AF5">
            <w:pPr>
              <w:rPr>
                <w:color w:val="000000"/>
                <w:sz w:val="24"/>
                <w:szCs w:val="24"/>
              </w:rPr>
            </w:pPr>
            <w:r>
              <w:rPr>
                <w:color w:val="000000"/>
                <w:sz w:val="24"/>
                <w:szCs w:val="24"/>
              </w:rPr>
              <w:t>3. Ne</w:t>
            </w:r>
            <w:r w:rsidR="00037AF5">
              <w:rPr>
                <w:color w:val="000000"/>
                <w:sz w:val="24"/>
                <w:szCs w:val="24"/>
              </w:rPr>
              <w:t>sumokėto nuomos mokesčio išieškojimo ir nemokių nuomininkų iškeldinimo iš butų organizavimo ir vykdymo paslaugos</w:t>
            </w:r>
            <w:r>
              <w:rPr>
                <w:color w:val="000000"/>
                <w:sz w:val="24"/>
                <w:szCs w:val="24"/>
              </w:rPr>
              <w:t>.</w:t>
            </w:r>
          </w:p>
          <w:p w14:paraId="0BA00B04" w14:textId="3C8D54FF" w:rsidR="00C83BEA" w:rsidRDefault="00C83BEA" w:rsidP="00037AF5">
            <w:pPr>
              <w:rPr>
                <w:color w:val="000000"/>
                <w:sz w:val="24"/>
                <w:szCs w:val="24"/>
              </w:rPr>
            </w:pPr>
            <w:r>
              <w:rPr>
                <w:color w:val="000000"/>
                <w:sz w:val="24"/>
                <w:szCs w:val="24"/>
              </w:rPr>
              <w:t>4. Perduotų administruoti gyvenamųjų patalpų tinkamos techninės būklės užtikrinimo paslaugos.</w:t>
            </w:r>
          </w:p>
          <w:p w14:paraId="15028F9C" w14:textId="739B20FF" w:rsidR="00C83BEA" w:rsidRPr="00CA72AF" w:rsidRDefault="00C83BEA" w:rsidP="00037AF5">
            <w:pPr>
              <w:rPr>
                <w:color w:val="000000"/>
                <w:sz w:val="24"/>
                <w:szCs w:val="24"/>
              </w:rPr>
            </w:pPr>
            <w:r>
              <w:rPr>
                <w:color w:val="000000"/>
                <w:sz w:val="24"/>
                <w:szCs w:val="24"/>
              </w:rPr>
              <w:t>5</w:t>
            </w:r>
            <w:r w:rsidRPr="00CA72AF">
              <w:rPr>
                <w:color w:val="000000"/>
                <w:sz w:val="24"/>
                <w:szCs w:val="24"/>
              </w:rPr>
              <w:t>.</w:t>
            </w:r>
            <w:r w:rsidR="00CA72AF" w:rsidRPr="00CA72AF">
              <w:rPr>
                <w:color w:val="000000"/>
                <w:sz w:val="24"/>
                <w:szCs w:val="24"/>
              </w:rPr>
              <w:t xml:space="preserve"> Savivaldybės, kaip daugiabučių namų bendrųjų objektų bendraturtės, teisių ir pareigų proporcingai savo daliai apmokėti išlaidas namui išlaikyti, išsaugoti, mokėti mokesčius, rinkliavas ir kitas įmokas, taip pat reguliariai daryti atskaitymus kaupti lėšas, kurios bus skiriamos namui atnaujinti, vykdymo paslaugos</w:t>
            </w:r>
          </w:p>
          <w:p w14:paraId="1BA3947E" w14:textId="1A94D513" w:rsidR="00C83BEA" w:rsidRPr="00037AF5" w:rsidRDefault="00C83BEA" w:rsidP="00037AF5">
            <w:pPr>
              <w:rPr>
                <w:color w:val="000000"/>
                <w:sz w:val="24"/>
                <w:szCs w:val="24"/>
              </w:rPr>
            </w:pPr>
          </w:p>
        </w:tc>
        <w:tc>
          <w:tcPr>
            <w:tcW w:w="1356" w:type="dxa"/>
            <w:shd w:val="clear" w:color="auto" w:fill="auto"/>
            <w:hideMark/>
          </w:tcPr>
          <w:p w14:paraId="6D846336" w14:textId="77777777" w:rsidR="00013F39" w:rsidRPr="00037AF5" w:rsidRDefault="00013F39" w:rsidP="00DB5BFE">
            <w:pPr>
              <w:rPr>
                <w:color w:val="000000"/>
                <w:sz w:val="24"/>
                <w:szCs w:val="24"/>
              </w:rPr>
            </w:pPr>
            <w:r w:rsidRPr="00037AF5">
              <w:rPr>
                <w:color w:val="000000"/>
                <w:sz w:val="24"/>
                <w:szCs w:val="24"/>
              </w:rPr>
              <w:t>Bendras gyvenamųjų patalpų plotas (kv. m)/ mėn.</w:t>
            </w:r>
          </w:p>
        </w:tc>
        <w:tc>
          <w:tcPr>
            <w:tcW w:w="937" w:type="dxa"/>
            <w:shd w:val="clear" w:color="auto" w:fill="auto"/>
            <w:noWrap/>
            <w:hideMark/>
          </w:tcPr>
          <w:p w14:paraId="0ADF0CBA" w14:textId="67781908" w:rsidR="00013F39" w:rsidRPr="00037AF5" w:rsidRDefault="00C83BEA" w:rsidP="00DB5BFE">
            <w:pPr>
              <w:rPr>
                <w:color w:val="000000"/>
                <w:sz w:val="24"/>
                <w:szCs w:val="24"/>
              </w:rPr>
            </w:pPr>
            <w:r>
              <w:rPr>
                <w:color w:val="000000"/>
                <w:sz w:val="24"/>
                <w:szCs w:val="24"/>
              </w:rPr>
              <w:t>65</w:t>
            </w:r>
            <w:r w:rsidR="00130C37">
              <w:rPr>
                <w:color w:val="000000"/>
                <w:sz w:val="24"/>
                <w:szCs w:val="24"/>
              </w:rPr>
              <w:t>000</w:t>
            </w:r>
          </w:p>
        </w:tc>
        <w:tc>
          <w:tcPr>
            <w:tcW w:w="1196" w:type="dxa"/>
            <w:shd w:val="clear" w:color="auto" w:fill="auto"/>
            <w:noWrap/>
            <w:hideMark/>
          </w:tcPr>
          <w:p w14:paraId="29F7E3A9" w14:textId="77777777" w:rsidR="00013F39" w:rsidRPr="00037AF5" w:rsidRDefault="00013F39" w:rsidP="00DB5BFE">
            <w:pPr>
              <w:rPr>
                <w:color w:val="000000"/>
                <w:sz w:val="24"/>
                <w:szCs w:val="24"/>
              </w:rPr>
            </w:pPr>
            <w:r w:rsidRPr="00037AF5">
              <w:rPr>
                <w:color w:val="000000"/>
                <w:sz w:val="24"/>
                <w:szCs w:val="24"/>
              </w:rPr>
              <w:t>0,2479338</w:t>
            </w:r>
          </w:p>
        </w:tc>
        <w:tc>
          <w:tcPr>
            <w:tcW w:w="1244" w:type="dxa"/>
            <w:shd w:val="clear" w:color="auto" w:fill="auto"/>
            <w:noWrap/>
            <w:hideMark/>
          </w:tcPr>
          <w:p w14:paraId="25E584B1" w14:textId="009912AB" w:rsidR="00013F39" w:rsidRPr="00130C37" w:rsidRDefault="00130C37" w:rsidP="00DB5BFE">
            <w:pPr>
              <w:rPr>
                <w:color w:val="000000"/>
                <w:sz w:val="24"/>
                <w:szCs w:val="24"/>
              </w:rPr>
            </w:pPr>
            <w:r w:rsidRPr="00130C37">
              <w:rPr>
                <w:color w:val="000000"/>
                <w:sz w:val="24"/>
                <w:szCs w:val="24"/>
              </w:rPr>
              <w:t>16115,70</w:t>
            </w:r>
          </w:p>
        </w:tc>
      </w:tr>
    </w:tbl>
    <w:p w14:paraId="022DB565" w14:textId="77777777" w:rsidR="004D3DC6" w:rsidRDefault="004D3DC6" w:rsidP="004D3DC6">
      <w:pPr>
        <w:jc w:val="both"/>
        <w:rPr>
          <w:sz w:val="24"/>
          <w:szCs w:val="24"/>
        </w:rPr>
      </w:pPr>
    </w:p>
    <w:p w14:paraId="2E94A811" w14:textId="77777777" w:rsidR="00C15004" w:rsidRDefault="00C15004" w:rsidP="00CE759A">
      <w:pPr>
        <w:ind w:firstLine="720"/>
        <w:jc w:val="both"/>
        <w:rPr>
          <w:color w:val="000000"/>
          <w:sz w:val="24"/>
          <w:szCs w:val="24"/>
        </w:rPr>
      </w:pPr>
      <w:r>
        <w:rPr>
          <w:sz w:val="24"/>
          <w:szCs w:val="24"/>
        </w:rPr>
        <w:t xml:space="preserve">Teikdama </w:t>
      </w:r>
      <w:r w:rsidRPr="002D676E">
        <w:rPr>
          <w:color w:val="000000"/>
          <w:sz w:val="24"/>
          <w:szCs w:val="24"/>
        </w:rPr>
        <w:t>Klaipėdos miesto savivaldybės gyvenamųjų patalpų</w:t>
      </w:r>
      <w:r>
        <w:rPr>
          <w:color w:val="000000"/>
          <w:sz w:val="24"/>
          <w:szCs w:val="24"/>
        </w:rPr>
        <w:t xml:space="preserve"> nuomos administravimo paslaugą Įstaiga vykdė:</w:t>
      </w:r>
    </w:p>
    <w:p w14:paraId="18005123" w14:textId="77777777" w:rsidR="00C15004" w:rsidRDefault="00C15004" w:rsidP="00C15004">
      <w:pPr>
        <w:pStyle w:val="Sraopastraipa"/>
        <w:numPr>
          <w:ilvl w:val="0"/>
          <w:numId w:val="1"/>
        </w:numPr>
        <w:jc w:val="both"/>
        <w:rPr>
          <w:sz w:val="24"/>
          <w:szCs w:val="24"/>
        </w:rPr>
      </w:pPr>
      <w:r w:rsidRPr="00C15004">
        <w:rPr>
          <w:sz w:val="24"/>
          <w:szCs w:val="24"/>
        </w:rPr>
        <w:t>Gyvenamųjų patalpų nuomos mokesčio aps</w:t>
      </w:r>
      <w:r>
        <w:rPr>
          <w:sz w:val="24"/>
          <w:szCs w:val="24"/>
        </w:rPr>
        <w:t>kaičiavimą ir surinkimą;</w:t>
      </w:r>
    </w:p>
    <w:p w14:paraId="5F3559FB" w14:textId="77777777" w:rsidR="00C15004" w:rsidRDefault="00C15004" w:rsidP="00C15004">
      <w:pPr>
        <w:pStyle w:val="Sraopastraipa"/>
        <w:numPr>
          <w:ilvl w:val="0"/>
          <w:numId w:val="1"/>
        </w:numPr>
        <w:jc w:val="both"/>
        <w:rPr>
          <w:sz w:val="24"/>
          <w:szCs w:val="24"/>
        </w:rPr>
      </w:pPr>
      <w:r>
        <w:rPr>
          <w:sz w:val="24"/>
          <w:szCs w:val="24"/>
        </w:rPr>
        <w:t>Prevencinį darbą</w:t>
      </w:r>
      <w:r w:rsidRPr="00C15004">
        <w:rPr>
          <w:sz w:val="24"/>
          <w:szCs w:val="24"/>
        </w:rPr>
        <w:t xml:space="preserve"> su nuomininkais dėl sutarties vykdymo ar nevykdymo. </w:t>
      </w:r>
      <w:r>
        <w:rPr>
          <w:sz w:val="24"/>
          <w:szCs w:val="24"/>
        </w:rPr>
        <w:t>Organizavo ir vykdė n</w:t>
      </w:r>
      <w:r w:rsidRPr="00C15004">
        <w:rPr>
          <w:sz w:val="24"/>
          <w:szCs w:val="24"/>
        </w:rPr>
        <w:t>esumok</w:t>
      </w:r>
      <w:r>
        <w:rPr>
          <w:sz w:val="24"/>
          <w:szCs w:val="24"/>
        </w:rPr>
        <w:t>ėto nuomos mokesčio išieškojimą</w:t>
      </w:r>
      <w:r w:rsidRPr="00C15004">
        <w:rPr>
          <w:sz w:val="24"/>
          <w:szCs w:val="24"/>
        </w:rPr>
        <w:t xml:space="preserve"> i</w:t>
      </w:r>
      <w:r>
        <w:rPr>
          <w:sz w:val="24"/>
          <w:szCs w:val="24"/>
        </w:rPr>
        <w:t>r nemokių nuomininkų iškeldinimą iš butų;</w:t>
      </w:r>
    </w:p>
    <w:p w14:paraId="1CC9E577" w14:textId="77777777" w:rsidR="00C15004" w:rsidRDefault="00C15004" w:rsidP="00C15004">
      <w:pPr>
        <w:pStyle w:val="Sraopastraipa"/>
        <w:numPr>
          <w:ilvl w:val="0"/>
          <w:numId w:val="1"/>
        </w:numPr>
        <w:jc w:val="both"/>
        <w:rPr>
          <w:sz w:val="24"/>
          <w:szCs w:val="24"/>
        </w:rPr>
      </w:pPr>
      <w:r w:rsidRPr="00C15004">
        <w:rPr>
          <w:sz w:val="24"/>
          <w:szCs w:val="24"/>
        </w:rPr>
        <w:t>Perduotų administruoti gyvenamųjų patalpų tinka</w:t>
      </w:r>
      <w:r>
        <w:rPr>
          <w:sz w:val="24"/>
          <w:szCs w:val="24"/>
        </w:rPr>
        <w:t>mos techninės būklės užtikrinimą;</w:t>
      </w:r>
    </w:p>
    <w:p w14:paraId="0874B7FD" w14:textId="77777777" w:rsidR="00C15004" w:rsidRPr="00C15004" w:rsidRDefault="00C15004" w:rsidP="00C15004">
      <w:pPr>
        <w:pStyle w:val="Sraopastraipa"/>
        <w:numPr>
          <w:ilvl w:val="0"/>
          <w:numId w:val="1"/>
        </w:numPr>
        <w:jc w:val="both"/>
        <w:rPr>
          <w:sz w:val="24"/>
          <w:szCs w:val="24"/>
        </w:rPr>
      </w:pPr>
      <w:r w:rsidRPr="00C15004">
        <w:rPr>
          <w:sz w:val="24"/>
          <w:szCs w:val="24"/>
        </w:rPr>
        <w:t>Savivaldybės, kaip daugiabučių namų bendrųjų objektų bendraturtės, teisių ir pareigų pr</w:t>
      </w:r>
      <w:r w:rsidR="00C25600">
        <w:rPr>
          <w:sz w:val="24"/>
          <w:szCs w:val="24"/>
        </w:rPr>
        <w:t>oporcingai savo daliai išlaidų apmokėjimą</w:t>
      </w:r>
      <w:r w:rsidRPr="00C15004">
        <w:rPr>
          <w:sz w:val="24"/>
          <w:szCs w:val="24"/>
        </w:rPr>
        <w:t xml:space="preserve"> namui išlaikyti, išsaugoti, mokėti mokesčius, rinkliavas ir kitas įmokas, taip pat reguliariai daryti atskaitymus kaupti lėšas, kurios bus skiriamos nam</w:t>
      </w:r>
      <w:r w:rsidR="00C25600">
        <w:rPr>
          <w:sz w:val="24"/>
          <w:szCs w:val="24"/>
        </w:rPr>
        <w:t>ui atnaujinti.</w:t>
      </w:r>
    </w:p>
    <w:p w14:paraId="00C30968" w14:textId="77777777" w:rsidR="002D676E" w:rsidRDefault="00C76D47" w:rsidP="00CE759A">
      <w:pPr>
        <w:ind w:firstLine="720"/>
        <w:jc w:val="both"/>
        <w:rPr>
          <w:sz w:val="24"/>
          <w:szCs w:val="24"/>
        </w:rPr>
      </w:pPr>
      <w:r>
        <w:rPr>
          <w:sz w:val="24"/>
          <w:szCs w:val="24"/>
        </w:rPr>
        <w:t>Kadangi Paslaugų sutarties terminas baigiasi 2022-01-01, būtina priimti sprendimą dėl tolimesnio Klaipėdos miesto savivaldybės gyvenamųjų patalpų nuomos administravimo paslaugos teikimo.</w:t>
      </w:r>
    </w:p>
    <w:p w14:paraId="554C7980" w14:textId="77777777" w:rsidR="00C76D47" w:rsidRDefault="00C76D47" w:rsidP="00CE759A">
      <w:pPr>
        <w:ind w:firstLine="720"/>
        <w:jc w:val="both"/>
        <w:rPr>
          <w:sz w:val="24"/>
          <w:szCs w:val="24"/>
        </w:rPr>
      </w:pPr>
      <w:r>
        <w:rPr>
          <w:sz w:val="24"/>
          <w:szCs w:val="24"/>
        </w:rPr>
        <w:t>Klaipėdos miesto savivaldybės administracijos direktoriaus įsakymu buvo sud</w:t>
      </w:r>
      <w:r w:rsidR="00774CF0">
        <w:rPr>
          <w:sz w:val="24"/>
          <w:szCs w:val="24"/>
        </w:rPr>
        <w:t>aryta darbo grupė dėl tolimesnių</w:t>
      </w:r>
      <w:r>
        <w:rPr>
          <w:sz w:val="24"/>
          <w:szCs w:val="24"/>
        </w:rPr>
        <w:t xml:space="preserve"> savivaldybės gyvenamųjų patalpų </w:t>
      </w:r>
      <w:r w:rsidR="00774CF0">
        <w:rPr>
          <w:sz w:val="24"/>
          <w:szCs w:val="24"/>
        </w:rPr>
        <w:t>nuomos administravimo paslaugos teikimo galimybių.</w:t>
      </w:r>
      <w:r w:rsidR="00162D07">
        <w:rPr>
          <w:sz w:val="24"/>
          <w:szCs w:val="24"/>
        </w:rPr>
        <w:t xml:space="preserve"> Buvo nagrinėjamos šios galimybės:</w:t>
      </w:r>
    </w:p>
    <w:p w14:paraId="71DE0F78" w14:textId="77777777" w:rsidR="00162D07" w:rsidRDefault="00162D07" w:rsidP="00CE759A">
      <w:pPr>
        <w:ind w:firstLine="720"/>
        <w:jc w:val="both"/>
        <w:rPr>
          <w:sz w:val="24"/>
          <w:szCs w:val="24"/>
        </w:rPr>
      </w:pPr>
      <w:r>
        <w:rPr>
          <w:sz w:val="24"/>
          <w:szCs w:val="24"/>
        </w:rPr>
        <w:t xml:space="preserve">1. </w:t>
      </w:r>
      <w:r w:rsidRPr="001230A2">
        <w:rPr>
          <w:i/>
          <w:sz w:val="24"/>
          <w:szCs w:val="24"/>
        </w:rPr>
        <w:t>Įstaigos juridinės formos pakeitimas (Į biudžetinę įstaigą, savivaldybės įmonę)</w:t>
      </w:r>
      <w:r w:rsidR="001230A2">
        <w:rPr>
          <w:sz w:val="24"/>
          <w:szCs w:val="24"/>
        </w:rPr>
        <w:t>.</w:t>
      </w:r>
    </w:p>
    <w:p w14:paraId="6F047071" w14:textId="77777777" w:rsidR="00C25600" w:rsidRDefault="00C25600" w:rsidP="00CE759A">
      <w:pPr>
        <w:ind w:firstLine="720"/>
        <w:jc w:val="both"/>
        <w:rPr>
          <w:sz w:val="24"/>
          <w:szCs w:val="24"/>
        </w:rPr>
      </w:pPr>
      <w:r>
        <w:rPr>
          <w:sz w:val="24"/>
          <w:szCs w:val="24"/>
        </w:rPr>
        <w:t>Įstaigos juridinės formos pakeitimas užimtų pakankamai daug laiko. Pakeitus Įstaigos juridinę formą išliktų būtinybė vykdyti viešąjį pirkimą dėl paslaugos pirkimo arba perduoti gyvenamąsias patalpas pagal Turto patikėjimo sutartį</w:t>
      </w:r>
      <w:r w:rsidR="00001F83">
        <w:rPr>
          <w:sz w:val="24"/>
          <w:szCs w:val="24"/>
        </w:rPr>
        <w:t xml:space="preserve">. </w:t>
      </w:r>
    </w:p>
    <w:p w14:paraId="185A9704" w14:textId="77777777" w:rsidR="00C25600" w:rsidRDefault="00C25600" w:rsidP="00CE759A">
      <w:pPr>
        <w:ind w:firstLine="720"/>
        <w:jc w:val="both"/>
        <w:rPr>
          <w:sz w:val="24"/>
          <w:szCs w:val="24"/>
        </w:rPr>
      </w:pPr>
      <w:r>
        <w:rPr>
          <w:sz w:val="24"/>
          <w:szCs w:val="24"/>
        </w:rPr>
        <w:t xml:space="preserve">2. </w:t>
      </w:r>
      <w:r w:rsidRPr="001230A2">
        <w:rPr>
          <w:i/>
          <w:sz w:val="24"/>
          <w:szCs w:val="24"/>
        </w:rPr>
        <w:t>Viešojo pirkimo orga</w:t>
      </w:r>
      <w:r w:rsidR="00001F83" w:rsidRPr="001230A2">
        <w:rPr>
          <w:i/>
          <w:sz w:val="24"/>
          <w:szCs w:val="24"/>
        </w:rPr>
        <w:t>nizavimas dėl paslaugos teikimo</w:t>
      </w:r>
      <w:r w:rsidR="00001F83">
        <w:rPr>
          <w:sz w:val="24"/>
          <w:szCs w:val="24"/>
        </w:rPr>
        <w:t xml:space="preserve">. Pasirinkus šią alternatyvą atsiranda didelė rizika dėl Įstaigos tolimesnės veiklos vykdymo, jeigu ji nelaimėtų viešojo pirkimo. Taip pat matome didelę riziką dėl </w:t>
      </w:r>
      <w:r w:rsidR="00001F83" w:rsidRPr="002D676E">
        <w:rPr>
          <w:color w:val="000000"/>
          <w:sz w:val="24"/>
          <w:szCs w:val="24"/>
        </w:rPr>
        <w:t>gyvenamųjų patalpų nuomos administravimo paslaugos</w:t>
      </w:r>
      <w:r w:rsidR="00001F83">
        <w:rPr>
          <w:color w:val="000000"/>
          <w:sz w:val="24"/>
          <w:szCs w:val="24"/>
        </w:rPr>
        <w:t xml:space="preserve"> kokybės, jeigu pirkimą laimėtų kitas juridinis asmuo. Ši paslauga yra labai specifinė, teikiant šią paslaugą yra nuolat bendraujama su savivaldybės gyvenamųjų patalpų nuomininkais (tiek socialinio būsto, tiek besinuomojančių įprastos nuomos sąlygomis</w:t>
      </w:r>
      <w:r w:rsidR="001230A2">
        <w:rPr>
          <w:color w:val="000000"/>
          <w:sz w:val="24"/>
          <w:szCs w:val="24"/>
        </w:rPr>
        <w:t xml:space="preserve">), yra administruojama 1381 nuomos sutartis. </w:t>
      </w:r>
    </w:p>
    <w:p w14:paraId="66602095" w14:textId="77777777" w:rsidR="00162D07" w:rsidRDefault="00C25600" w:rsidP="00CE759A">
      <w:pPr>
        <w:ind w:firstLine="720"/>
        <w:jc w:val="both"/>
        <w:rPr>
          <w:sz w:val="24"/>
          <w:szCs w:val="24"/>
        </w:rPr>
      </w:pPr>
      <w:r>
        <w:rPr>
          <w:sz w:val="24"/>
          <w:szCs w:val="24"/>
        </w:rPr>
        <w:t>3</w:t>
      </w:r>
      <w:r w:rsidR="00162D07">
        <w:rPr>
          <w:sz w:val="24"/>
          <w:szCs w:val="24"/>
        </w:rPr>
        <w:t xml:space="preserve">. </w:t>
      </w:r>
      <w:r w:rsidR="00162D07" w:rsidRPr="001230A2">
        <w:rPr>
          <w:i/>
          <w:sz w:val="24"/>
          <w:szCs w:val="24"/>
        </w:rPr>
        <w:t>Savivaldybei priklausančių gyvenamųjų patalpų perdavimas Įstaigai pagal Turto patikėjimo sutartį</w:t>
      </w:r>
      <w:r w:rsidR="00162D07">
        <w:rPr>
          <w:sz w:val="24"/>
          <w:szCs w:val="24"/>
        </w:rPr>
        <w:t>.</w:t>
      </w:r>
    </w:p>
    <w:p w14:paraId="10CEF3CF" w14:textId="1641A3AD" w:rsidR="001230A2" w:rsidRDefault="001230A2" w:rsidP="00CE759A">
      <w:pPr>
        <w:ind w:firstLine="720"/>
        <w:jc w:val="both"/>
        <w:rPr>
          <w:sz w:val="24"/>
          <w:szCs w:val="24"/>
        </w:rPr>
      </w:pPr>
      <w:r>
        <w:rPr>
          <w:sz w:val="24"/>
          <w:szCs w:val="24"/>
        </w:rPr>
        <w:t xml:space="preserve">Manome, kad ši alternatyva yra optimaliausia. Perdavus gyvenamąsias patalpas Įstaigai pagal Turto patikėjimo sutartį būtų </w:t>
      </w:r>
      <w:r w:rsidR="00F5589F">
        <w:rPr>
          <w:sz w:val="24"/>
          <w:szCs w:val="24"/>
        </w:rPr>
        <w:t>išplėstas</w:t>
      </w:r>
      <w:r w:rsidR="00F22C3D">
        <w:rPr>
          <w:sz w:val="24"/>
          <w:szCs w:val="24"/>
        </w:rPr>
        <w:t xml:space="preserve"> Įstaigos teikiamų pasaugų spektras, </w:t>
      </w:r>
      <w:r>
        <w:rPr>
          <w:sz w:val="24"/>
          <w:szCs w:val="24"/>
        </w:rPr>
        <w:t xml:space="preserve">užtikrinta tinkamas savivaldybės gyvenamųjų patalpų nuomos administravimo paslaugos teikimas. </w:t>
      </w:r>
      <w:r w:rsidR="001640BB">
        <w:rPr>
          <w:sz w:val="24"/>
          <w:szCs w:val="24"/>
        </w:rPr>
        <w:t xml:space="preserve">Taip pat būtų </w:t>
      </w:r>
      <w:r w:rsidR="006929E7">
        <w:rPr>
          <w:sz w:val="24"/>
          <w:szCs w:val="24"/>
        </w:rPr>
        <w:t xml:space="preserve">efektyviau </w:t>
      </w:r>
      <w:r w:rsidR="001640BB">
        <w:rPr>
          <w:sz w:val="24"/>
          <w:szCs w:val="24"/>
        </w:rPr>
        <w:t>vykdomas prevencinis darbas su savivaldybės gyvenamųjų patalpų nuomininkais dėl sutarties sąlygų vykdymo, nuomos mokesčio mokėjimo, Įstaiga atstovautų savivaldybę, kaip daugiabučių namų bendraturtę</w:t>
      </w:r>
      <w:r w:rsidR="00F22C3D">
        <w:rPr>
          <w:sz w:val="24"/>
          <w:szCs w:val="24"/>
        </w:rPr>
        <w:t xml:space="preserve">, </w:t>
      </w:r>
      <w:r w:rsidR="00E64F4F">
        <w:rPr>
          <w:sz w:val="24"/>
          <w:szCs w:val="24"/>
        </w:rPr>
        <w:t>būtų užtikrinta gyvenamųjų patalpų techninė būklė</w:t>
      </w:r>
      <w:r w:rsidR="00F0483F">
        <w:rPr>
          <w:sz w:val="24"/>
          <w:szCs w:val="24"/>
        </w:rPr>
        <w:t>, efektyviau atliekamas gyvenamųjų patalpų remonto darbų pirkimas viešųjų pirkimų įstatymo nustatyta tvarka.</w:t>
      </w:r>
    </w:p>
    <w:p w14:paraId="6E6C1374" w14:textId="77777777" w:rsidR="00162D07" w:rsidRDefault="00162D07" w:rsidP="00CE759A">
      <w:pPr>
        <w:ind w:firstLine="720"/>
        <w:jc w:val="both"/>
        <w:rPr>
          <w:sz w:val="24"/>
          <w:szCs w:val="24"/>
        </w:rPr>
      </w:pPr>
      <w:r>
        <w:rPr>
          <w:sz w:val="24"/>
          <w:szCs w:val="24"/>
        </w:rPr>
        <w:t>Įvertinus visas aplinkybes buvo apsispręsta rengti dokumentus dėl savivaldybės gyvenamųjų patalpų perdavimo Įstaigai pagal turto patikėjimo sutartį, nekeičiant Įstaigos juridinės formos.</w:t>
      </w:r>
    </w:p>
    <w:p w14:paraId="43333F61" w14:textId="431FB607" w:rsidR="004F6405" w:rsidRDefault="004F6405" w:rsidP="00CE759A">
      <w:pPr>
        <w:ind w:firstLine="720"/>
        <w:jc w:val="both"/>
        <w:rPr>
          <w:sz w:val="24"/>
          <w:szCs w:val="24"/>
        </w:rPr>
      </w:pPr>
      <w:r>
        <w:rPr>
          <w:sz w:val="24"/>
          <w:szCs w:val="24"/>
        </w:rPr>
        <w:t>Savivaldybės gyvenamąsias patalpas perdavus Įstaigai pagal Turto patikėjimo sutartį Įstaiga teiktų šias paslaugas:</w:t>
      </w:r>
    </w:p>
    <w:p w14:paraId="201337FE" w14:textId="77777777" w:rsidR="004F6405" w:rsidRDefault="004F6405" w:rsidP="00C525A1">
      <w:pPr>
        <w:pStyle w:val="Sraopastraipa"/>
        <w:numPr>
          <w:ilvl w:val="0"/>
          <w:numId w:val="1"/>
        </w:numPr>
        <w:ind w:left="0" w:firstLine="720"/>
        <w:jc w:val="both"/>
        <w:rPr>
          <w:sz w:val="24"/>
          <w:szCs w:val="24"/>
        </w:rPr>
      </w:pPr>
      <w:r w:rsidRPr="00A90F5C">
        <w:rPr>
          <w:sz w:val="24"/>
          <w:szCs w:val="24"/>
        </w:rPr>
        <w:t>Nuomos sutarčių sudarymo</w:t>
      </w:r>
      <w:r>
        <w:rPr>
          <w:sz w:val="24"/>
          <w:szCs w:val="24"/>
        </w:rPr>
        <w:t xml:space="preserve"> ir administravimo paslaugą bei p</w:t>
      </w:r>
      <w:r w:rsidRPr="00A90F5C">
        <w:rPr>
          <w:sz w:val="24"/>
          <w:szCs w:val="24"/>
        </w:rPr>
        <w:t>erduotų administruoti gyvena</w:t>
      </w:r>
      <w:r>
        <w:rPr>
          <w:sz w:val="24"/>
          <w:szCs w:val="24"/>
        </w:rPr>
        <w:t>mųjų patalpų apskaitymo paslaugą;</w:t>
      </w:r>
    </w:p>
    <w:p w14:paraId="1C57D741" w14:textId="77777777" w:rsidR="004F6405" w:rsidRDefault="004F6405" w:rsidP="00C525A1">
      <w:pPr>
        <w:pStyle w:val="Sraopastraipa"/>
        <w:numPr>
          <w:ilvl w:val="0"/>
          <w:numId w:val="1"/>
        </w:numPr>
        <w:ind w:left="0" w:firstLine="720"/>
        <w:jc w:val="both"/>
        <w:rPr>
          <w:sz w:val="24"/>
          <w:szCs w:val="24"/>
        </w:rPr>
      </w:pPr>
      <w:r w:rsidRPr="00A90F5C">
        <w:rPr>
          <w:sz w:val="24"/>
          <w:szCs w:val="24"/>
        </w:rPr>
        <w:t>Gyvenamųjų patalpų nuomos mokesčio aps</w:t>
      </w:r>
      <w:r>
        <w:rPr>
          <w:sz w:val="24"/>
          <w:szCs w:val="24"/>
        </w:rPr>
        <w:t>kaičiavimo ir surinkimo paslaugą;</w:t>
      </w:r>
    </w:p>
    <w:p w14:paraId="70E99321" w14:textId="77777777" w:rsidR="004F6405" w:rsidRDefault="004F6405" w:rsidP="00C525A1">
      <w:pPr>
        <w:pStyle w:val="Sraopastraipa"/>
        <w:numPr>
          <w:ilvl w:val="0"/>
          <w:numId w:val="1"/>
        </w:numPr>
        <w:ind w:left="0" w:firstLine="720"/>
        <w:jc w:val="both"/>
        <w:rPr>
          <w:sz w:val="24"/>
          <w:szCs w:val="24"/>
        </w:rPr>
      </w:pPr>
      <w:r>
        <w:rPr>
          <w:sz w:val="24"/>
          <w:szCs w:val="24"/>
        </w:rPr>
        <w:t>Vykdytų prevencinį darbą</w:t>
      </w:r>
      <w:r w:rsidRPr="004D6037">
        <w:rPr>
          <w:sz w:val="24"/>
          <w:szCs w:val="24"/>
        </w:rPr>
        <w:t xml:space="preserve"> su nuomininkais dėl sutarties vykdymo ar nevykdymo. </w:t>
      </w:r>
      <w:r>
        <w:rPr>
          <w:sz w:val="24"/>
          <w:szCs w:val="24"/>
        </w:rPr>
        <w:t>Vykdytų n</w:t>
      </w:r>
      <w:r w:rsidRPr="0089457A">
        <w:rPr>
          <w:sz w:val="24"/>
          <w:szCs w:val="24"/>
        </w:rPr>
        <w:t>esumok</w:t>
      </w:r>
      <w:r>
        <w:rPr>
          <w:sz w:val="24"/>
          <w:szCs w:val="24"/>
        </w:rPr>
        <w:t>ėto nuomos mokesčio išieškojimą</w:t>
      </w:r>
      <w:r w:rsidRPr="0089457A">
        <w:rPr>
          <w:sz w:val="24"/>
          <w:szCs w:val="24"/>
        </w:rPr>
        <w:t xml:space="preserve"> ir nemokių nuomininkų iškeldinimo iš butų </w:t>
      </w:r>
      <w:r>
        <w:rPr>
          <w:sz w:val="24"/>
          <w:szCs w:val="24"/>
        </w:rPr>
        <w:t>organizavimo ir vykdymo paslaugą;</w:t>
      </w:r>
    </w:p>
    <w:p w14:paraId="4BBE53DF" w14:textId="77777777" w:rsidR="004F6405" w:rsidRDefault="004F6405" w:rsidP="00C525A1">
      <w:pPr>
        <w:pStyle w:val="Sraopastraipa"/>
        <w:numPr>
          <w:ilvl w:val="0"/>
          <w:numId w:val="1"/>
        </w:numPr>
        <w:ind w:left="0" w:firstLine="720"/>
        <w:jc w:val="both"/>
        <w:rPr>
          <w:sz w:val="24"/>
          <w:szCs w:val="24"/>
        </w:rPr>
      </w:pPr>
      <w:r w:rsidRPr="00532D2F">
        <w:rPr>
          <w:sz w:val="24"/>
          <w:szCs w:val="24"/>
        </w:rPr>
        <w:t>Perduotų administruoti gyvenamųjų patalpų tinkamos techn</w:t>
      </w:r>
      <w:r w:rsidR="00C525A1">
        <w:rPr>
          <w:sz w:val="24"/>
          <w:szCs w:val="24"/>
        </w:rPr>
        <w:t>inės būklės užtikrinimo paslaugą;</w:t>
      </w:r>
    </w:p>
    <w:p w14:paraId="5FA467A7" w14:textId="719591E5" w:rsidR="00C525A1" w:rsidRDefault="00C525A1" w:rsidP="00565784">
      <w:pPr>
        <w:pStyle w:val="Sraopastraipa"/>
        <w:numPr>
          <w:ilvl w:val="0"/>
          <w:numId w:val="1"/>
        </w:numPr>
        <w:ind w:left="0" w:firstLine="720"/>
        <w:jc w:val="both"/>
        <w:rPr>
          <w:sz w:val="24"/>
          <w:szCs w:val="24"/>
        </w:rPr>
      </w:pPr>
      <w:r w:rsidRPr="00A21A58">
        <w:rPr>
          <w:sz w:val="24"/>
          <w:szCs w:val="24"/>
        </w:rPr>
        <w:t>Savivaldybės, kaip daugiabučių namų bendrųjų objektų bendraturtė</w:t>
      </w:r>
      <w:r>
        <w:rPr>
          <w:sz w:val="24"/>
          <w:szCs w:val="24"/>
        </w:rPr>
        <w:t>s</w:t>
      </w:r>
      <w:r w:rsidRPr="00A21A58">
        <w:rPr>
          <w:sz w:val="24"/>
          <w:szCs w:val="24"/>
        </w:rPr>
        <w:t xml:space="preserve">, teisių ir pareigų proporcingai savo daliai apmokėti išlaidas namui išlaikyti, išsaugoti, mokėti mokesčius, rinkliavas ir </w:t>
      </w:r>
      <w:r w:rsidRPr="00A21A58">
        <w:rPr>
          <w:sz w:val="24"/>
          <w:szCs w:val="24"/>
        </w:rPr>
        <w:lastRenderedPageBreak/>
        <w:t>kitas įmokas, taip pat reguliariai daryti atskaitymus kaupti lėšas, kurios bus skiriamos namui atnaujinti, vykdymo paslaug</w:t>
      </w:r>
      <w:r>
        <w:rPr>
          <w:sz w:val="24"/>
          <w:szCs w:val="24"/>
        </w:rPr>
        <w:t>ą.</w:t>
      </w:r>
    </w:p>
    <w:p w14:paraId="7FB2D807" w14:textId="165AE594" w:rsidR="002F0487" w:rsidRPr="008B1D1D" w:rsidRDefault="008B1D1D" w:rsidP="008B1D1D">
      <w:pPr>
        <w:rPr>
          <w:sz w:val="24"/>
          <w:szCs w:val="24"/>
        </w:rPr>
      </w:pPr>
      <w:r>
        <w:rPr>
          <w:sz w:val="24"/>
          <w:szCs w:val="24"/>
        </w:rPr>
        <w:t xml:space="preserve">            </w:t>
      </w:r>
      <w:r w:rsidR="002F0487" w:rsidRPr="008B1D1D">
        <w:rPr>
          <w:sz w:val="24"/>
          <w:szCs w:val="24"/>
        </w:rPr>
        <w:t>Teikiamų p</w:t>
      </w:r>
      <w:r w:rsidR="00F0483F" w:rsidRPr="008B1D1D">
        <w:rPr>
          <w:sz w:val="24"/>
          <w:szCs w:val="24"/>
        </w:rPr>
        <w:t>aslaugų apimtys</w:t>
      </w:r>
      <w:r w:rsidR="002F0487" w:rsidRPr="008B1D1D">
        <w:rPr>
          <w:sz w:val="24"/>
          <w:szCs w:val="24"/>
        </w:rPr>
        <w:t xml:space="preserve"> padidėtų,</w:t>
      </w:r>
      <w:r w:rsidR="00F0483F" w:rsidRPr="008B1D1D">
        <w:rPr>
          <w:sz w:val="24"/>
          <w:szCs w:val="24"/>
        </w:rPr>
        <w:t xml:space="preserve"> lyginant su šiuo metu</w:t>
      </w:r>
      <w:r w:rsidR="002F0487" w:rsidRPr="008B1D1D">
        <w:rPr>
          <w:sz w:val="24"/>
          <w:szCs w:val="24"/>
        </w:rPr>
        <w:t xml:space="preserve"> teikiamomis paslaugomis</w:t>
      </w:r>
      <w:r w:rsidRPr="008B1D1D">
        <w:rPr>
          <w:sz w:val="24"/>
          <w:szCs w:val="24"/>
        </w:rPr>
        <w:t xml:space="preserve"> ir būtų teikiamos dar ir šios </w:t>
      </w:r>
      <w:r w:rsidR="0062245A">
        <w:rPr>
          <w:sz w:val="24"/>
          <w:szCs w:val="24"/>
        </w:rPr>
        <w:t xml:space="preserve">papildomos </w:t>
      </w:r>
      <w:r w:rsidRPr="008B1D1D">
        <w:rPr>
          <w:sz w:val="24"/>
          <w:szCs w:val="24"/>
        </w:rPr>
        <w:t>paslaugos:</w:t>
      </w:r>
    </w:p>
    <w:p w14:paraId="21CB8957" w14:textId="4BEF1455" w:rsidR="008B1D1D" w:rsidRDefault="008B1D1D" w:rsidP="001C65FE">
      <w:pPr>
        <w:ind w:firstLine="709"/>
        <w:jc w:val="both"/>
        <w:rPr>
          <w:sz w:val="24"/>
          <w:szCs w:val="24"/>
        </w:rPr>
      </w:pPr>
      <w:r>
        <w:rPr>
          <w:sz w:val="24"/>
          <w:szCs w:val="24"/>
        </w:rPr>
        <w:t>1.</w:t>
      </w:r>
      <w:r w:rsidRPr="008B1D1D">
        <w:rPr>
          <w:sz w:val="24"/>
          <w:szCs w:val="24"/>
        </w:rPr>
        <w:t xml:space="preserve"> </w:t>
      </w:r>
      <w:r w:rsidRPr="00AD2295">
        <w:rPr>
          <w:sz w:val="24"/>
          <w:szCs w:val="24"/>
        </w:rPr>
        <w:t>Duomenų, patvirtinančių teisę į socialinio būsto nuomą, tikrinimas.</w:t>
      </w:r>
    </w:p>
    <w:p w14:paraId="6380ACBC" w14:textId="05CE8A97" w:rsidR="00BB7610" w:rsidRDefault="008B1D1D" w:rsidP="001C65FE">
      <w:pPr>
        <w:ind w:firstLine="709"/>
        <w:jc w:val="both"/>
        <w:rPr>
          <w:sz w:val="24"/>
          <w:szCs w:val="24"/>
        </w:rPr>
      </w:pPr>
      <w:r>
        <w:rPr>
          <w:sz w:val="24"/>
          <w:szCs w:val="24"/>
        </w:rPr>
        <w:t>2.</w:t>
      </w:r>
      <w:r w:rsidR="00BB7610">
        <w:rPr>
          <w:sz w:val="24"/>
          <w:szCs w:val="24"/>
        </w:rPr>
        <w:t xml:space="preserve"> </w:t>
      </w:r>
      <w:r w:rsidRPr="00A90F5C">
        <w:rPr>
          <w:sz w:val="24"/>
          <w:szCs w:val="24"/>
        </w:rPr>
        <w:t>Gaunančių ir turinčių teisę į paramą būstui išsinuomoti  asmenų ir šeimų, duomenų apie Lietuvos Respublikos gyventojų turto deklaravimo įstatyme nustatyta tvarka deklaruotą turtą (įskaitant gautas pajamas) patikrinimas pagal Metinę gyventojo (šeimos) turto deklaraciją (forma FR0001)</w:t>
      </w:r>
      <w:r w:rsidR="00BB7610">
        <w:rPr>
          <w:sz w:val="24"/>
          <w:szCs w:val="24"/>
        </w:rPr>
        <w:t xml:space="preserve">. </w:t>
      </w:r>
    </w:p>
    <w:p w14:paraId="0125B37C" w14:textId="77777777" w:rsidR="00BB7610" w:rsidRDefault="00BB7610" w:rsidP="001C65FE">
      <w:pPr>
        <w:ind w:firstLine="709"/>
        <w:jc w:val="both"/>
        <w:rPr>
          <w:sz w:val="24"/>
          <w:szCs w:val="24"/>
        </w:rPr>
      </w:pPr>
      <w:r>
        <w:rPr>
          <w:sz w:val="24"/>
          <w:szCs w:val="24"/>
        </w:rPr>
        <w:t>3.</w:t>
      </w:r>
      <w:r w:rsidR="008B1D1D" w:rsidRPr="00A90F5C">
        <w:rPr>
          <w:sz w:val="24"/>
          <w:szCs w:val="24"/>
        </w:rPr>
        <w:t xml:space="preserve"> </w:t>
      </w:r>
      <w:r w:rsidRPr="00A90F5C">
        <w:rPr>
          <w:sz w:val="24"/>
          <w:szCs w:val="24"/>
        </w:rPr>
        <w:t>Gaunančių ir turinčių teisę į paramą būstui išsinuomoti  asmenų ir šeimų, duomenų apie Lietuvos Respublikos gyventojų turto deklaravimo įstatyme nustatyta tvarka deklaruotą turtą (įskaitant gautas pajamas)</w:t>
      </w:r>
      <w:r w:rsidR="008B1D1D" w:rsidRPr="00A90F5C">
        <w:rPr>
          <w:sz w:val="24"/>
          <w:szCs w:val="24"/>
        </w:rPr>
        <w:t xml:space="preserve"> suvedimas į SPIS</w:t>
      </w:r>
      <w:r>
        <w:rPr>
          <w:sz w:val="24"/>
          <w:szCs w:val="24"/>
        </w:rPr>
        <w:t xml:space="preserve"> (Paramos šeimai informacinė sistema).</w:t>
      </w:r>
    </w:p>
    <w:p w14:paraId="674164C1" w14:textId="77777777" w:rsidR="00BB7610" w:rsidRDefault="00BB7610" w:rsidP="001C65FE">
      <w:pPr>
        <w:ind w:firstLine="709"/>
        <w:jc w:val="both"/>
        <w:rPr>
          <w:sz w:val="24"/>
          <w:szCs w:val="24"/>
        </w:rPr>
      </w:pPr>
      <w:r>
        <w:rPr>
          <w:sz w:val="24"/>
          <w:szCs w:val="24"/>
        </w:rPr>
        <w:t>4. S</w:t>
      </w:r>
      <w:r w:rsidR="008B1D1D" w:rsidRPr="00A90F5C">
        <w:rPr>
          <w:sz w:val="24"/>
          <w:szCs w:val="24"/>
        </w:rPr>
        <w:t>uvestos informacijos tikrinimas bei informacijos pateikimas Savivaldybės administracijai.</w:t>
      </w:r>
    </w:p>
    <w:p w14:paraId="53A0917F" w14:textId="0E6B8975" w:rsidR="008B1D1D" w:rsidRDefault="00BB7610" w:rsidP="001C65FE">
      <w:pPr>
        <w:ind w:firstLine="709"/>
        <w:jc w:val="both"/>
        <w:rPr>
          <w:sz w:val="24"/>
          <w:szCs w:val="24"/>
        </w:rPr>
      </w:pPr>
      <w:r>
        <w:rPr>
          <w:sz w:val="24"/>
          <w:szCs w:val="24"/>
        </w:rPr>
        <w:t>5.</w:t>
      </w:r>
      <w:r w:rsidR="00D06E0F">
        <w:rPr>
          <w:sz w:val="24"/>
          <w:szCs w:val="24"/>
        </w:rPr>
        <w:t xml:space="preserve"> </w:t>
      </w:r>
      <w:r w:rsidR="008B1D1D" w:rsidRPr="00A90F5C">
        <w:rPr>
          <w:sz w:val="24"/>
          <w:szCs w:val="24"/>
        </w:rPr>
        <w:t>Prevencinis darbas su nuomininkais dėl  Gyventojų pajamų mokesčio deklaracijos pateikimo ir gyvenamosios vietos deklaravimo teisės aktais nustatyta tvarka, nuomos sutarties įsipareigojimų vykdymo.</w:t>
      </w:r>
    </w:p>
    <w:p w14:paraId="74187638" w14:textId="77777777" w:rsidR="00D06E0F" w:rsidRDefault="00D06E0F" w:rsidP="00565784">
      <w:pPr>
        <w:ind w:firstLine="709"/>
        <w:jc w:val="both"/>
        <w:rPr>
          <w:sz w:val="24"/>
          <w:szCs w:val="24"/>
        </w:rPr>
      </w:pPr>
      <w:r>
        <w:rPr>
          <w:sz w:val="24"/>
          <w:szCs w:val="24"/>
        </w:rPr>
        <w:t>6</w:t>
      </w:r>
      <w:r w:rsidR="001C65FE" w:rsidRPr="001C65FE">
        <w:rPr>
          <w:sz w:val="24"/>
          <w:szCs w:val="24"/>
        </w:rPr>
        <w:t>. Esant Savivaldybės rašytiniam pavedimui, rangovo butų remonto darbams vykdyti viešųjų pirkimų įstatymo nustatyta tvarka parinkimo  procedūrų vykdymas.</w:t>
      </w:r>
    </w:p>
    <w:p w14:paraId="120AEAEA" w14:textId="019324A9" w:rsidR="00F0483F" w:rsidRDefault="00D06E0F" w:rsidP="00565784">
      <w:pPr>
        <w:ind w:firstLine="709"/>
        <w:jc w:val="both"/>
        <w:rPr>
          <w:sz w:val="24"/>
          <w:szCs w:val="24"/>
        </w:rPr>
      </w:pPr>
      <w:r>
        <w:rPr>
          <w:sz w:val="24"/>
          <w:szCs w:val="24"/>
        </w:rPr>
        <w:t>7.</w:t>
      </w:r>
      <w:r w:rsidR="001C65FE" w:rsidRPr="001C65FE">
        <w:rPr>
          <w:sz w:val="24"/>
          <w:szCs w:val="24"/>
        </w:rPr>
        <w:t xml:space="preserve"> Remonto darbų pirkimas viešųjų pirkimų įstatymo nustatyta tvarka.</w:t>
      </w:r>
    </w:p>
    <w:p w14:paraId="04F21E52" w14:textId="538DEFDD" w:rsidR="00D06E0F" w:rsidRPr="001C65FE" w:rsidRDefault="00D06E0F" w:rsidP="00565784">
      <w:pPr>
        <w:ind w:firstLine="709"/>
        <w:jc w:val="both"/>
        <w:rPr>
          <w:sz w:val="24"/>
          <w:szCs w:val="24"/>
        </w:rPr>
      </w:pPr>
      <w:r>
        <w:rPr>
          <w:sz w:val="24"/>
          <w:szCs w:val="24"/>
        </w:rPr>
        <w:t>8.</w:t>
      </w:r>
      <w:r w:rsidR="00E779B1" w:rsidRPr="00E779B1">
        <w:rPr>
          <w:sz w:val="24"/>
          <w:szCs w:val="24"/>
        </w:rPr>
        <w:t xml:space="preserve"> </w:t>
      </w:r>
      <w:r w:rsidR="00E779B1" w:rsidRPr="00673C6E">
        <w:rPr>
          <w:sz w:val="24"/>
          <w:szCs w:val="24"/>
        </w:rPr>
        <w:t>Butų perdavimas Viešųjų pirkimų įstatymo nustatyta tvarka parinktam rangovui po rangos sutarties pasirašymo organizavimas, remonto darbų techninės priežiūros vykdymas, atliktų darbų aktų rengimas, tikrinimas ir vizavimas</w:t>
      </w:r>
      <w:r w:rsidR="00E779B1">
        <w:rPr>
          <w:sz w:val="24"/>
          <w:szCs w:val="24"/>
        </w:rPr>
        <w:t>.</w:t>
      </w:r>
    </w:p>
    <w:p w14:paraId="4129631C" w14:textId="77777777" w:rsidR="00C525A1" w:rsidRPr="00C525A1" w:rsidRDefault="00C525A1" w:rsidP="00C525A1">
      <w:pPr>
        <w:ind w:firstLine="709"/>
        <w:jc w:val="both"/>
        <w:rPr>
          <w:sz w:val="24"/>
          <w:szCs w:val="24"/>
        </w:rPr>
      </w:pPr>
      <w:r>
        <w:rPr>
          <w:sz w:val="24"/>
          <w:szCs w:val="24"/>
        </w:rPr>
        <w:t>Už nurodytų paslaugų teikimą savivaldybė atsikaitytų su įstaiga pagal Klaipėdos miesto savivaldybei nuosavybės teise priklausančių gyvenamųjų patalpų nuomos administravimo ir gyvenamųjų patalpų administravimo paslaugų įkainių įvertinimo metodiką.</w:t>
      </w:r>
    </w:p>
    <w:p w14:paraId="6BCC0329" w14:textId="77777777" w:rsidR="00774CF0" w:rsidRDefault="004D3DC6" w:rsidP="00CE759A">
      <w:pPr>
        <w:ind w:firstLine="720"/>
        <w:jc w:val="both"/>
        <w:rPr>
          <w:sz w:val="24"/>
          <w:szCs w:val="24"/>
        </w:rPr>
      </w:pPr>
      <w:r>
        <w:rPr>
          <w:sz w:val="24"/>
          <w:szCs w:val="24"/>
        </w:rPr>
        <w:t>Įstaigos planuojamos gauti pajamos, perdavus turtą pagal Turto patikėjimo sutartį</w:t>
      </w:r>
      <w:r w:rsidR="00C525A1">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418"/>
        <w:gridCol w:w="1116"/>
        <w:gridCol w:w="1134"/>
        <w:gridCol w:w="1116"/>
      </w:tblGrid>
      <w:tr w:rsidR="00C525A1" w:rsidRPr="00C525A1" w14:paraId="0F45BE22" w14:textId="77777777" w:rsidTr="00C525A1">
        <w:trPr>
          <w:trHeight w:val="758"/>
        </w:trPr>
        <w:tc>
          <w:tcPr>
            <w:tcW w:w="5098" w:type="dxa"/>
            <w:shd w:val="clear" w:color="auto" w:fill="auto"/>
            <w:noWrap/>
            <w:vAlign w:val="center"/>
            <w:hideMark/>
          </w:tcPr>
          <w:p w14:paraId="0CA21B82" w14:textId="77777777" w:rsidR="00C525A1" w:rsidRPr="005C5B1B" w:rsidRDefault="00C525A1" w:rsidP="002A3726">
            <w:pPr>
              <w:jc w:val="center"/>
              <w:rPr>
                <w:color w:val="000000"/>
                <w:sz w:val="24"/>
                <w:szCs w:val="24"/>
              </w:rPr>
            </w:pPr>
            <w:r w:rsidRPr="005C5B1B">
              <w:rPr>
                <w:color w:val="000000"/>
                <w:sz w:val="24"/>
                <w:szCs w:val="24"/>
              </w:rPr>
              <w:t>Paslaugos pavadinimas</w:t>
            </w:r>
          </w:p>
          <w:p w14:paraId="4205F503" w14:textId="77777777" w:rsidR="00C525A1" w:rsidRPr="005C5B1B" w:rsidRDefault="00C525A1" w:rsidP="002A3726">
            <w:pPr>
              <w:jc w:val="center"/>
              <w:rPr>
                <w:color w:val="000000"/>
                <w:sz w:val="24"/>
                <w:szCs w:val="24"/>
              </w:rPr>
            </w:pPr>
            <w:r w:rsidRPr="005C5B1B">
              <w:rPr>
                <w:color w:val="000000"/>
                <w:sz w:val="24"/>
                <w:szCs w:val="24"/>
              </w:rPr>
              <w:t> </w:t>
            </w:r>
          </w:p>
          <w:p w14:paraId="79954310" w14:textId="77777777" w:rsidR="00C525A1" w:rsidRPr="005C5B1B" w:rsidRDefault="00C525A1" w:rsidP="002A3726">
            <w:pPr>
              <w:jc w:val="center"/>
              <w:rPr>
                <w:color w:val="000000"/>
                <w:sz w:val="24"/>
                <w:szCs w:val="24"/>
              </w:rPr>
            </w:pPr>
            <w:r w:rsidRPr="005C5B1B">
              <w:rPr>
                <w:color w:val="000000"/>
                <w:sz w:val="24"/>
                <w:szCs w:val="24"/>
              </w:rPr>
              <w:t> </w:t>
            </w:r>
          </w:p>
        </w:tc>
        <w:tc>
          <w:tcPr>
            <w:tcW w:w="1418" w:type="dxa"/>
            <w:shd w:val="clear" w:color="auto" w:fill="auto"/>
            <w:noWrap/>
            <w:vAlign w:val="center"/>
            <w:hideMark/>
          </w:tcPr>
          <w:p w14:paraId="6E3AA7E2" w14:textId="77777777" w:rsidR="00C525A1" w:rsidRPr="005C5B1B" w:rsidRDefault="00C525A1" w:rsidP="002A3726">
            <w:pPr>
              <w:jc w:val="center"/>
              <w:rPr>
                <w:color w:val="000000"/>
                <w:sz w:val="24"/>
                <w:szCs w:val="24"/>
              </w:rPr>
            </w:pPr>
            <w:r w:rsidRPr="005C5B1B">
              <w:rPr>
                <w:color w:val="000000"/>
                <w:sz w:val="24"/>
                <w:szCs w:val="24"/>
              </w:rPr>
              <w:t xml:space="preserve">Mato </w:t>
            </w:r>
          </w:p>
          <w:p w14:paraId="5B4778AB" w14:textId="77777777" w:rsidR="00C525A1" w:rsidRPr="005C5B1B" w:rsidRDefault="00C525A1" w:rsidP="002A3726">
            <w:pPr>
              <w:jc w:val="center"/>
              <w:rPr>
                <w:color w:val="000000"/>
                <w:sz w:val="24"/>
                <w:szCs w:val="24"/>
              </w:rPr>
            </w:pPr>
            <w:r w:rsidRPr="005C5B1B">
              <w:rPr>
                <w:color w:val="000000"/>
                <w:sz w:val="24"/>
                <w:szCs w:val="24"/>
              </w:rPr>
              <w:t>vnt.</w:t>
            </w:r>
          </w:p>
          <w:p w14:paraId="5FED23CB" w14:textId="77777777" w:rsidR="00C525A1" w:rsidRPr="005C5B1B" w:rsidRDefault="00C525A1" w:rsidP="002A3726">
            <w:pPr>
              <w:jc w:val="center"/>
              <w:rPr>
                <w:color w:val="000000"/>
                <w:sz w:val="24"/>
                <w:szCs w:val="24"/>
              </w:rPr>
            </w:pPr>
            <w:r w:rsidRPr="005C5B1B">
              <w:rPr>
                <w:color w:val="000000"/>
                <w:sz w:val="24"/>
                <w:szCs w:val="24"/>
              </w:rPr>
              <w:t> </w:t>
            </w:r>
          </w:p>
        </w:tc>
        <w:tc>
          <w:tcPr>
            <w:tcW w:w="992" w:type="dxa"/>
            <w:shd w:val="clear" w:color="auto" w:fill="auto"/>
            <w:noWrap/>
            <w:vAlign w:val="center"/>
            <w:hideMark/>
          </w:tcPr>
          <w:p w14:paraId="2782FD43" w14:textId="77777777" w:rsidR="00C525A1" w:rsidRPr="005C5B1B" w:rsidRDefault="00C525A1" w:rsidP="002A3726">
            <w:pPr>
              <w:jc w:val="center"/>
              <w:rPr>
                <w:color w:val="000000"/>
                <w:sz w:val="24"/>
                <w:szCs w:val="24"/>
              </w:rPr>
            </w:pPr>
            <w:r w:rsidRPr="005C5B1B">
              <w:rPr>
                <w:color w:val="000000"/>
                <w:sz w:val="24"/>
                <w:szCs w:val="24"/>
              </w:rPr>
              <w:t> </w:t>
            </w:r>
          </w:p>
          <w:p w14:paraId="673AB6FF" w14:textId="77777777" w:rsidR="00C525A1" w:rsidRPr="005C5B1B" w:rsidRDefault="00C525A1" w:rsidP="002A3726">
            <w:pPr>
              <w:jc w:val="center"/>
              <w:rPr>
                <w:color w:val="000000"/>
                <w:sz w:val="24"/>
                <w:szCs w:val="24"/>
              </w:rPr>
            </w:pPr>
            <w:r w:rsidRPr="005C5B1B">
              <w:rPr>
                <w:color w:val="000000"/>
                <w:sz w:val="24"/>
                <w:szCs w:val="24"/>
              </w:rPr>
              <w:t>Kiekis</w:t>
            </w:r>
          </w:p>
          <w:p w14:paraId="528B55AA" w14:textId="77777777" w:rsidR="00C525A1" w:rsidRPr="005C5B1B" w:rsidRDefault="00C525A1" w:rsidP="002A3726">
            <w:pPr>
              <w:jc w:val="center"/>
              <w:rPr>
                <w:color w:val="000000"/>
                <w:sz w:val="24"/>
                <w:szCs w:val="24"/>
              </w:rPr>
            </w:pPr>
            <w:r w:rsidRPr="005C5B1B">
              <w:rPr>
                <w:color w:val="000000"/>
                <w:sz w:val="24"/>
                <w:szCs w:val="24"/>
              </w:rPr>
              <w:t> </w:t>
            </w:r>
          </w:p>
        </w:tc>
        <w:tc>
          <w:tcPr>
            <w:tcW w:w="1134" w:type="dxa"/>
            <w:shd w:val="clear" w:color="auto" w:fill="auto"/>
            <w:noWrap/>
            <w:vAlign w:val="center"/>
            <w:hideMark/>
          </w:tcPr>
          <w:p w14:paraId="46622C5B" w14:textId="77777777" w:rsidR="00C525A1" w:rsidRPr="005C5B1B" w:rsidRDefault="00C525A1" w:rsidP="002A3726">
            <w:pPr>
              <w:jc w:val="center"/>
              <w:rPr>
                <w:color w:val="000000"/>
                <w:sz w:val="24"/>
                <w:szCs w:val="24"/>
              </w:rPr>
            </w:pPr>
            <w:r w:rsidRPr="005C5B1B">
              <w:rPr>
                <w:color w:val="000000"/>
                <w:sz w:val="24"/>
                <w:szCs w:val="24"/>
              </w:rPr>
              <w:t xml:space="preserve">Įkainis </w:t>
            </w:r>
          </w:p>
          <w:p w14:paraId="3F4C717B" w14:textId="77777777" w:rsidR="00C525A1" w:rsidRPr="005C5B1B" w:rsidRDefault="00C525A1" w:rsidP="002A3726">
            <w:pPr>
              <w:jc w:val="center"/>
              <w:rPr>
                <w:color w:val="000000"/>
                <w:sz w:val="24"/>
                <w:szCs w:val="24"/>
              </w:rPr>
            </w:pPr>
            <w:r w:rsidRPr="005C5B1B">
              <w:rPr>
                <w:color w:val="000000"/>
                <w:sz w:val="24"/>
                <w:szCs w:val="24"/>
              </w:rPr>
              <w:t>be PVM,</w:t>
            </w:r>
          </w:p>
          <w:p w14:paraId="72AA4E07" w14:textId="77777777" w:rsidR="00C525A1" w:rsidRPr="005C5B1B" w:rsidRDefault="00C525A1" w:rsidP="002A3726">
            <w:pPr>
              <w:jc w:val="center"/>
              <w:rPr>
                <w:color w:val="000000"/>
                <w:sz w:val="24"/>
                <w:szCs w:val="24"/>
              </w:rPr>
            </w:pPr>
            <w:r w:rsidRPr="005C5B1B">
              <w:rPr>
                <w:color w:val="000000"/>
                <w:sz w:val="24"/>
                <w:szCs w:val="24"/>
              </w:rPr>
              <w:t>Eur</w:t>
            </w:r>
          </w:p>
        </w:tc>
        <w:tc>
          <w:tcPr>
            <w:tcW w:w="992" w:type="dxa"/>
            <w:shd w:val="clear" w:color="auto" w:fill="auto"/>
            <w:noWrap/>
            <w:vAlign w:val="center"/>
            <w:hideMark/>
          </w:tcPr>
          <w:p w14:paraId="0A80544A" w14:textId="77777777" w:rsidR="00C525A1" w:rsidRPr="005C5B1B" w:rsidRDefault="00C525A1" w:rsidP="002A3726">
            <w:pPr>
              <w:jc w:val="center"/>
              <w:rPr>
                <w:color w:val="000000"/>
                <w:sz w:val="24"/>
                <w:szCs w:val="24"/>
              </w:rPr>
            </w:pPr>
            <w:r w:rsidRPr="005C5B1B">
              <w:rPr>
                <w:color w:val="000000"/>
                <w:sz w:val="24"/>
                <w:szCs w:val="24"/>
              </w:rPr>
              <w:t>Suma per</w:t>
            </w:r>
          </w:p>
          <w:p w14:paraId="782E442A" w14:textId="77777777" w:rsidR="00C525A1" w:rsidRPr="005C5B1B" w:rsidRDefault="00C525A1" w:rsidP="002A3726">
            <w:pPr>
              <w:jc w:val="center"/>
              <w:rPr>
                <w:color w:val="000000"/>
                <w:sz w:val="24"/>
                <w:szCs w:val="24"/>
              </w:rPr>
            </w:pPr>
            <w:r w:rsidRPr="005C5B1B">
              <w:rPr>
                <w:color w:val="000000"/>
                <w:sz w:val="24"/>
                <w:szCs w:val="24"/>
              </w:rPr>
              <w:t xml:space="preserve">1 mėn., </w:t>
            </w:r>
          </w:p>
          <w:p w14:paraId="21FA02AF" w14:textId="77777777" w:rsidR="00C525A1" w:rsidRPr="005C5B1B" w:rsidRDefault="00C525A1" w:rsidP="002A3726">
            <w:pPr>
              <w:jc w:val="center"/>
              <w:rPr>
                <w:color w:val="000000"/>
                <w:sz w:val="24"/>
                <w:szCs w:val="24"/>
              </w:rPr>
            </w:pPr>
            <w:r w:rsidRPr="005C5B1B">
              <w:rPr>
                <w:color w:val="000000"/>
                <w:sz w:val="24"/>
                <w:szCs w:val="24"/>
              </w:rPr>
              <w:t>Eur</w:t>
            </w:r>
          </w:p>
        </w:tc>
      </w:tr>
      <w:tr w:rsidR="00C525A1" w:rsidRPr="00C525A1" w14:paraId="6428615C" w14:textId="77777777" w:rsidTr="00C525A1">
        <w:trPr>
          <w:trHeight w:val="964"/>
        </w:trPr>
        <w:tc>
          <w:tcPr>
            <w:tcW w:w="5098" w:type="dxa"/>
            <w:shd w:val="clear" w:color="auto" w:fill="auto"/>
            <w:vAlign w:val="center"/>
            <w:hideMark/>
          </w:tcPr>
          <w:p w14:paraId="019BC791" w14:textId="77777777" w:rsidR="00C525A1" w:rsidRPr="005C5B1B" w:rsidRDefault="00C525A1" w:rsidP="002A3726">
            <w:pPr>
              <w:rPr>
                <w:color w:val="000000"/>
                <w:sz w:val="24"/>
                <w:szCs w:val="24"/>
              </w:rPr>
            </w:pPr>
            <w:r w:rsidRPr="005C5B1B">
              <w:rPr>
                <w:color w:val="000000"/>
                <w:sz w:val="24"/>
                <w:szCs w:val="24"/>
              </w:rPr>
              <w:t xml:space="preserve">Nuomos sutarčių sudarymo ir administravimo paslauga bei perduotų administruoti gyvenamųjų patalpų apskaitymo paslauga </w:t>
            </w:r>
          </w:p>
        </w:tc>
        <w:tc>
          <w:tcPr>
            <w:tcW w:w="1418" w:type="dxa"/>
            <w:shd w:val="clear" w:color="auto" w:fill="auto"/>
            <w:vAlign w:val="center"/>
            <w:hideMark/>
          </w:tcPr>
          <w:p w14:paraId="5043B568" w14:textId="77777777" w:rsidR="00C525A1" w:rsidRPr="005C5B1B" w:rsidRDefault="00C525A1" w:rsidP="002A3726">
            <w:pPr>
              <w:jc w:val="center"/>
              <w:rPr>
                <w:color w:val="000000"/>
                <w:sz w:val="24"/>
                <w:szCs w:val="24"/>
              </w:rPr>
            </w:pPr>
            <w:r w:rsidRPr="005C5B1B">
              <w:rPr>
                <w:color w:val="000000"/>
                <w:sz w:val="24"/>
                <w:szCs w:val="24"/>
              </w:rPr>
              <w:t>Bendras gyvenamųjų patalpų plotas (kv. m)/ mėn.</w:t>
            </w:r>
          </w:p>
        </w:tc>
        <w:tc>
          <w:tcPr>
            <w:tcW w:w="992" w:type="dxa"/>
            <w:shd w:val="clear" w:color="auto" w:fill="auto"/>
            <w:noWrap/>
            <w:vAlign w:val="center"/>
            <w:hideMark/>
          </w:tcPr>
          <w:p w14:paraId="5093254E" w14:textId="060478E7" w:rsidR="00C525A1" w:rsidRPr="005C5B1B" w:rsidRDefault="00483390" w:rsidP="00C525A1">
            <w:pPr>
              <w:jc w:val="center"/>
              <w:rPr>
                <w:color w:val="000000"/>
                <w:sz w:val="24"/>
                <w:szCs w:val="24"/>
              </w:rPr>
            </w:pPr>
            <w:r w:rsidRPr="005C5B1B">
              <w:rPr>
                <w:color w:val="000000"/>
                <w:sz w:val="24"/>
                <w:szCs w:val="24"/>
              </w:rPr>
              <w:t>63176,07</w:t>
            </w:r>
          </w:p>
        </w:tc>
        <w:tc>
          <w:tcPr>
            <w:tcW w:w="1134" w:type="dxa"/>
            <w:shd w:val="clear" w:color="auto" w:fill="auto"/>
            <w:noWrap/>
            <w:vAlign w:val="center"/>
            <w:hideMark/>
          </w:tcPr>
          <w:p w14:paraId="380B146D" w14:textId="77777777" w:rsidR="00C525A1" w:rsidRPr="005C5B1B" w:rsidRDefault="00C525A1" w:rsidP="00C525A1">
            <w:pPr>
              <w:jc w:val="center"/>
              <w:rPr>
                <w:color w:val="000000"/>
                <w:sz w:val="24"/>
                <w:szCs w:val="24"/>
              </w:rPr>
            </w:pPr>
            <w:r w:rsidRPr="005C5B1B">
              <w:rPr>
                <w:color w:val="000000"/>
                <w:sz w:val="24"/>
                <w:szCs w:val="24"/>
              </w:rPr>
              <w:t>0,15</w:t>
            </w:r>
          </w:p>
        </w:tc>
        <w:tc>
          <w:tcPr>
            <w:tcW w:w="992" w:type="dxa"/>
            <w:shd w:val="clear" w:color="auto" w:fill="auto"/>
            <w:noWrap/>
            <w:vAlign w:val="center"/>
            <w:hideMark/>
          </w:tcPr>
          <w:p w14:paraId="1C1B7370" w14:textId="38B7E428" w:rsidR="00C525A1" w:rsidRPr="005C5B1B" w:rsidRDefault="00483390" w:rsidP="00C525A1">
            <w:pPr>
              <w:jc w:val="center"/>
              <w:rPr>
                <w:color w:val="000000"/>
                <w:sz w:val="24"/>
                <w:szCs w:val="24"/>
              </w:rPr>
            </w:pPr>
            <w:r w:rsidRPr="005C5B1B">
              <w:rPr>
                <w:color w:val="000000"/>
                <w:sz w:val="24"/>
                <w:szCs w:val="24"/>
              </w:rPr>
              <w:t>9476,41</w:t>
            </w:r>
          </w:p>
        </w:tc>
      </w:tr>
      <w:tr w:rsidR="00C525A1" w:rsidRPr="00C525A1" w14:paraId="48D035AB" w14:textId="77777777" w:rsidTr="00C525A1">
        <w:trPr>
          <w:trHeight w:val="825"/>
        </w:trPr>
        <w:tc>
          <w:tcPr>
            <w:tcW w:w="5098" w:type="dxa"/>
            <w:shd w:val="clear" w:color="auto" w:fill="auto"/>
            <w:vAlign w:val="center"/>
            <w:hideMark/>
          </w:tcPr>
          <w:p w14:paraId="7C2BDFCF" w14:textId="77777777" w:rsidR="00C525A1" w:rsidRPr="005C5B1B" w:rsidRDefault="00C525A1" w:rsidP="002A3726">
            <w:pPr>
              <w:rPr>
                <w:color w:val="000000"/>
                <w:sz w:val="24"/>
                <w:szCs w:val="24"/>
              </w:rPr>
            </w:pPr>
            <w:r w:rsidRPr="005C5B1B">
              <w:rPr>
                <w:color w:val="000000"/>
                <w:sz w:val="24"/>
                <w:szCs w:val="24"/>
              </w:rPr>
              <w:t xml:space="preserve">Gyvenamųjų patalpų nuomos mokesčio apskaičiavimo ir surinkimo paslauga </w:t>
            </w:r>
          </w:p>
        </w:tc>
        <w:tc>
          <w:tcPr>
            <w:tcW w:w="1418" w:type="dxa"/>
            <w:shd w:val="clear" w:color="auto" w:fill="auto"/>
            <w:vAlign w:val="center"/>
            <w:hideMark/>
          </w:tcPr>
          <w:p w14:paraId="3A35FCCA" w14:textId="77777777" w:rsidR="00C525A1" w:rsidRPr="005C5B1B" w:rsidRDefault="00C525A1" w:rsidP="002A3726">
            <w:pPr>
              <w:jc w:val="center"/>
              <w:rPr>
                <w:color w:val="000000"/>
                <w:sz w:val="24"/>
                <w:szCs w:val="24"/>
              </w:rPr>
            </w:pPr>
            <w:r w:rsidRPr="005C5B1B">
              <w:rPr>
                <w:color w:val="000000"/>
                <w:sz w:val="24"/>
                <w:szCs w:val="24"/>
              </w:rPr>
              <w:t>Sutarčių skaičius (vnt.)/ mėn.</w:t>
            </w:r>
          </w:p>
        </w:tc>
        <w:tc>
          <w:tcPr>
            <w:tcW w:w="992" w:type="dxa"/>
            <w:shd w:val="clear" w:color="auto" w:fill="auto"/>
            <w:noWrap/>
            <w:vAlign w:val="center"/>
            <w:hideMark/>
          </w:tcPr>
          <w:p w14:paraId="442F9D23" w14:textId="77777777" w:rsidR="00C525A1" w:rsidRPr="005C5B1B" w:rsidRDefault="00C525A1" w:rsidP="00C525A1">
            <w:pPr>
              <w:jc w:val="center"/>
              <w:rPr>
                <w:color w:val="000000"/>
                <w:sz w:val="24"/>
                <w:szCs w:val="24"/>
              </w:rPr>
            </w:pPr>
            <w:r w:rsidRPr="005C5B1B">
              <w:rPr>
                <w:color w:val="000000"/>
                <w:sz w:val="24"/>
                <w:szCs w:val="24"/>
              </w:rPr>
              <w:t>1381</w:t>
            </w:r>
          </w:p>
        </w:tc>
        <w:tc>
          <w:tcPr>
            <w:tcW w:w="1134" w:type="dxa"/>
            <w:shd w:val="clear" w:color="auto" w:fill="auto"/>
            <w:noWrap/>
            <w:vAlign w:val="center"/>
            <w:hideMark/>
          </w:tcPr>
          <w:p w14:paraId="71AC13B0" w14:textId="77777777" w:rsidR="00C525A1" w:rsidRPr="005C5B1B" w:rsidRDefault="00C525A1" w:rsidP="00C525A1">
            <w:pPr>
              <w:jc w:val="center"/>
              <w:rPr>
                <w:color w:val="000000"/>
                <w:sz w:val="24"/>
                <w:szCs w:val="24"/>
              </w:rPr>
            </w:pPr>
            <w:r w:rsidRPr="005C5B1B">
              <w:rPr>
                <w:color w:val="000000"/>
                <w:sz w:val="24"/>
                <w:szCs w:val="24"/>
              </w:rPr>
              <w:t>1,5</w:t>
            </w:r>
          </w:p>
        </w:tc>
        <w:tc>
          <w:tcPr>
            <w:tcW w:w="992" w:type="dxa"/>
            <w:shd w:val="clear" w:color="auto" w:fill="auto"/>
            <w:noWrap/>
            <w:vAlign w:val="center"/>
            <w:hideMark/>
          </w:tcPr>
          <w:p w14:paraId="717C4E2E" w14:textId="77777777" w:rsidR="00C525A1" w:rsidRPr="005C5B1B" w:rsidRDefault="00C525A1" w:rsidP="00C525A1">
            <w:pPr>
              <w:jc w:val="center"/>
              <w:rPr>
                <w:color w:val="000000"/>
                <w:sz w:val="24"/>
                <w:szCs w:val="24"/>
              </w:rPr>
            </w:pPr>
            <w:r w:rsidRPr="005C5B1B">
              <w:rPr>
                <w:color w:val="000000"/>
                <w:sz w:val="24"/>
                <w:szCs w:val="24"/>
              </w:rPr>
              <w:t>2071,50</w:t>
            </w:r>
          </w:p>
        </w:tc>
      </w:tr>
      <w:tr w:rsidR="00C525A1" w:rsidRPr="00C525A1" w14:paraId="2C5860EF" w14:textId="77777777" w:rsidTr="00C525A1">
        <w:trPr>
          <w:trHeight w:val="1050"/>
        </w:trPr>
        <w:tc>
          <w:tcPr>
            <w:tcW w:w="5098" w:type="dxa"/>
            <w:shd w:val="clear" w:color="auto" w:fill="auto"/>
            <w:vAlign w:val="center"/>
            <w:hideMark/>
          </w:tcPr>
          <w:p w14:paraId="76A7BDCE" w14:textId="77777777" w:rsidR="00C525A1" w:rsidRPr="005C5B1B" w:rsidRDefault="00C525A1" w:rsidP="002A3726">
            <w:pPr>
              <w:rPr>
                <w:color w:val="000000"/>
                <w:sz w:val="24"/>
                <w:szCs w:val="24"/>
              </w:rPr>
            </w:pPr>
            <w:r w:rsidRPr="005C5B1B">
              <w:rPr>
                <w:color w:val="000000"/>
                <w:sz w:val="24"/>
                <w:szCs w:val="24"/>
              </w:rPr>
              <w:t xml:space="preserve">Prevencinis darbas su nuomininkais dėl sutarties vykdymo ar nevykdymo. Nesumokėto nuomos mokesčio išieškojimas ir nemokių nuomininkų iškeldinimo iš butų organizavimo ir vykdymo paslauga </w:t>
            </w:r>
          </w:p>
        </w:tc>
        <w:tc>
          <w:tcPr>
            <w:tcW w:w="1418" w:type="dxa"/>
            <w:shd w:val="clear" w:color="auto" w:fill="auto"/>
            <w:vAlign w:val="center"/>
            <w:hideMark/>
          </w:tcPr>
          <w:p w14:paraId="1C297C21" w14:textId="02E251C9" w:rsidR="00C525A1" w:rsidRPr="005C5B1B" w:rsidRDefault="00C525A1" w:rsidP="002A3726">
            <w:pPr>
              <w:jc w:val="center"/>
              <w:rPr>
                <w:color w:val="000000"/>
                <w:sz w:val="24"/>
                <w:szCs w:val="24"/>
              </w:rPr>
            </w:pPr>
            <w:r w:rsidRPr="005C5B1B">
              <w:rPr>
                <w:color w:val="000000"/>
                <w:sz w:val="24"/>
                <w:szCs w:val="24"/>
              </w:rPr>
              <w:t xml:space="preserve"> Sutarčių skaičius (vnt.)/ mėn</w:t>
            </w:r>
            <w:r w:rsidR="0049338E">
              <w:rPr>
                <w:color w:val="000000"/>
                <w:sz w:val="24"/>
                <w:szCs w:val="24"/>
              </w:rPr>
              <w:t>.</w:t>
            </w:r>
          </w:p>
        </w:tc>
        <w:tc>
          <w:tcPr>
            <w:tcW w:w="992" w:type="dxa"/>
            <w:shd w:val="clear" w:color="auto" w:fill="auto"/>
            <w:noWrap/>
            <w:vAlign w:val="center"/>
            <w:hideMark/>
          </w:tcPr>
          <w:p w14:paraId="7E8BADDD" w14:textId="77777777" w:rsidR="00C525A1" w:rsidRPr="005C5B1B" w:rsidRDefault="00C525A1" w:rsidP="00C525A1">
            <w:pPr>
              <w:jc w:val="center"/>
              <w:rPr>
                <w:color w:val="000000"/>
                <w:sz w:val="24"/>
                <w:szCs w:val="24"/>
              </w:rPr>
            </w:pPr>
            <w:r w:rsidRPr="005C5B1B">
              <w:rPr>
                <w:color w:val="000000"/>
                <w:sz w:val="24"/>
                <w:szCs w:val="24"/>
              </w:rPr>
              <w:t>1381</w:t>
            </w:r>
          </w:p>
        </w:tc>
        <w:tc>
          <w:tcPr>
            <w:tcW w:w="1134" w:type="dxa"/>
            <w:shd w:val="clear" w:color="auto" w:fill="auto"/>
            <w:noWrap/>
            <w:vAlign w:val="center"/>
            <w:hideMark/>
          </w:tcPr>
          <w:p w14:paraId="4F99FA1C" w14:textId="77777777" w:rsidR="00C525A1" w:rsidRPr="005C5B1B" w:rsidRDefault="00C525A1" w:rsidP="00C525A1">
            <w:pPr>
              <w:jc w:val="center"/>
              <w:rPr>
                <w:color w:val="000000"/>
                <w:sz w:val="24"/>
                <w:szCs w:val="24"/>
              </w:rPr>
            </w:pPr>
            <w:r w:rsidRPr="005C5B1B">
              <w:rPr>
                <w:color w:val="000000"/>
                <w:sz w:val="24"/>
                <w:szCs w:val="24"/>
              </w:rPr>
              <w:t>1,3</w:t>
            </w:r>
          </w:p>
        </w:tc>
        <w:tc>
          <w:tcPr>
            <w:tcW w:w="992" w:type="dxa"/>
            <w:shd w:val="clear" w:color="auto" w:fill="auto"/>
            <w:noWrap/>
            <w:vAlign w:val="center"/>
            <w:hideMark/>
          </w:tcPr>
          <w:p w14:paraId="611CE3B4" w14:textId="77777777" w:rsidR="00C525A1" w:rsidRPr="005C5B1B" w:rsidRDefault="00C525A1" w:rsidP="00C525A1">
            <w:pPr>
              <w:jc w:val="center"/>
              <w:rPr>
                <w:color w:val="000000"/>
                <w:sz w:val="24"/>
                <w:szCs w:val="24"/>
              </w:rPr>
            </w:pPr>
            <w:r w:rsidRPr="005C5B1B">
              <w:rPr>
                <w:color w:val="000000"/>
                <w:sz w:val="24"/>
                <w:szCs w:val="24"/>
              </w:rPr>
              <w:t>1795,30</w:t>
            </w:r>
          </w:p>
        </w:tc>
      </w:tr>
      <w:tr w:rsidR="00C525A1" w:rsidRPr="00C525A1" w14:paraId="7EF8A6CE" w14:textId="77777777" w:rsidTr="00C525A1">
        <w:trPr>
          <w:trHeight w:val="1080"/>
        </w:trPr>
        <w:tc>
          <w:tcPr>
            <w:tcW w:w="5098" w:type="dxa"/>
            <w:shd w:val="clear" w:color="auto" w:fill="auto"/>
            <w:vAlign w:val="center"/>
            <w:hideMark/>
          </w:tcPr>
          <w:p w14:paraId="558B83EB" w14:textId="77777777" w:rsidR="00C525A1" w:rsidRPr="005C5B1B" w:rsidRDefault="00C525A1" w:rsidP="002A3726">
            <w:pPr>
              <w:rPr>
                <w:color w:val="000000"/>
                <w:sz w:val="24"/>
                <w:szCs w:val="24"/>
              </w:rPr>
            </w:pPr>
            <w:r w:rsidRPr="005C5B1B">
              <w:rPr>
                <w:color w:val="000000"/>
                <w:sz w:val="24"/>
                <w:szCs w:val="24"/>
              </w:rPr>
              <w:t xml:space="preserve"> Perduotų administruoti gyvenamųjų patalpų tinkamos techninės būklės užtikrinimo paslauga </w:t>
            </w:r>
          </w:p>
        </w:tc>
        <w:tc>
          <w:tcPr>
            <w:tcW w:w="1418" w:type="dxa"/>
            <w:shd w:val="clear" w:color="auto" w:fill="auto"/>
            <w:vAlign w:val="center"/>
            <w:hideMark/>
          </w:tcPr>
          <w:p w14:paraId="6450B911" w14:textId="77777777" w:rsidR="00C525A1" w:rsidRPr="005C5B1B" w:rsidRDefault="00C525A1" w:rsidP="002A3726">
            <w:pPr>
              <w:jc w:val="center"/>
              <w:rPr>
                <w:color w:val="000000"/>
                <w:sz w:val="24"/>
                <w:szCs w:val="24"/>
              </w:rPr>
            </w:pPr>
            <w:r w:rsidRPr="005C5B1B">
              <w:rPr>
                <w:color w:val="000000"/>
                <w:sz w:val="24"/>
                <w:szCs w:val="24"/>
              </w:rPr>
              <w:t>Bendras gyvenamųjų patalpų plotas (kv. m)/ mėn.</w:t>
            </w:r>
          </w:p>
        </w:tc>
        <w:tc>
          <w:tcPr>
            <w:tcW w:w="992" w:type="dxa"/>
            <w:shd w:val="clear" w:color="auto" w:fill="auto"/>
            <w:noWrap/>
            <w:vAlign w:val="center"/>
            <w:hideMark/>
          </w:tcPr>
          <w:p w14:paraId="07D8B432" w14:textId="2AD8FE95" w:rsidR="00C525A1" w:rsidRPr="005C5B1B" w:rsidRDefault="00483390" w:rsidP="00C525A1">
            <w:pPr>
              <w:jc w:val="center"/>
              <w:rPr>
                <w:color w:val="000000"/>
                <w:sz w:val="24"/>
                <w:szCs w:val="24"/>
              </w:rPr>
            </w:pPr>
            <w:r w:rsidRPr="005C5B1B">
              <w:rPr>
                <w:color w:val="000000"/>
                <w:sz w:val="24"/>
                <w:szCs w:val="24"/>
              </w:rPr>
              <w:t>63176,07</w:t>
            </w:r>
          </w:p>
        </w:tc>
        <w:tc>
          <w:tcPr>
            <w:tcW w:w="1134" w:type="dxa"/>
            <w:shd w:val="clear" w:color="auto" w:fill="auto"/>
            <w:noWrap/>
            <w:vAlign w:val="center"/>
            <w:hideMark/>
          </w:tcPr>
          <w:p w14:paraId="1F858EAC" w14:textId="77777777" w:rsidR="00C525A1" w:rsidRPr="005C5B1B" w:rsidRDefault="00C525A1" w:rsidP="00C525A1">
            <w:pPr>
              <w:jc w:val="center"/>
              <w:rPr>
                <w:color w:val="000000"/>
                <w:sz w:val="24"/>
                <w:szCs w:val="24"/>
              </w:rPr>
            </w:pPr>
            <w:r w:rsidRPr="005C5B1B">
              <w:rPr>
                <w:color w:val="000000"/>
                <w:sz w:val="24"/>
                <w:szCs w:val="24"/>
              </w:rPr>
              <w:t>0,08</w:t>
            </w:r>
          </w:p>
        </w:tc>
        <w:tc>
          <w:tcPr>
            <w:tcW w:w="992" w:type="dxa"/>
            <w:shd w:val="clear" w:color="auto" w:fill="auto"/>
            <w:noWrap/>
            <w:vAlign w:val="center"/>
            <w:hideMark/>
          </w:tcPr>
          <w:p w14:paraId="61BF3247" w14:textId="4322F0A7" w:rsidR="00C525A1" w:rsidRPr="005C5B1B" w:rsidRDefault="00483390" w:rsidP="00C525A1">
            <w:pPr>
              <w:jc w:val="center"/>
              <w:rPr>
                <w:color w:val="000000"/>
                <w:sz w:val="24"/>
                <w:szCs w:val="24"/>
              </w:rPr>
            </w:pPr>
            <w:r w:rsidRPr="005C5B1B">
              <w:rPr>
                <w:color w:val="000000"/>
                <w:sz w:val="24"/>
                <w:szCs w:val="24"/>
              </w:rPr>
              <w:t>5054,09</w:t>
            </w:r>
          </w:p>
        </w:tc>
      </w:tr>
      <w:tr w:rsidR="00C525A1" w:rsidRPr="00C525A1" w14:paraId="06359CBD" w14:textId="77777777" w:rsidTr="00C525A1">
        <w:trPr>
          <w:trHeight w:val="1568"/>
        </w:trPr>
        <w:tc>
          <w:tcPr>
            <w:tcW w:w="5098" w:type="dxa"/>
            <w:shd w:val="clear" w:color="auto" w:fill="auto"/>
            <w:vAlign w:val="center"/>
            <w:hideMark/>
          </w:tcPr>
          <w:p w14:paraId="242424F3" w14:textId="77777777" w:rsidR="00C525A1" w:rsidRPr="005C5B1B" w:rsidRDefault="00C525A1" w:rsidP="002A3726">
            <w:pPr>
              <w:rPr>
                <w:color w:val="000000"/>
                <w:sz w:val="24"/>
                <w:szCs w:val="24"/>
              </w:rPr>
            </w:pPr>
            <w:r w:rsidRPr="005C5B1B">
              <w:rPr>
                <w:color w:val="000000"/>
                <w:sz w:val="24"/>
                <w:szCs w:val="24"/>
              </w:rPr>
              <w:t xml:space="preserve">Savivaldybės, kaip daugiabučių namų bendrųjų objektų bendraturtės, teisių ir pareigų proporcingai savo daliai apmokėti išlaidas namui išlaikyti, išsaugoti, mokėti mokesčius, rinkliavas ir kitas įmokas, taip pat reguliariai daryti atskaitymus kaupti lėšas, kurios bus skiriamos namui atnaujinti, vykdymo paslaugos </w:t>
            </w:r>
          </w:p>
        </w:tc>
        <w:tc>
          <w:tcPr>
            <w:tcW w:w="1418" w:type="dxa"/>
            <w:shd w:val="clear" w:color="auto" w:fill="auto"/>
            <w:vAlign w:val="center"/>
            <w:hideMark/>
          </w:tcPr>
          <w:p w14:paraId="19AA3859" w14:textId="77777777" w:rsidR="00C525A1" w:rsidRPr="005C5B1B" w:rsidRDefault="00C525A1" w:rsidP="002A3726">
            <w:pPr>
              <w:jc w:val="center"/>
              <w:rPr>
                <w:color w:val="000000"/>
                <w:sz w:val="24"/>
                <w:szCs w:val="24"/>
              </w:rPr>
            </w:pPr>
            <w:r w:rsidRPr="005C5B1B">
              <w:rPr>
                <w:color w:val="000000"/>
                <w:sz w:val="24"/>
                <w:szCs w:val="24"/>
              </w:rPr>
              <w:t>Bendras gyvenamųjų patalpų plotas (kv. m)/ mėn.</w:t>
            </w:r>
          </w:p>
        </w:tc>
        <w:tc>
          <w:tcPr>
            <w:tcW w:w="992" w:type="dxa"/>
            <w:shd w:val="clear" w:color="auto" w:fill="auto"/>
            <w:noWrap/>
            <w:vAlign w:val="center"/>
            <w:hideMark/>
          </w:tcPr>
          <w:p w14:paraId="32407F68" w14:textId="06245FA9" w:rsidR="00C525A1" w:rsidRPr="005C5B1B" w:rsidRDefault="00483390" w:rsidP="00C525A1">
            <w:pPr>
              <w:jc w:val="center"/>
              <w:rPr>
                <w:color w:val="000000"/>
                <w:sz w:val="24"/>
                <w:szCs w:val="24"/>
              </w:rPr>
            </w:pPr>
            <w:r w:rsidRPr="005C5B1B">
              <w:rPr>
                <w:color w:val="000000"/>
                <w:sz w:val="24"/>
                <w:szCs w:val="24"/>
              </w:rPr>
              <w:t>63176,07</w:t>
            </w:r>
          </w:p>
        </w:tc>
        <w:tc>
          <w:tcPr>
            <w:tcW w:w="1134" w:type="dxa"/>
            <w:shd w:val="clear" w:color="auto" w:fill="auto"/>
            <w:noWrap/>
            <w:vAlign w:val="center"/>
            <w:hideMark/>
          </w:tcPr>
          <w:p w14:paraId="6F6480C9" w14:textId="77777777" w:rsidR="00C525A1" w:rsidRPr="005C5B1B" w:rsidRDefault="00C525A1" w:rsidP="00C525A1">
            <w:pPr>
              <w:jc w:val="center"/>
              <w:rPr>
                <w:color w:val="000000"/>
                <w:sz w:val="24"/>
                <w:szCs w:val="24"/>
              </w:rPr>
            </w:pPr>
            <w:r w:rsidRPr="005C5B1B">
              <w:rPr>
                <w:color w:val="000000"/>
                <w:sz w:val="24"/>
                <w:szCs w:val="24"/>
              </w:rPr>
              <w:t>0,05</w:t>
            </w:r>
          </w:p>
        </w:tc>
        <w:tc>
          <w:tcPr>
            <w:tcW w:w="992" w:type="dxa"/>
            <w:shd w:val="clear" w:color="auto" w:fill="auto"/>
            <w:noWrap/>
            <w:vAlign w:val="center"/>
            <w:hideMark/>
          </w:tcPr>
          <w:p w14:paraId="7DAD8E36" w14:textId="501B1FEB" w:rsidR="00C525A1" w:rsidRPr="005C5B1B" w:rsidRDefault="00483390" w:rsidP="00C525A1">
            <w:pPr>
              <w:jc w:val="center"/>
              <w:rPr>
                <w:color w:val="000000"/>
                <w:sz w:val="24"/>
                <w:szCs w:val="24"/>
              </w:rPr>
            </w:pPr>
            <w:r w:rsidRPr="005C5B1B">
              <w:rPr>
                <w:color w:val="000000"/>
                <w:sz w:val="24"/>
                <w:szCs w:val="24"/>
              </w:rPr>
              <w:t>3158,80</w:t>
            </w:r>
          </w:p>
        </w:tc>
      </w:tr>
      <w:tr w:rsidR="00C525A1" w:rsidRPr="00C525A1" w14:paraId="3450C172" w14:textId="77777777" w:rsidTr="00C525A1">
        <w:trPr>
          <w:trHeight w:val="315"/>
        </w:trPr>
        <w:tc>
          <w:tcPr>
            <w:tcW w:w="5098" w:type="dxa"/>
            <w:shd w:val="clear" w:color="auto" w:fill="auto"/>
            <w:noWrap/>
            <w:vAlign w:val="center"/>
            <w:hideMark/>
          </w:tcPr>
          <w:p w14:paraId="51CAC085" w14:textId="77777777" w:rsidR="00C525A1" w:rsidRPr="005C5B1B" w:rsidRDefault="00C525A1" w:rsidP="00C525A1">
            <w:pPr>
              <w:jc w:val="center"/>
              <w:rPr>
                <w:color w:val="000000"/>
                <w:sz w:val="24"/>
                <w:szCs w:val="24"/>
              </w:rPr>
            </w:pPr>
            <w:r w:rsidRPr="005C5B1B">
              <w:rPr>
                <w:color w:val="000000"/>
                <w:sz w:val="24"/>
                <w:szCs w:val="24"/>
              </w:rPr>
              <w:t>Iš viso:</w:t>
            </w:r>
          </w:p>
        </w:tc>
        <w:tc>
          <w:tcPr>
            <w:tcW w:w="1418" w:type="dxa"/>
            <w:shd w:val="clear" w:color="auto" w:fill="auto"/>
            <w:noWrap/>
            <w:vAlign w:val="center"/>
            <w:hideMark/>
          </w:tcPr>
          <w:p w14:paraId="6A48A18E" w14:textId="77777777" w:rsidR="00C525A1" w:rsidRPr="005C5B1B" w:rsidRDefault="00C525A1" w:rsidP="002A3726">
            <w:pPr>
              <w:rPr>
                <w:color w:val="000000"/>
                <w:sz w:val="24"/>
                <w:szCs w:val="24"/>
              </w:rPr>
            </w:pPr>
            <w:r w:rsidRPr="005C5B1B">
              <w:rPr>
                <w:color w:val="000000"/>
                <w:sz w:val="24"/>
                <w:szCs w:val="24"/>
              </w:rPr>
              <w:t> </w:t>
            </w:r>
          </w:p>
        </w:tc>
        <w:tc>
          <w:tcPr>
            <w:tcW w:w="992" w:type="dxa"/>
            <w:shd w:val="clear" w:color="auto" w:fill="auto"/>
            <w:noWrap/>
            <w:vAlign w:val="center"/>
            <w:hideMark/>
          </w:tcPr>
          <w:p w14:paraId="7F6AAC5C" w14:textId="77777777" w:rsidR="00C525A1" w:rsidRPr="005C5B1B" w:rsidRDefault="00C525A1" w:rsidP="00C525A1">
            <w:pPr>
              <w:jc w:val="center"/>
              <w:rPr>
                <w:color w:val="000000"/>
                <w:sz w:val="24"/>
                <w:szCs w:val="24"/>
              </w:rPr>
            </w:pPr>
          </w:p>
        </w:tc>
        <w:tc>
          <w:tcPr>
            <w:tcW w:w="1134" w:type="dxa"/>
            <w:shd w:val="clear" w:color="auto" w:fill="auto"/>
            <w:noWrap/>
            <w:vAlign w:val="center"/>
            <w:hideMark/>
          </w:tcPr>
          <w:p w14:paraId="3A633537" w14:textId="77777777" w:rsidR="00C525A1" w:rsidRPr="005C5B1B" w:rsidRDefault="00C525A1" w:rsidP="00C525A1">
            <w:pPr>
              <w:jc w:val="center"/>
              <w:rPr>
                <w:color w:val="000000"/>
                <w:sz w:val="24"/>
                <w:szCs w:val="24"/>
              </w:rPr>
            </w:pPr>
          </w:p>
        </w:tc>
        <w:tc>
          <w:tcPr>
            <w:tcW w:w="992" w:type="dxa"/>
            <w:shd w:val="clear" w:color="auto" w:fill="auto"/>
            <w:noWrap/>
            <w:vAlign w:val="center"/>
            <w:hideMark/>
          </w:tcPr>
          <w:p w14:paraId="0AFD591F" w14:textId="43BB7692" w:rsidR="00B51BE7" w:rsidRPr="005C5B1B" w:rsidRDefault="00476E9C" w:rsidP="00B51BE7">
            <w:pPr>
              <w:jc w:val="center"/>
              <w:rPr>
                <w:color w:val="000000"/>
                <w:sz w:val="24"/>
                <w:szCs w:val="24"/>
              </w:rPr>
            </w:pPr>
            <w:r w:rsidRPr="005C5B1B">
              <w:rPr>
                <w:color w:val="000000"/>
                <w:sz w:val="24"/>
                <w:szCs w:val="24"/>
              </w:rPr>
              <w:t>21556,10</w:t>
            </w:r>
          </w:p>
        </w:tc>
      </w:tr>
    </w:tbl>
    <w:p w14:paraId="1919FB52" w14:textId="77777777" w:rsidR="00C525A1" w:rsidRDefault="00C525A1" w:rsidP="00CE759A">
      <w:pPr>
        <w:ind w:firstLine="720"/>
        <w:jc w:val="both"/>
        <w:rPr>
          <w:sz w:val="24"/>
          <w:szCs w:val="24"/>
        </w:rPr>
      </w:pPr>
    </w:p>
    <w:p w14:paraId="14CB4884" w14:textId="0A5B1B6C" w:rsidR="009D088D" w:rsidRDefault="009A711C" w:rsidP="001B31EB">
      <w:pPr>
        <w:ind w:firstLine="720"/>
        <w:jc w:val="both"/>
      </w:pPr>
      <w:r>
        <w:rPr>
          <w:sz w:val="24"/>
          <w:szCs w:val="24"/>
        </w:rPr>
        <w:t xml:space="preserve">Pagal Turto patikėjimo sutartį perduodamų gyvenamųjų patalpų bendras plotas yra 63176,07 kv. m. </w:t>
      </w:r>
      <w:r w:rsidR="001C1ADD">
        <w:rPr>
          <w:sz w:val="24"/>
          <w:szCs w:val="24"/>
        </w:rPr>
        <w:t xml:space="preserve">Perdavus </w:t>
      </w:r>
      <w:r w:rsidR="001B31EB">
        <w:rPr>
          <w:sz w:val="24"/>
          <w:szCs w:val="24"/>
        </w:rPr>
        <w:t>gyvenamąsias patalpas Įstaigai pagal Turto patikėjimo sutartį jos turės būti valdomos, naudojamos ir j</w:t>
      </w:r>
      <w:r w:rsidR="00930C91">
        <w:rPr>
          <w:sz w:val="24"/>
          <w:szCs w:val="24"/>
        </w:rPr>
        <w:t>o</w:t>
      </w:r>
      <w:r w:rsidR="001B31EB">
        <w:rPr>
          <w:sz w:val="24"/>
          <w:szCs w:val="24"/>
        </w:rPr>
        <w:t>mis</w:t>
      </w:r>
      <w:r w:rsidR="001C1ADD">
        <w:rPr>
          <w:sz w:val="24"/>
          <w:szCs w:val="24"/>
        </w:rPr>
        <w:t xml:space="preserve"> disponuojama pagal teisės aktų reikalavimus i</w:t>
      </w:r>
      <w:r w:rsidR="001B31EB">
        <w:rPr>
          <w:sz w:val="24"/>
          <w:szCs w:val="24"/>
        </w:rPr>
        <w:t>r sutarties sąlygas. Įstaiga</w:t>
      </w:r>
      <w:r w:rsidR="001C1ADD">
        <w:rPr>
          <w:sz w:val="24"/>
          <w:szCs w:val="24"/>
        </w:rPr>
        <w:t xml:space="preserve"> negalės</w:t>
      </w:r>
      <w:r w:rsidR="001B31EB">
        <w:rPr>
          <w:sz w:val="24"/>
          <w:szCs w:val="24"/>
        </w:rPr>
        <w:t xml:space="preserve"> perduotų patalpų</w:t>
      </w:r>
      <w:r w:rsidR="001C1ADD">
        <w:rPr>
          <w:sz w:val="24"/>
          <w:szCs w:val="24"/>
        </w:rPr>
        <w:t xml:space="preserve"> </w:t>
      </w:r>
      <w:r w:rsidR="001C1ADD" w:rsidRPr="001C1ADD">
        <w:rPr>
          <w:sz w:val="24"/>
          <w:szCs w:val="24"/>
        </w:rPr>
        <w:t>perduoti nuosavy</w:t>
      </w:r>
      <w:r w:rsidR="001B31EB">
        <w:rPr>
          <w:sz w:val="24"/>
          <w:szCs w:val="24"/>
        </w:rPr>
        <w:t>bės teise kitiems asmenims, jų</w:t>
      </w:r>
      <w:r w:rsidR="001C1ADD" w:rsidRPr="001C1ADD">
        <w:rPr>
          <w:sz w:val="24"/>
          <w:szCs w:val="24"/>
        </w:rPr>
        <w:t xml:space="preserve"> įkeisti ar kitaip</w:t>
      </w:r>
      <w:r w:rsidR="001B31EB">
        <w:rPr>
          <w:sz w:val="24"/>
          <w:szCs w:val="24"/>
        </w:rPr>
        <w:t xml:space="preserve"> suvaržyti daiktines teises į jas, j</w:t>
      </w:r>
      <w:r w:rsidR="001C1ADD" w:rsidRPr="001C1ADD">
        <w:rPr>
          <w:sz w:val="24"/>
          <w:szCs w:val="24"/>
        </w:rPr>
        <w:t>o</w:t>
      </w:r>
      <w:r w:rsidR="001B31EB">
        <w:rPr>
          <w:sz w:val="24"/>
          <w:szCs w:val="24"/>
        </w:rPr>
        <w:t>mis</w:t>
      </w:r>
      <w:r w:rsidR="001C1ADD" w:rsidRPr="001C1ADD">
        <w:rPr>
          <w:sz w:val="24"/>
          <w:szCs w:val="24"/>
        </w:rPr>
        <w:t xml:space="preserve"> garan</w:t>
      </w:r>
      <w:r w:rsidR="001B31EB">
        <w:rPr>
          <w:sz w:val="24"/>
          <w:szCs w:val="24"/>
        </w:rPr>
        <w:t>tuoti, laiduoti ar kitu būdu jomis</w:t>
      </w:r>
      <w:r w:rsidR="001C1ADD" w:rsidRPr="001C1ADD">
        <w:rPr>
          <w:sz w:val="24"/>
          <w:szCs w:val="24"/>
        </w:rPr>
        <w:t xml:space="preserve"> užtikrinti savo ir </w:t>
      </w:r>
      <w:r w:rsidR="001B31EB">
        <w:rPr>
          <w:sz w:val="24"/>
          <w:szCs w:val="24"/>
        </w:rPr>
        <w:t>kitų asmenų prievolių įvykdymą.</w:t>
      </w:r>
    </w:p>
    <w:p w14:paraId="55A9AD9E" w14:textId="77777777" w:rsidR="00C220D0" w:rsidRPr="004660D5" w:rsidRDefault="00C220D0" w:rsidP="00C220D0">
      <w:pPr>
        <w:ind w:firstLine="720"/>
        <w:jc w:val="both"/>
        <w:rPr>
          <w:b/>
          <w:sz w:val="24"/>
          <w:szCs w:val="24"/>
        </w:rPr>
      </w:pPr>
      <w:r w:rsidRPr="004660D5">
        <w:rPr>
          <w:b/>
          <w:sz w:val="24"/>
          <w:szCs w:val="24"/>
        </w:rPr>
        <w:t>3. Kokių rezultatų laukiama.</w:t>
      </w:r>
    </w:p>
    <w:p w14:paraId="6976730B" w14:textId="6628FA50" w:rsidR="00C220D0" w:rsidRPr="0087555D" w:rsidRDefault="0087555D" w:rsidP="0087555D">
      <w:pPr>
        <w:pStyle w:val="Pavadinimas"/>
        <w:ind w:firstLine="720"/>
        <w:jc w:val="both"/>
        <w:rPr>
          <w:b w:val="0"/>
          <w:color w:val="FF0000"/>
        </w:rPr>
      </w:pPr>
      <w:r>
        <w:rPr>
          <w:b w:val="0"/>
        </w:rPr>
        <w:t>Perd</w:t>
      </w:r>
      <w:r w:rsidR="00B944BE">
        <w:rPr>
          <w:b w:val="0"/>
        </w:rPr>
        <w:t>avus gyvenamąsias patalpas</w:t>
      </w:r>
      <w:r w:rsidR="001C1ADD" w:rsidRPr="00FC480D">
        <w:rPr>
          <w:b w:val="0"/>
        </w:rPr>
        <w:t xml:space="preserve"> </w:t>
      </w:r>
      <w:r w:rsidR="001C1ADD">
        <w:rPr>
          <w:b w:val="0"/>
        </w:rPr>
        <w:t xml:space="preserve">pagal patikėjimo teisės sutartį </w:t>
      </w:r>
      <w:r w:rsidR="00B944BE">
        <w:rPr>
          <w:b w:val="0"/>
        </w:rPr>
        <w:t>Įstaigai</w:t>
      </w:r>
      <w:r w:rsidR="001C1ADD">
        <w:rPr>
          <w:b w:val="0"/>
        </w:rPr>
        <w:t xml:space="preserve"> bus užtikrinta tinkama </w:t>
      </w:r>
      <w:r w:rsidR="00B944BE">
        <w:rPr>
          <w:b w:val="0"/>
        </w:rPr>
        <w:t>savivaldybės gyvenamųjų patalpų nuomos administravimo paslauga, užtikrinama tinkama patalpų techninė būklė</w:t>
      </w:r>
      <w:r w:rsidR="00565784">
        <w:rPr>
          <w:b w:val="0"/>
        </w:rPr>
        <w:t xml:space="preserve">, </w:t>
      </w:r>
      <w:r w:rsidR="006647B0">
        <w:rPr>
          <w:b w:val="0"/>
        </w:rPr>
        <w:t>efektyviau</w:t>
      </w:r>
      <w:r w:rsidR="00B944BE">
        <w:rPr>
          <w:b w:val="0"/>
        </w:rPr>
        <w:t xml:space="preserve"> bus atliekamas patalpų remontas ir pritaikymas apgyvendinimui</w:t>
      </w:r>
      <w:r w:rsidR="006647B0">
        <w:rPr>
          <w:b w:val="0"/>
        </w:rPr>
        <w:t xml:space="preserve">, ir tuo </w:t>
      </w:r>
      <w:r w:rsidR="009F1AB8">
        <w:rPr>
          <w:b w:val="0"/>
        </w:rPr>
        <w:t>pačiu būtų</w:t>
      </w:r>
      <w:r w:rsidR="006647B0">
        <w:rPr>
          <w:b w:val="0"/>
        </w:rPr>
        <w:t xml:space="preserve"> </w:t>
      </w:r>
      <w:r w:rsidR="009F1AB8">
        <w:rPr>
          <w:b w:val="0"/>
        </w:rPr>
        <w:t>galimybė greičiau ir efektyviau išnuomoti socialinį būstą</w:t>
      </w:r>
      <w:r w:rsidR="00596389">
        <w:rPr>
          <w:b w:val="0"/>
        </w:rPr>
        <w:t xml:space="preserve"> </w:t>
      </w:r>
      <w:r w:rsidR="00AA0EB9">
        <w:rPr>
          <w:b w:val="0"/>
        </w:rPr>
        <w:t xml:space="preserve"> asmen</w:t>
      </w:r>
      <w:r w:rsidR="00596389">
        <w:rPr>
          <w:b w:val="0"/>
        </w:rPr>
        <w:t>ims</w:t>
      </w:r>
      <w:r w:rsidR="00AA0EB9">
        <w:rPr>
          <w:b w:val="0"/>
        </w:rPr>
        <w:t xml:space="preserve"> ir šeim</w:t>
      </w:r>
      <w:r w:rsidR="00596389">
        <w:rPr>
          <w:b w:val="0"/>
        </w:rPr>
        <w:t>oms</w:t>
      </w:r>
      <w:r w:rsidR="00AA0EB9">
        <w:rPr>
          <w:b w:val="0"/>
        </w:rPr>
        <w:t>, turinč</w:t>
      </w:r>
      <w:r w:rsidR="00596389">
        <w:rPr>
          <w:b w:val="0"/>
        </w:rPr>
        <w:t>ioms</w:t>
      </w:r>
      <w:r w:rsidR="00AA0EB9">
        <w:rPr>
          <w:b w:val="0"/>
        </w:rPr>
        <w:t xml:space="preserve"> teisę į paramą būstui išsinuomoti</w:t>
      </w:r>
      <w:r w:rsidR="009F1AB8">
        <w:rPr>
          <w:b w:val="0"/>
        </w:rPr>
        <w:t>.</w:t>
      </w:r>
      <w:r w:rsidR="00AA0EB9">
        <w:rPr>
          <w:b w:val="0"/>
        </w:rPr>
        <w:t xml:space="preserve"> </w:t>
      </w:r>
    </w:p>
    <w:p w14:paraId="00285560" w14:textId="77777777" w:rsidR="00C220D0" w:rsidRPr="004660D5" w:rsidRDefault="00C220D0" w:rsidP="00C220D0">
      <w:pPr>
        <w:ind w:firstLine="720"/>
        <w:jc w:val="both"/>
        <w:rPr>
          <w:b/>
          <w:sz w:val="24"/>
          <w:szCs w:val="24"/>
        </w:rPr>
      </w:pPr>
      <w:r w:rsidRPr="004660D5">
        <w:rPr>
          <w:b/>
          <w:sz w:val="24"/>
          <w:szCs w:val="24"/>
        </w:rPr>
        <w:t>4. Sprendimo  projekto rengimo metu gauti specialistų vertinimai.</w:t>
      </w:r>
    </w:p>
    <w:p w14:paraId="265FF854" w14:textId="77777777" w:rsidR="00C220D0" w:rsidRPr="004660D5" w:rsidRDefault="001B2E17" w:rsidP="00C220D0">
      <w:pPr>
        <w:ind w:firstLine="720"/>
        <w:jc w:val="both"/>
        <w:rPr>
          <w:sz w:val="24"/>
          <w:szCs w:val="24"/>
        </w:rPr>
      </w:pPr>
      <w:r>
        <w:rPr>
          <w:sz w:val="24"/>
          <w:szCs w:val="24"/>
        </w:rPr>
        <w:t>Sprendimu tvirtinamus dokumentus vertino Saviv</w:t>
      </w:r>
      <w:r w:rsidR="002704AD">
        <w:rPr>
          <w:sz w:val="24"/>
          <w:szCs w:val="24"/>
        </w:rPr>
        <w:t>aldybės administracijos Finansų, Teisės ir Socialinio būsto skyrių</w:t>
      </w:r>
      <w:r>
        <w:rPr>
          <w:sz w:val="24"/>
          <w:szCs w:val="24"/>
        </w:rPr>
        <w:t xml:space="preserve"> specialistai</w:t>
      </w:r>
      <w:r w:rsidR="00085BC0">
        <w:rPr>
          <w:sz w:val="24"/>
          <w:szCs w:val="24"/>
        </w:rPr>
        <w:t>.</w:t>
      </w:r>
    </w:p>
    <w:p w14:paraId="4AC667B0" w14:textId="77777777" w:rsidR="00C220D0" w:rsidRPr="004660D5" w:rsidRDefault="00C220D0" w:rsidP="00C220D0">
      <w:pPr>
        <w:ind w:firstLine="720"/>
        <w:jc w:val="both"/>
        <w:rPr>
          <w:b/>
          <w:sz w:val="24"/>
          <w:szCs w:val="24"/>
        </w:rPr>
      </w:pPr>
      <w:r w:rsidRPr="004660D5">
        <w:rPr>
          <w:b/>
          <w:sz w:val="24"/>
          <w:szCs w:val="24"/>
        </w:rPr>
        <w:t>5. Lėšų poreikis sprendimo įgyvendinimui.</w:t>
      </w:r>
    </w:p>
    <w:p w14:paraId="48C84969" w14:textId="205E510E" w:rsidR="00F0265E" w:rsidRDefault="002704AD" w:rsidP="00F0265E">
      <w:pPr>
        <w:ind w:firstLine="1290"/>
        <w:jc w:val="both"/>
        <w:rPr>
          <w:sz w:val="24"/>
          <w:szCs w:val="24"/>
        </w:rPr>
      </w:pPr>
      <w:r>
        <w:rPr>
          <w:sz w:val="24"/>
          <w:szCs w:val="24"/>
        </w:rPr>
        <w:t>Pagal šiuo metu galiojančią Paslaugų sutartį savivaldybės mokėjimai Įstaigai per vieną mėnesį sudaro 16</w:t>
      </w:r>
      <w:r w:rsidR="00130C37">
        <w:rPr>
          <w:sz w:val="24"/>
          <w:szCs w:val="24"/>
        </w:rPr>
        <w:t> 115,70</w:t>
      </w:r>
      <w:r>
        <w:rPr>
          <w:sz w:val="24"/>
          <w:szCs w:val="24"/>
        </w:rPr>
        <w:t xml:space="preserve"> Eur be PVM, per vienerius metus – </w:t>
      </w:r>
      <w:r w:rsidR="00130C37">
        <w:rPr>
          <w:sz w:val="24"/>
          <w:szCs w:val="24"/>
        </w:rPr>
        <w:t>193388,4</w:t>
      </w:r>
      <w:r>
        <w:rPr>
          <w:sz w:val="24"/>
          <w:szCs w:val="24"/>
        </w:rPr>
        <w:t xml:space="preserve"> Eur be PVM. Perdavus savivaldybės gyvenamąsias patalpas pagal Turto patikėjimo sutartį, savivaldybės mokėjimai Įstaigai sudarys </w:t>
      </w:r>
      <w:r w:rsidR="00476E9C">
        <w:rPr>
          <w:sz w:val="24"/>
          <w:szCs w:val="24"/>
        </w:rPr>
        <w:t>21556,10</w:t>
      </w:r>
      <w:r>
        <w:rPr>
          <w:sz w:val="24"/>
          <w:szCs w:val="24"/>
        </w:rPr>
        <w:t xml:space="preserve"> Eur be PVM per vieną mėnesį ir </w:t>
      </w:r>
      <w:r w:rsidR="00476E9C">
        <w:rPr>
          <w:sz w:val="24"/>
          <w:szCs w:val="24"/>
        </w:rPr>
        <w:t>258673,2</w:t>
      </w:r>
      <w:r w:rsidR="00563B72">
        <w:rPr>
          <w:sz w:val="24"/>
          <w:szCs w:val="24"/>
        </w:rPr>
        <w:t xml:space="preserve"> Eur be PVM per vienerius metus. </w:t>
      </w:r>
      <w:r w:rsidR="00A16D9A">
        <w:rPr>
          <w:sz w:val="24"/>
          <w:szCs w:val="24"/>
        </w:rPr>
        <w:t xml:space="preserve">Pagrindinė priežastis, dėl kurios numatomas paslaugų pabrangimas – dėl padidėjusių </w:t>
      </w:r>
      <w:r w:rsidR="0081554A">
        <w:rPr>
          <w:sz w:val="24"/>
          <w:szCs w:val="24"/>
        </w:rPr>
        <w:t xml:space="preserve">numatomų </w:t>
      </w:r>
      <w:r w:rsidR="00A16D9A">
        <w:rPr>
          <w:sz w:val="24"/>
          <w:szCs w:val="24"/>
        </w:rPr>
        <w:t>teik</w:t>
      </w:r>
      <w:r w:rsidR="0081554A">
        <w:rPr>
          <w:sz w:val="24"/>
          <w:szCs w:val="24"/>
        </w:rPr>
        <w:t>ti</w:t>
      </w:r>
      <w:r w:rsidR="00A16D9A">
        <w:rPr>
          <w:sz w:val="24"/>
          <w:szCs w:val="24"/>
        </w:rPr>
        <w:t xml:space="preserve"> paslaugų kiekių ir apimčių</w:t>
      </w:r>
      <w:r w:rsidR="0081554A">
        <w:rPr>
          <w:sz w:val="24"/>
          <w:szCs w:val="24"/>
        </w:rPr>
        <w:t xml:space="preserve"> padidėsiančios Įstaigos sąnaudos.</w:t>
      </w:r>
      <w:r w:rsidR="009B1385">
        <w:rPr>
          <w:sz w:val="24"/>
          <w:szCs w:val="24"/>
        </w:rPr>
        <w:t xml:space="preserve"> Dėl didėsiančio darbo krūvio, </w:t>
      </w:r>
      <w:r w:rsidR="00FE6F31">
        <w:rPr>
          <w:sz w:val="24"/>
          <w:szCs w:val="24"/>
        </w:rPr>
        <w:t xml:space="preserve">daugiausia </w:t>
      </w:r>
      <w:r w:rsidR="009B1385">
        <w:rPr>
          <w:sz w:val="24"/>
          <w:szCs w:val="24"/>
        </w:rPr>
        <w:t xml:space="preserve">didės darbo užmokesčio ir socialinio draudimo sąnaudos. </w:t>
      </w:r>
      <w:r w:rsidR="00FE6F31">
        <w:rPr>
          <w:sz w:val="24"/>
          <w:szCs w:val="24"/>
        </w:rPr>
        <w:t xml:space="preserve">2021 m. Įstaigos vidutinis mėnesinis darbo užmokestis – 1436 Eur., kuris 2022 m. padidėtų iki 1561 Eur. </w:t>
      </w:r>
      <w:r w:rsidR="00F0265E">
        <w:rPr>
          <w:sz w:val="24"/>
          <w:szCs w:val="24"/>
        </w:rPr>
        <w:t>Lietuvos statistikos departamento skelbiam</w:t>
      </w:r>
      <w:r w:rsidR="00D57045">
        <w:rPr>
          <w:sz w:val="24"/>
          <w:szCs w:val="24"/>
        </w:rPr>
        <w:t>as</w:t>
      </w:r>
      <w:r w:rsidR="00F0265E">
        <w:rPr>
          <w:sz w:val="24"/>
          <w:szCs w:val="24"/>
        </w:rPr>
        <w:t xml:space="preserve"> viešojo sektoriaus 2021 m. I</w:t>
      </w:r>
      <w:r w:rsidR="00D57045">
        <w:rPr>
          <w:sz w:val="24"/>
          <w:szCs w:val="24"/>
        </w:rPr>
        <w:t>I</w:t>
      </w:r>
      <w:r w:rsidR="00F0265E">
        <w:rPr>
          <w:sz w:val="24"/>
          <w:szCs w:val="24"/>
        </w:rPr>
        <w:t xml:space="preserve"> ketvirčio mėnesinio bruto darbo užmokes</w:t>
      </w:r>
      <w:r w:rsidR="00D57045">
        <w:rPr>
          <w:sz w:val="24"/>
          <w:szCs w:val="24"/>
        </w:rPr>
        <w:t>tis</w:t>
      </w:r>
      <w:r w:rsidR="00F0265E">
        <w:rPr>
          <w:sz w:val="24"/>
          <w:szCs w:val="24"/>
        </w:rPr>
        <w:t xml:space="preserve"> </w:t>
      </w:r>
      <w:r w:rsidR="00D57045">
        <w:rPr>
          <w:sz w:val="24"/>
          <w:szCs w:val="24"/>
        </w:rPr>
        <w:t>–</w:t>
      </w:r>
      <w:r w:rsidR="00F0265E">
        <w:rPr>
          <w:sz w:val="24"/>
          <w:szCs w:val="24"/>
        </w:rPr>
        <w:t xml:space="preserve"> 16</w:t>
      </w:r>
      <w:r w:rsidR="00D57045">
        <w:rPr>
          <w:sz w:val="24"/>
          <w:szCs w:val="24"/>
        </w:rPr>
        <w:t>68,3</w:t>
      </w:r>
      <w:r w:rsidR="00F0265E">
        <w:rPr>
          <w:sz w:val="24"/>
          <w:szCs w:val="24"/>
        </w:rPr>
        <w:t xml:space="preserve"> Eur</w:t>
      </w:r>
      <w:r w:rsidR="00D57045">
        <w:rPr>
          <w:sz w:val="24"/>
          <w:szCs w:val="24"/>
        </w:rPr>
        <w:t>.</w:t>
      </w:r>
    </w:p>
    <w:p w14:paraId="3884A381" w14:textId="54F6DF8C" w:rsidR="00C220D0" w:rsidRPr="002704AD" w:rsidRDefault="00D57045" w:rsidP="00635EF6">
      <w:pPr>
        <w:ind w:firstLine="1290"/>
        <w:jc w:val="both"/>
        <w:rPr>
          <w:sz w:val="24"/>
          <w:szCs w:val="24"/>
        </w:rPr>
      </w:pPr>
      <w:r>
        <w:rPr>
          <w:sz w:val="24"/>
          <w:szCs w:val="24"/>
        </w:rPr>
        <w:t>Perduotų gyvenamųjų</w:t>
      </w:r>
      <w:r w:rsidR="007766F2">
        <w:rPr>
          <w:sz w:val="24"/>
          <w:szCs w:val="24"/>
        </w:rPr>
        <w:t xml:space="preserve"> patalpų eksploatavimo išlaidos, tame tarpe esminio pagerinimo, paprastojo remonto ir </w:t>
      </w:r>
      <w:r w:rsidR="009765A2">
        <w:rPr>
          <w:sz w:val="24"/>
          <w:szCs w:val="24"/>
        </w:rPr>
        <w:t>kiti panašaus pobūdžio darbai</w:t>
      </w:r>
      <w:r w:rsidR="004F7350">
        <w:rPr>
          <w:sz w:val="24"/>
          <w:szCs w:val="24"/>
        </w:rPr>
        <w:t>, suderinus su savivaldybe,</w:t>
      </w:r>
      <w:r w:rsidR="009765A2">
        <w:rPr>
          <w:sz w:val="24"/>
          <w:szCs w:val="24"/>
        </w:rPr>
        <w:t xml:space="preserve"> būtų apmokami pagal </w:t>
      </w:r>
      <w:r w:rsidR="004F7350">
        <w:rPr>
          <w:sz w:val="24"/>
          <w:szCs w:val="24"/>
        </w:rPr>
        <w:t>išlaidų faktą, įstaigai pateikus tai įrodančius dokumentus</w:t>
      </w:r>
      <w:r w:rsidR="00635EF6">
        <w:rPr>
          <w:sz w:val="24"/>
          <w:szCs w:val="24"/>
        </w:rPr>
        <w:t xml:space="preserve"> (sutartys su rangovais, atliktų darbų aktai, sąskaitos faktūros, kiti dokumentai).</w:t>
      </w:r>
    </w:p>
    <w:p w14:paraId="53815A2A" w14:textId="77777777" w:rsidR="00C220D0" w:rsidRPr="004660D5" w:rsidRDefault="00C220D0" w:rsidP="00C220D0">
      <w:pPr>
        <w:ind w:firstLine="720"/>
        <w:jc w:val="both"/>
        <w:rPr>
          <w:b/>
          <w:sz w:val="24"/>
          <w:szCs w:val="24"/>
        </w:rPr>
      </w:pPr>
      <w:r w:rsidRPr="004660D5">
        <w:rPr>
          <w:b/>
          <w:sz w:val="24"/>
          <w:szCs w:val="24"/>
        </w:rPr>
        <w:t>6. Galimos teigiamos ar neigiamos sprendimo priėmimo pasekmės.</w:t>
      </w:r>
    </w:p>
    <w:p w14:paraId="246CCFFB" w14:textId="444C8773" w:rsidR="00C220D0" w:rsidRPr="00527654" w:rsidRDefault="00C220D0" w:rsidP="00527654">
      <w:pPr>
        <w:ind w:firstLine="1290"/>
        <w:jc w:val="both"/>
        <w:rPr>
          <w:sz w:val="24"/>
          <w:szCs w:val="24"/>
          <w:lang w:val="en-US"/>
        </w:rPr>
      </w:pPr>
      <w:r w:rsidRPr="005C5B1B">
        <w:rPr>
          <w:sz w:val="24"/>
          <w:szCs w:val="24"/>
        </w:rPr>
        <w:t>Įgyvendinant šį sprendimą</w:t>
      </w:r>
      <w:r w:rsidR="00C573C3" w:rsidRPr="005C5B1B">
        <w:rPr>
          <w:sz w:val="24"/>
          <w:szCs w:val="24"/>
        </w:rPr>
        <w:t xml:space="preserve"> numatomos</w:t>
      </w:r>
      <w:r w:rsidR="00512E13" w:rsidRPr="005C5B1B">
        <w:rPr>
          <w:sz w:val="24"/>
          <w:szCs w:val="24"/>
        </w:rPr>
        <w:t xml:space="preserve"> teigiamos pasekmės –</w:t>
      </w:r>
      <w:r w:rsidR="00FC480D" w:rsidRPr="005C5B1B">
        <w:rPr>
          <w:sz w:val="24"/>
          <w:szCs w:val="24"/>
        </w:rPr>
        <w:t xml:space="preserve"> </w:t>
      </w:r>
      <w:r w:rsidR="002B679E" w:rsidRPr="005C5B1B">
        <w:rPr>
          <w:sz w:val="24"/>
          <w:szCs w:val="24"/>
        </w:rPr>
        <w:t xml:space="preserve">tinkama savivaldybės gyvenamųjų patalpų nuomos administravimo paslauga, </w:t>
      </w:r>
      <w:r w:rsidR="00FC480D" w:rsidRPr="005C5B1B">
        <w:rPr>
          <w:sz w:val="24"/>
          <w:szCs w:val="24"/>
        </w:rPr>
        <w:t>efektyvus turto eksploatavimas ir priežiūra</w:t>
      </w:r>
      <w:r w:rsidR="00C573C3" w:rsidRPr="005C5B1B">
        <w:rPr>
          <w:sz w:val="24"/>
          <w:szCs w:val="24"/>
        </w:rPr>
        <w:t xml:space="preserve"> bei operatyvus ir tinkamas turto atnaujinimas, neigiamos pasekmės – </w:t>
      </w:r>
      <w:r w:rsidR="002B679E" w:rsidRPr="005C5B1B">
        <w:rPr>
          <w:sz w:val="24"/>
          <w:szCs w:val="24"/>
        </w:rPr>
        <w:t>nenumatoma.</w:t>
      </w:r>
      <w:r w:rsidR="005C5B1B" w:rsidRPr="005C5B1B">
        <w:rPr>
          <w:sz w:val="24"/>
          <w:szCs w:val="24"/>
        </w:rPr>
        <w:t xml:space="preserve"> </w:t>
      </w:r>
      <w:r w:rsidR="005C5B1B">
        <w:rPr>
          <w:sz w:val="24"/>
          <w:szCs w:val="24"/>
        </w:rPr>
        <w:t>Gyventojų, kurie nuomoja Savivaldybei nuosavybės teise priklausančias gyvenamąsias patalpas, mokamam nuomos mokesčiui minėtų paslaugų įkainių įvertinimo metodika įtakos neturės ir nuomos mokestis dėl šių aplinkybių nesikeis.</w:t>
      </w:r>
    </w:p>
    <w:p w14:paraId="7D739809" w14:textId="463D73D7" w:rsidR="00C220D0" w:rsidRDefault="00C220D0" w:rsidP="00C220D0">
      <w:pPr>
        <w:ind w:firstLine="720"/>
        <w:jc w:val="both"/>
        <w:rPr>
          <w:sz w:val="24"/>
          <w:szCs w:val="24"/>
        </w:rPr>
      </w:pPr>
      <w:r w:rsidRPr="004660D5">
        <w:rPr>
          <w:sz w:val="24"/>
          <w:szCs w:val="24"/>
        </w:rPr>
        <w:t>Teikiame svarstyti šį sprendimo projektą.</w:t>
      </w:r>
    </w:p>
    <w:p w14:paraId="3E91E289" w14:textId="77777777" w:rsidR="00527654" w:rsidRDefault="00527654" w:rsidP="00C220D0">
      <w:pPr>
        <w:ind w:firstLine="720"/>
        <w:jc w:val="both"/>
        <w:rPr>
          <w:sz w:val="24"/>
          <w:szCs w:val="24"/>
        </w:rPr>
      </w:pPr>
    </w:p>
    <w:p w14:paraId="4219DFCA" w14:textId="75AB2896" w:rsidR="00527654" w:rsidRDefault="00527654" w:rsidP="00C220D0">
      <w:pPr>
        <w:ind w:firstLine="720"/>
        <w:jc w:val="both"/>
        <w:rPr>
          <w:sz w:val="24"/>
          <w:szCs w:val="24"/>
        </w:rPr>
      </w:pPr>
    </w:p>
    <w:p w14:paraId="545EA968" w14:textId="77777777" w:rsidR="00527654" w:rsidRDefault="00527654" w:rsidP="00527654">
      <w:pPr>
        <w:jc w:val="both"/>
        <w:rPr>
          <w:sz w:val="24"/>
          <w:szCs w:val="24"/>
        </w:rPr>
      </w:pPr>
      <w:r w:rsidRPr="004660D5">
        <w:rPr>
          <w:sz w:val="24"/>
          <w:szCs w:val="24"/>
        </w:rPr>
        <w:t xml:space="preserve">Turto </w:t>
      </w:r>
      <w:r>
        <w:rPr>
          <w:sz w:val="24"/>
          <w:szCs w:val="24"/>
        </w:rPr>
        <w:t xml:space="preserve">valdymo </w:t>
      </w:r>
      <w:r w:rsidRPr="004660D5">
        <w:rPr>
          <w:sz w:val="24"/>
          <w:szCs w:val="24"/>
        </w:rPr>
        <w:t>skyriaus vedėja</w:t>
      </w:r>
      <w:r>
        <w:rPr>
          <w:sz w:val="24"/>
          <w:szCs w:val="24"/>
        </w:rPr>
        <w:t>s</w:t>
      </w:r>
      <w:r w:rsidRPr="004660D5">
        <w:rPr>
          <w:sz w:val="24"/>
          <w:szCs w:val="24"/>
        </w:rPr>
        <w:tab/>
      </w:r>
      <w:r>
        <w:rPr>
          <w:sz w:val="24"/>
          <w:szCs w:val="24"/>
        </w:rPr>
        <w:t xml:space="preserve">                                                         Edvardas Simokaitis</w:t>
      </w:r>
    </w:p>
    <w:p w14:paraId="43FE68DF" w14:textId="32496F3E" w:rsidR="00FA02E4" w:rsidRPr="00A130F2" w:rsidRDefault="00FA02E4" w:rsidP="00A130F2">
      <w:pPr>
        <w:jc w:val="both"/>
        <w:rPr>
          <w:sz w:val="24"/>
          <w:szCs w:val="24"/>
        </w:rPr>
      </w:pPr>
    </w:p>
    <w:sectPr w:rsidR="00FA02E4" w:rsidRPr="00A130F2" w:rsidSect="00C220D0">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8DDCB" w14:textId="77777777" w:rsidR="00AE53D0" w:rsidRDefault="00AE53D0" w:rsidP="00C220D0">
      <w:r>
        <w:separator/>
      </w:r>
    </w:p>
  </w:endnote>
  <w:endnote w:type="continuationSeparator" w:id="0">
    <w:p w14:paraId="015A51F6" w14:textId="77777777" w:rsidR="00AE53D0" w:rsidRDefault="00AE53D0" w:rsidP="00C2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6ED52" w14:textId="77777777" w:rsidR="00AE53D0" w:rsidRDefault="00AE53D0" w:rsidP="00C220D0">
      <w:r>
        <w:separator/>
      </w:r>
    </w:p>
  </w:footnote>
  <w:footnote w:type="continuationSeparator" w:id="0">
    <w:p w14:paraId="7843B5D3" w14:textId="77777777" w:rsidR="00AE53D0" w:rsidRDefault="00AE53D0" w:rsidP="00C22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30262A"/>
    <w:multiLevelType w:val="hybridMultilevel"/>
    <w:tmpl w:val="2384EBB4"/>
    <w:lvl w:ilvl="0" w:tplc="3EA010F6">
      <w:start w:val="2"/>
      <w:numFmt w:val="bullet"/>
      <w:lvlText w:val="-"/>
      <w:lvlJc w:val="left"/>
      <w:pPr>
        <w:ind w:left="1080" w:hanging="360"/>
      </w:pPr>
      <w:rPr>
        <w:rFonts w:ascii="Times New Roman" w:eastAsia="Times New Roman" w:hAnsi="Times New Roman" w:cs="Times New Roman" w:hint="default"/>
        <w:color w:val="00000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560A08C0"/>
    <w:multiLevelType w:val="hybridMultilevel"/>
    <w:tmpl w:val="803AACE8"/>
    <w:lvl w:ilvl="0" w:tplc="2C28507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D0"/>
    <w:rsid w:val="00001F83"/>
    <w:rsid w:val="000020CA"/>
    <w:rsid w:val="00013F39"/>
    <w:rsid w:val="000329A2"/>
    <w:rsid w:val="00037AF5"/>
    <w:rsid w:val="00063DF1"/>
    <w:rsid w:val="000663D0"/>
    <w:rsid w:val="00085BC0"/>
    <w:rsid w:val="0009219F"/>
    <w:rsid w:val="00093463"/>
    <w:rsid w:val="000B207B"/>
    <w:rsid w:val="000D2C79"/>
    <w:rsid w:val="00122E21"/>
    <w:rsid w:val="001230A2"/>
    <w:rsid w:val="00130C37"/>
    <w:rsid w:val="00155A6C"/>
    <w:rsid w:val="00162D07"/>
    <w:rsid w:val="001640BB"/>
    <w:rsid w:val="001837D7"/>
    <w:rsid w:val="001B2E17"/>
    <w:rsid w:val="001B3158"/>
    <w:rsid w:val="001B31EB"/>
    <w:rsid w:val="001C1ADD"/>
    <w:rsid w:val="001C4985"/>
    <w:rsid w:val="001C65FE"/>
    <w:rsid w:val="001F04F6"/>
    <w:rsid w:val="001F1FFA"/>
    <w:rsid w:val="001F3FFD"/>
    <w:rsid w:val="002011C2"/>
    <w:rsid w:val="00252847"/>
    <w:rsid w:val="002530AC"/>
    <w:rsid w:val="002704AD"/>
    <w:rsid w:val="00290562"/>
    <w:rsid w:val="002B679E"/>
    <w:rsid w:val="002D00AF"/>
    <w:rsid w:val="002D676E"/>
    <w:rsid w:val="002F0487"/>
    <w:rsid w:val="002F5561"/>
    <w:rsid w:val="00303EE8"/>
    <w:rsid w:val="00342AD2"/>
    <w:rsid w:val="00344924"/>
    <w:rsid w:val="003929F9"/>
    <w:rsid w:val="00393CE4"/>
    <w:rsid w:val="003E3CE9"/>
    <w:rsid w:val="003E7542"/>
    <w:rsid w:val="00442E8E"/>
    <w:rsid w:val="00447281"/>
    <w:rsid w:val="004600FF"/>
    <w:rsid w:val="0046276F"/>
    <w:rsid w:val="00476E9C"/>
    <w:rsid w:val="00483390"/>
    <w:rsid w:val="0049338E"/>
    <w:rsid w:val="004D3DC6"/>
    <w:rsid w:val="004E15FC"/>
    <w:rsid w:val="004E4B5B"/>
    <w:rsid w:val="004F6405"/>
    <w:rsid w:val="004F714A"/>
    <w:rsid w:val="004F7350"/>
    <w:rsid w:val="00512E13"/>
    <w:rsid w:val="00527654"/>
    <w:rsid w:val="00563B72"/>
    <w:rsid w:val="00565784"/>
    <w:rsid w:val="00596389"/>
    <w:rsid w:val="005B740F"/>
    <w:rsid w:val="005C5B1B"/>
    <w:rsid w:val="0061595B"/>
    <w:rsid w:val="0062245A"/>
    <w:rsid w:val="00635EF6"/>
    <w:rsid w:val="00646CC3"/>
    <w:rsid w:val="006647B0"/>
    <w:rsid w:val="006929E7"/>
    <w:rsid w:val="00695DE0"/>
    <w:rsid w:val="006C0598"/>
    <w:rsid w:val="00774CF0"/>
    <w:rsid w:val="007766F2"/>
    <w:rsid w:val="007A5041"/>
    <w:rsid w:val="007B118C"/>
    <w:rsid w:val="007C4264"/>
    <w:rsid w:val="007E16D0"/>
    <w:rsid w:val="007E2198"/>
    <w:rsid w:val="007F5295"/>
    <w:rsid w:val="0081032F"/>
    <w:rsid w:val="0081554A"/>
    <w:rsid w:val="00820B78"/>
    <w:rsid w:val="0087555D"/>
    <w:rsid w:val="008822C3"/>
    <w:rsid w:val="008A59C6"/>
    <w:rsid w:val="008B1D1D"/>
    <w:rsid w:val="00930C91"/>
    <w:rsid w:val="009351B7"/>
    <w:rsid w:val="009765A2"/>
    <w:rsid w:val="009A711C"/>
    <w:rsid w:val="009A785B"/>
    <w:rsid w:val="009B1385"/>
    <w:rsid w:val="009C125F"/>
    <w:rsid w:val="009C32F8"/>
    <w:rsid w:val="009D088D"/>
    <w:rsid w:val="009F1AB8"/>
    <w:rsid w:val="00A130F2"/>
    <w:rsid w:val="00A16D9A"/>
    <w:rsid w:val="00A721F8"/>
    <w:rsid w:val="00A73C12"/>
    <w:rsid w:val="00A8005A"/>
    <w:rsid w:val="00A92648"/>
    <w:rsid w:val="00A966F3"/>
    <w:rsid w:val="00AA0EB9"/>
    <w:rsid w:val="00AA2B43"/>
    <w:rsid w:val="00AA2D56"/>
    <w:rsid w:val="00AE53D0"/>
    <w:rsid w:val="00B047CA"/>
    <w:rsid w:val="00B51BE7"/>
    <w:rsid w:val="00B944BE"/>
    <w:rsid w:val="00BB7610"/>
    <w:rsid w:val="00BC03CF"/>
    <w:rsid w:val="00BF60B5"/>
    <w:rsid w:val="00C15004"/>
    <w:rsid w:val="00C220D0"/>
    <w:rsid w:val="00C25600"/>
    <w:rsid w:val="00C31CEE"/>
    <w:rsid w:val="00C516E3"/>
    <w:rsid w:val="00C525A1"/>
    <w:rsid w:val="00C573C3"/>
    <w:rsid w:val="00C6532A"/>
    <w:rsid w:val="00C76D47"/>
    <w:rsid w:val="00C83BEA"/>
    <w:rsid w:val="00CA72AF"/>
    <w:rsid w:val="00CE759A"/>
    <w:rsid w:val="00D004B2"/>
    <w:rsid w:val="00D06E0F"/>
    <w:rsid w:val="00D14EA4"/>
    <w:rsid w:val="00D41074"/>
    <w:rsid w:val="00D5534E"/>
    <w:rsid w:val="00D57045"/>
    <w:rsid w:val="00D633EC"/>
    <w:rsid w:val="00DB20A2"/>
    <w:rsid w:val="00DB5BFE"/>
    <w:rsid w:val="00DD0BE2"/>
    <w:rsid w:val="00DD5357"/>
    <w:rsid w:val="00E64F4F"/>
    <w:rsid w:val="00E779B1"/>
    <w:rsid w:val="00EC4CCE"/>
    <w:rsid w:val="00F0265E"/>
    <w:rsid w:val="00F0483F"/>
    <w:rsid w:val="00F22C3D"/>
    <w:rsid w:val="00F5589F"/>
    <w:rsid w:val="00F60863"/>
    <w:rsid w:val="00F7584A"/>
    <w:rsid w:val="00FA02E4"/>
    <w:rsid w:val="00FC480D"/>
    <w:rsid w:val="00FE6F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DC7D2"/>
  <w15:docId w15:val="{39599A2E-B7D2-4CB1-9A1A-C4B27235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20D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220D0"/>
    <w:pPr>
      <w:tabs>
        <w:tab w:val="center" w:pos="4986"/>
        <w:tab w:val="right" w:pos="9972"/>
      </w:tabs>
    </w:pPr>
  </w:style>
  <w:style w:type="character" w:customStyle="1" w:styleId="AntratsDiagrama">
    <w:name w:val="Antraštės Diagrama"/>
    <w:basedOn w:val="Numatytasispastraiposriftas"/>
    <w:link w:val="Antrats"/>
    <w:uiPriority w:val="99"/>
    <w:rsid w:val="00C220D0"/>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C220D0"/>
    <w:pPr>
      <w:jc w:val="center"/>
    </w:pPr>
    <w:rPr>
      <w:b/>
      <w:bCs/>
      <w:sz w:val="24"/>
      <w:szCs w:val="24"/>
      <w:lang w:eastAsia="en-US"/>
    </w:rPr>
  </w:style>
  <w:style w:type="character" w:customStyle="1" w:styleId="PavadinimasDiagrama">
    <w:name w:val="Pavadinimas Diagrama"/>
    <w:basedOn w:val="Numatytasispastraiposriftas"/>
    <w:link w:val="Pavadinimas"/>
    <w:rsid w:val="00C220D0"/>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C220D0"/>
    <w:pPr>
      <w:tabs>
        <w:tab w:val="center" w:pos="4819"/>
        <w:tab w:val="right" w:pos="9638"/>
      </w:tabs>
    </w:pPr>
  </w:style>
  <w:style w:type="character" w:customStyle="1" w:styleId="PoratDiagrama">
    <w:name w:val="Poraštė Diagrama"/>
    <w:basedOn w:val="Numatytasispastraiposriftas"/>
    <w:link w:val="Porat"/>
    <w:uiPriority w:val="99"/>
    <w:rsid w:val="00C220D0"/>
    <w:rPr>
      <w:rFonts w:ascii="Times New Roman" w:eastAsia="Times New Roman" w:hAnsi="Times New Roman" w:cs="Times New Roman"/>
      <w:sz w:val="20"/>
      <w:szCs w:val="20"/>
      <w:lang w:eastAsia="lt-LT"/>
    </w:rPr>
  </w:style>
  <w:style w:type="paragraph" w:styleId="Sraopastraipa">
    <w:name w:val="List Paragraph"/>
    <w:basedOn w:val="prastasis"/>
    <w:uiPriority w:val="34"/>
    <w:qFormat/>
    <w:rsid w:val="00C15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435039">
      <w:bodyDiv w:val="1"/>
      <w:marLeft w:val="0"/>
      <w:marRight w:val="0"/>
      <w:marTop w:val="0"/>
      <w:marBottom w:val="0"/>
      <w:divBdr>
        <w:top w:val="none" w:sz="0" w:space="0" w:color="auto"/>
        <w:left w:val="none" w:sz="0" w:space="0" w:color="auto"/>
        <w:bottom w:val="none" w:sz="0" w:space="0" w:color="auto"/>
        <w:right w:val="none" w:sz="0" w:space="0" w:color="auto"/>
      </w:divBdr>
    </w:div>
    <w:div w:id="982926095">
      <w:bodyDiv w:val="1"/>
      <w:marLeft w:val="0"/>
      <w:marRight w:val="0"/>
      <w:marTop w:val="0"/>
      <w:marBottom w:val="0"/>
      <w:divBdr>
        <w:top w:val="none" w:sz="0" w:space="0" w:color="auto"/>
        <w:left w:val="none" w:sz="0" w:space="0" w:color="auto"/>
        <w:bottom w:val="none" w:sz="0" w:space="0" w:color="auto"/>
        <w:right w:val="none" w:sz="0" w:space="0" w:color="auto"/>
      </w:divBdr>
    </w:div>
    <w:div w:id="131683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7AC0D-1B32-4B4C-B4BD-CCF65ED3D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8208</Words>
  <Characters>4680</Characters>
  <Application>Microsoft Office Word</Application>
  <DocSecurity>4</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dcterms:created xsi:type="dcterms:W3CDTF">2021-10-06T12:18:00Z</dcterms:created>
  <dcterms:modified xsi:type="dcterms:W3CDTF">2021-10-06T12:18:00Z</dcterms:modified>
</cp:coreProperties>
</file>