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A651E" w14:textId="77777777" w:rsidR="00844D74" w:rsidRDefault="00844D74" w:rsidP="00844D74">
      <w:pPr>
        <w:jc w:val="center"/>
        <w:rPr>
          <w:b/>
        </w:rPr>
      </w:pPr>
      <w:bookmarkStart w:id="0" w:name="_GoBack"/>
      <w:bookmarkEnd w:id="0"/>
      <w:r>
        <w:rPr>
          <w:b/>
        </w:rPr>
        <w:t>AIŠKINAMASIS RAŠTAS</w:t>
      </w:r>
    </w:p>
    <w:p w14:paraId="771A651F" w14:textId="77777777" w:rsidR="00844D74" w:rsidRPr="00B95B6E" w:rsidRDefault="00844D74" w:rsidP="00B95B6E">
      <w:pPr>
        <w:jc w:val="center"/>
      </w:pPr>
      <w:r>
        <w:rPr>
          <w:b/>
        </w:rPr>
        <w:t>PRIE SAVIVALDYBĖS TARYBOS SPRENDIMO „</w:t>
      </w:r>
      <w:r w:rsidR="004F1BA6" w:rsidRPr="001D3C7E">
        <w:rPr>
          <w:b/>
          <w:caps/>
        </w:rPr>
        <w:t>DĖL</w:t>
      </w:r>
      <w:r w:rsidR="004F1BA6">
        <w:rPr>
          <w:b/>
          <w:caps/>
        </w:rPr>
        <w:t xml:space="preserve"> PRITARIMO REORGANIZUOTI UŽDARĄJĄ AKCINĘ BENDROVĘ „senaSIS TURGUS</w:t>
      </w:r>
      <w:r w:rsidR="00B95B6E">
        <w:rPr>
          <w:b/>
          <w:caps/>
        </w:rPr>
        <w:t xml:space="preserve">“ </w:t>
      </w:r>
      <w:r>
        <w:rPr>
          <w:b/>
        </w:rPr>
        <w:t>PROJEKTO</w:t>
      </w:r>
      <w:r w:rsidR="00B95B6E">
        <w:rPr>
          <w:b/>
        </w:rPr>
        <w:t>“</w:t>
      </w:r>
    </w:p>
    <w:p w14:paraId="771A6520" w14:textId="77777777" w:rsidR="00844D74" w:rsidRDefault="00844D74" w:rsidP="00844D74">
      <w:pPr>
        <w:jc w:val="both"/>
        <w:rPr>
          <w:b/>
        </w:rPr>
      </w:pPr>
    </w:p>
    <w:p w14:paraId="771A6521" w14:textId="77777777" w:rsidR="00844D74" w:rsidRPr="001E1CC9" w:rsidRDefault="00844D74" w:rsidP="00844D74">
      <w:pPr>
        <w:ind w:firstLine="720"/>
        <w:jc w:val="both"/>
        <w:rPr>
          <w:b/>
        </w:rPr>
      </w:pPr>
      <w:r>
        <w:rPr>
          <w:b/>
        </w:rPr>
        <w:t>1. Sprendimo projekto esmė, tikslai ir uždaviniai.</w:t>
      </w:r>
    </w:p>
    <w:p w14:paraId="771A6522" w14:textId="77777777" w:rsidR="00FC518C" w:rsidRDefault="00540903" w:rsidP="006D7E52">
      <w:pPr>
        <w:ind w:firstLine="709"/>
        <w:jc w:val="both"/>
      </w:pPr>
      <w:r>
        <w:t xml:space="preserve">Sprendimo projektu siekiama pradėti Klaipėdos miesto savivaldybės (toliau – Savivaldybė) valdomos uždarosios akcinės bendrovės </w:t>
      </w:r>
      <w:r w:rsidR="007C5306">
        <w:t xml:space="preserve">„Senasis turgus“ </w:t>
      </w:r>
      <w:r>
        <w:t>reorganizavimo procedūras</w:t>
      </w:r>
      <w:r w:rsidR="00FC518C">
        <w:t>,</w:t>
      </w:r>
      <w:r>
        <w:t xml:space="preserve"> </w:t>
      </w:r>
      <w:r w:rsidR="00FD4E13">
        <w:t>siekiant</w:t>
      </w:r>
      <w:r>
        <w:t xml:space="preserve"> ją prijung</w:t>
      </w:r>
      <w:r w:rsidR="00FC518C">
        <w:t>ti</w:t>
      </w:r>
      <w:r>
        <w:t xml:space="preserve"> prie </w:t>
      </w:r>
      <w:r w:rsidR="00FC518C">
        <w:t>S</w:t>
      </w:r>
      <w:r>
        <w:t>avivaldybės valdomos uždarosios akcinės bendrovės „</w:t>
      </w:r>
      <w:r w:rsidR="007C5306">
        <w:t>Naujasis turgus</w:t>
      </w:r>
      <w:r>
        <w:t>“</w:t>
      </w:r>
      <w:r w:rsidR="00FC518C">
        <w:t xml:space="preserve">, </w:t>
      </w:r>
      <w:r w:rsidR="00FD4E13">
        <w:t xml:space="preserve">tikslu – </w:t>
      </w:r>
      <w:r w:rsidR="00FC518C">
        <w:t>optimizuoti ir efektyvinti Savivaldybės valdomų bendrovių veiklą, užtikrinti efektyvų ir racionalų savivaldybės turto naudojimą, siekti visuomeninės naudos.</w:t>
      </w:r>
    </w:p>
    <w:p w14:paraId="771A6523" w14:textId="77777777" w:rsidR="00844D74" w:rsidRDefault="00844D74" w:rsidP="00844D74">
      <w:pPr>
        <w:ind w:firstLine="720"/>
        <w:jc w:val="both"/>
        <w:rPr>
          <w:b/>
        </w:rPr>
      </w:pPr>
      <w:r>
        <w:rPr>
          <w:b/>
        </w:rPr>
        <w:t>2. Projekto rengimo priežastys ir kuo remiantis parengtas sprendimo projektas.</w:t>
      </w:r>
    </w:p>
    <w:p w14:paraId="771A6524" w14:textId="77777777" w:rsidR="00E43940" w:rsidRPr="00226491" w:rsidRDefault="00E43940" w:rsidP="005C5C9C">
      <w:pPr>
        <w:ind w:firstLine="720"/>
        <w:jc w:val="both"/>
        <w:rPr>
          <w:b/>
          <w:i/>
          <w:u w:val="single"/>
        </w:rPr>
      </w:pPr>
      <w:r w:rsidRPr="00226491">
        <w:rPr>
          <w:b/>
          <w:i/>
          <w:u w:val="single"/>
        </w:rPr>
        <w:t>Teisinis reglamentavimas</w:t>
      </w:r>
    </w:p>
    <w:p w14:paraId="771A6525" w14:textId="77777777" w:rsidR="0045738E" w:rsidRDefault="00686660" w:rsidP="00285509">
      <w:pPr>
        <w:ind w:firstLine="720"/>
        <w:jc w:val="both"/>
        <w:rPr>
          <w:color w:val="000000"/>
        </w:rPr>
      </w:pPr>
      <w:r w:rsidRPr="00A22DAC">
        <w:t xml:space="preserve">Lietuvos Respublikos akcinių bendrovių įstatymo </w:t>
      </w:r>
      <w:r w:rsidR="0043504B">
        <w:t xml:space="preserve">(toliau – ABĮ) </w:t>
      </w:r>
      <w:r w:rsidR="00A911BE" w:rsidRPr="00A22DAC">
        <w:t xml:space="preserve">20 straipsnio 1 dalies 22 punktas nustato </w:t>
      </w:r>
      <w:r w:rsidR="00A911BE" w:rsidRPr="00C4064A">
        <w:rPr>
          <w:i/>
        </w:rPr>
        <w:t xml:space="preserve">išimtinę visuotinio akcininkų susirinkimo kompetenciją priimti sprendimus dėl </w:t>
      </w:r>
      <w:r w:rsidR="00A911BE" w:rsidRPr="00C4064A">
        <w:rPr>
          <w:i/>
          <w:color w:val="000000"/>
        </w:rPr>
        <w:t>bendrovės reorganizavimo, patvirtinti reorganizavimo sąlygas</w:t>
      </w:r>
      <w:r w:rsidR="00A22DAC" w:rsidRPr="00A22DAC">
        <w:rPr>
          <w:color w:val="000000"/>
        </w:rPr>
        <w:t xml:space="preserve">. </w:t>
      </w:r>
      <w:r w:rsidR="00285509">
        <w:rPr>
          <w:color w:val="000000"/>
        </w:rPr>
        <w:t xml:space="preserve">Tačiau </w:t>
      </w:r>
      <w:r>
        <w:rPr>
          <w:color w:val="000000"/>
        </w:rPr>
        <w:t>Savivaldybių turtinių ir neturtinių teisių įgyvendinimo savivaldybių valdomose įmonėse tvarkos aprašo, patvirtinto Lietuvos Respublikos Vyriausybės 2007 m. birželio 6 d. nutarimu Nr. 567 5.1.2 papunk</w:t>
      </w:r>
      <w:r w:rsidR="00285509">
        <w:rPr>
          <w:color w:val="000000"/>
        </w:rPr>
        <w:t>tis nustato</w:t>
      </w:r>
      <w:r w:rsidR="00967E28">
        <w:rPr>
          <w:color w:val="000000"/>
        </w:rPr>
        <w:t>, kad „</w:t>
      </w:r>
      <w:r w:rsidR="00967E28" w:rsidRPr="00967E28">
        <w:rPr>
          <w:i/>
          <w:color w:val="000000"/>
        </w:rPr>
        <w:t>Tik vadovaudamasis savivaldybės tarybos sprendimais savivaldybės administracijos direktorius užtikrina, kad būtų atlikti teisiniai veiksmai, ar priima procedūrinius sprendimus dėl savivaldybės valdomos įmonės reorganizavimo</w:t>
      </w:r>
      <w:r w:rsidR="00967E28">
        <w:rPr>
          <w:color w:val="000000"/>
        </w:rPr>
        <w:t>.“</w:t>
      </w:r>
    </w:p>
    <w:p w14:paraId="771A6526" w14:textId="77777777" w:rsidR="00D7106F" w:rsidRPr="00C313BE" w:rsidRDefault="00D7106F" w:rsidP="00285509">
      <w:pPr>
        <w:ind w:firstLine="720"/>
        <w:jc w:val="both"/>
        <w:rPr>
          <w:color w:val="000000"/>
        </w:rPr>
      </w:pPr>
      <w:r w:rsidRPr="00C313BE">
        <w:t>Lietuvos Respublikos vietos savivaldos įstatymo 16 straipsnio 2 dalies 21 punktas įtvirtina, i</w:t>
      </w:r>
      <w:r w:rsidRPr="00C313BE">
        <w:rPr>
          <w:color w:val="000000"/>
        </w:rPr>
        <w:t xml:space="preserve">šimtinę savivaldybės tarybos kompetenciją </w:t>
      </w:r>
      <w:r w:rsidR="00735077" w:rsidRPr="00C313BE">
        <w:rPr>
          <w:color w:val="000000"/>
        </w:rPr>
        <w:t>– priimti sprendimus dėl savivaldybės valdomų įmonių reorganizavimo</w:t>
      </w:r>
      <w:r w:rsidR="004F25AC" w:rsidRPr="00C313BE">
        <w:rPr>
          <w:color w:val="000000"/>
        </w:rPr>
        <w:t xml:space="preserve">. </w:t>
      </w:r>
    </w:p>
    <w:p w14:paraId="771A6527" w14:textId="77777777" w:rsidR="00532091" w:rsidRDefault="00532091" w:rsidP="0004785E">
      <w:pPr>
        <w:ind w:firstLine="720"/>
        <w:jc w:val="both"/>
        <w:rPr>
          <w:color w:val="000000"/>
        </w:rPr>
      </w:pPr>
      <w:r w:rsidRPr="00C313BE">
        <w:t xml:space="preserve">Lietuvos Respublikos </w:t>
      </w:r>
      <w:r w:rsidRPr="00C313BE">
        <w:rPr>
          <w:color w:val="000000"/>
        </w:rPr>
        <w:t xml:space="preserve">valstybės ir savivaldybių turto valdymo, naudojimo ir disponavimo juo įstatymo 8 straipsnio 1 dalies 1 punktas reglamentuoja, kad </w:t>
      </w:r>
      <w:r w:rsidRPr="00532091">
        <w:rPr>
          <w:color w:val="000000"/>
        </w:rPr>
        <w:t>Savivaldybių turtą valdo, naudoja ir juo disponuoja</w:t>
      </w:r>
      <w:bookmarkStart w:id="1" w:name="part_59e7ea7b5fd1407ba4dcd2c975f9951e"/>
      <w:bookmarkEnd w:id="1"/>
      <w:r w:rsidR="001B788B" w:rsidRPr="00C313BE">
        <w:rPr>
          <w:color w:val="000000"/>
        </w:rPr>
        <w:t xml:space="preserve"> </w:t>
      </w:r>
      <w:r w:rsidRPr="00532091">
        <w:rPr>
          <w:color w:val="000000"/>
        </w:rPr>
        <w:t>savivaldybių tarybos pagal Lietuvos Respublikos vietos savivaldos įstatymą – įgyvendindamos turto savininko funkcijas</w:t>
      </w:r>
      <w:r w:rsidR="001B788B" w:rsidRPr="00C313BE">
        <w:rPr>
          <w:color w:val="000000"/>
        </w:rPr>
        <w:t>.</w:t>
      </w:r>
    </w:p>
    <w:p w14:paraId="771A6528" w14:textId="77777777" w:rsidR="0004785E" w:rsidRDefault="0004785E" w:rsidP="0004785E">
      <w:pPr>
        <w:ind w:firstLine="720"/>
        <w:jc w:val="both"/>
        <w:rPr>
          <w:color w:val="000000"/>
        </w:rPr>
      </w:pPr>
      <w:r>
        <w:rPr>
          <w:color w:val="000000"/>
        </w:rPr>
        <w:t>Minėto įstatymo 9 straipsnis nustato, kad savivaldybių turtas turi būti valdomas, naudojamas ir juo disponuojama vadovaujantis visuomeninės naudos, efektyvumo, racionalumo, viešosios teisės</w:t>
      </w:r>
      <w:r w:rsidR="00E6056B">
        <w:rPr>
          <w:color w:val="000000"/>
        </w:rPr>
        <w:t xml:space="preserve"> principais. </w:t>
      </w:r>
      <w:r w:rsidR="001D041B">
        <w:rPr>
          <w:color w:val="000000"/>
        </w:rPr>
        <w:t>12 straipsnio 1 dalis įtvirtina, kad Savivaldybėms nuosavybės teise priklausančio turto savininko funkcijas, vadovaudamosi įstatymais, įgyvendina savivaldybių tarybos.</w:t>
      </w:r>
    </w:p>
    <w:p w14:paraId="771A6529" w14:textId="77777777" w:rsidR="0043504B" w:rsidRPr="0043504B" w:rsidRDefault="0043504B" w:rsidP="00285509">
      <w:pPr>
        <w:ind w:firstLine="720"/>
        <w:jc w:val="both"/>
      </w:pPr>
      <w:r w:rsidRPr="0043504B">
        <w:t xml:space="preserve">ABĮ 61 straipsnis nustato, kad </w:t>
      </w:r>
      <w:r w:rsidRPr="00FB603A">
        <w:rPr>
          <w:i/>
          <w:color w:val="000000"/>
        </w:rPr>
        <w:t>bendrovės reorganizuojamos Civilinio kodekso nustatytais būdais</w:t>
      </w:r>
      <w:r w:rsidRPr="0043504B">
        <w:rPr>
          <w:color w:val="000000"/>
        </w:rPr>
        <w:t xml:space="preserve">, Bendrovė gali būti reorganizuojama ar dalyvauti reorganizavime tik tuomet, kai visiškai apmokėtas jos įstatinis kapitalas, </w:t>
      </w:r>
      <w:r w:rsidRPr="00FB603A">
        <w:rPr>
          <w:i/>
          <w:color w:val="000000"/>
        </w:rPr>
        <w:t>reorganizavime gali dalyvauti tik tos pačios teisinės formos bendrovės</w:t>
      </w:r>
      <w:r w:rsidRPr="0043504B">
        <w:rPr>
          <w:color w:val="000000"/>
        </w:rPr>
        <w:t>.</w:t>
      </w:r>
    </w:p>
    <w:p w14:paraId="771A652A" w14:textId="77777777" w:rsidR="00A3605C" w:rsidRPr="00D72259" w:rsidRDefault="00A3605C" w:rsidP="00A3605C">
      <w:pPr>
        <w:ind w:firstLine="720"/>
        <w:jc w:val="both"/>
      </w:pPr>
      <w:r w:rsidRPr="00D72259">
        <w:t xml:space="preserve">ABĮ </w:t>
      </w:r>
      <w:r w:rsidR="0043504B" w:rsidRPr="00D72259">
        <w:t>62 straipsnio 1 dali</w:t>
      </w:r>
      <w:r w:rsidR="00D72259" w:rsidRPr="00D72259">
        <w:t xml:space="preserve">s įtvirtina, kad </w:t>
      </w:r>
      <w:r w:rsidR="00D72259" w:rsidRPr="00D72259">
        <w:rPr>
          <w:color w:val="000000"/>
        </w:rPr>
        <w:t>Sprendimą dėl reorganizavimo priima kiekvienos reorganizuojamos ir dalyvaujančios reorganizavime bendrovės visuotiniai akcininkų susirinkimai, išskyrus šiame Įstatyme nustatytas išimtis &lt;..&gt;.</w:t>
      </w:r>
    </w:p>
    <w:p w14:paraId="771A652B" w14:textId="77777777" w:rsidR="0043504B" w:rsidRDefault="00F33EC9" w:rsidP="00A3605C">
      <w:pPr>
        <w:ind w:firstLine="720"/>
        <w:jc w:val="both"/>
        <w:rPr>
          <w:color w:val="000000"/>
        </w:rPr>
      </w:pPr>
      <w:r>
        <w:t xml:space="preserve">ABĮ </w:t>
      </w:r>
      <w:r w:rsidR="0043504B" w:rsidRPr="00211C97">
        <w:t>68 straipsnio 1 dali</w:t>
      </w:r>
      <w:r w:rsidR="00211C97" w:rsidRPr="00211C97">
        <w:t xml:space="preserve">s nustato, kad </w:t>
      </w:r>
      <w:r w:rsidR="00677533">
        <w:rPr>
          <w:color w:val="000000"/>
        </w:rPr>
        <w:t>r</w:t>
      </w:r>
      <w:r w:rsidR="00211C97" w:rsidRPr="00211C97">
        <w:rPr>
          <w:color w:val="000000"/>
        </w:rPr>
        <w:t>eorganizuotų bendrovių visas turtas, teisės ir pareigos pereina po reorganizavimo veiksiančioms bendrovėms nuo po reorganizavimo tęsiančių veiklą bendrovių pakeistų įstatų įregistravimo juridinių asmenų registre, jeigu reorganizavimo sąlygose nenustatyta kitaip. Turtas, teisės ir prievolės bendrovėms priskiriamos pagal reorganizavimo sąlygas.</w:t>
      </w:r>
    </w:p>
    <w:p w14:paraId="771A652C" w14:textId="77777777" w:rsidR="00636B3F" w:rsidRDefault="000842B0" w:rsidP="00A3605C">
      <w:pPr>
        <w:ind w:firstLine="720"/>
        <w:jc w:val="both"/>
      </w:pPr>
      <w:r w:rsidRPr="00636B3F">
        <w:t xml:space="preserve">Lietuvos Respublikos civilinio kodekso </w:t>
      </w:r>
      <w:r w:rsidR="00B42AF9">
        <w:t xml:space="preserve">(toliau – CK) </w:t>
      </w:r>
      <w:r w:rsidRPr="00636B3F">
        <w:t>2.95 straipsnio 2 dali</w:t>
      </w:r>
      <w:r w:rsidR="00636B3F" w:rsidRPr="00636B3F">
        <w:t xml:space="preserve">s įtvirtina, kad </w:t>
      </w:r>
      <w:r w:rsidR="00636B3F" w:rsidRPr="00636B3F">
        <w:rPr>
          <w:color w:val="000000"/>
        </w:rPr>
        <w:t>reorganizavimas – tai juridinio asmens pabaiga be likvidavimo procedūros</w:t>
      </w:r>
      <w:r w:rsidR="00636B3F">
        <w:rPr>
          <w:color w:val="000000"/>
          <w:sz w:val="22"/>
          <w:szCs w:val="22"/>
        </w:rPr>
        <w:t>.</w:t>
      </w:r>
      <w:r>
        <w:t xml:space="preserve"> </w:t>
      </w:r>
    </w:p>
    <w:p w14:paraId="771A652D" w14:textId="77777777" w:rsidR="00B42AF9" w:rsidRDefault="00B42AF9" w:rsidP="003944A0">
      <w:pPr>
        <w:ind w:firstLine="720"/>
        <w:jc w:val="both"/>
      </w:pPr>
      <w:r>
        <w:t>CK 2.96 straipsnio 1 dalis</w:t>
      </w:r>
      <w:r w:rsidR="00801F35">
        <w:t xml:space="preserve"> įtvirtina, kad </w:t>
      </w:r>
      <w:r w:rsidR="00801F35" w:rsidRPr="00AF414D">
        <w:rPr>
          <w:color w:val="000000"/>
        </w:rPr>
        <w:t>sprendimą reorganizuoti juridinį asmenį priima juridinio asmens dalyviai arba teismas įstatymų nustatytais atvejais.</w:t>
      </w:r>
    </w:p>
    <w:p w14:paraId="771A652E" w14:textId="77777777" w:rsidR="00AA554D" w:rsidRDefault="003944A0" w:rsidP="00AA554D">
      <w:pPr>
        <w:ind w:firstLine="720"/>
        <w:jc w:val="both"/>
        <w:rPr>
          <w:color w:val="000000"/>
        </w:rPr>
      </w:pPr>
      <w:r w:rsidRPr="003944A0">
        <w:t xml:space="preserve">CK </w:t>
      </w:r>
      <w:r w:rsidR="000842B0" w:rsidRPr="003944A0">
        <w:t>2.97 straipsnio 1, 2, 3 dal</w:t>
      </w:r>
      <w:r w:rsidRPr="003944A0">
        <w:t xml:space="preserve">ys nustato, kad </w:t>
      </w:r>
      <w:r w:rsidRPr="003944A0">
        <w:rPr>
          <w:color w:val="000000"/>
        </w:rPr>
        <w:t>juridiniai asmenys gali būti reorganizuojami jungimo ir skaidymo būdu</w:t>
      </w:r>
      <w:bookmarkStart w:id="2" w:name="part_d3a4933840314a6ca042499bf5e7d232"/>
      <w:bookmarkEnd w:id="2"/>
      <w:r w:rsidRPr="003944A0">
        <w:rPr>
          <w:color w:val="000000"/>
        </w:rPr>
        <w:t xml:space="preserve">. Galimi juridinių asmenų jungimo būdai yra </w:t>
      </w:r>
      <w:r w:rsidRPr="003944A0">
        <w:rPr>
          <w:i/>
          <w:color w:val="000000"/>
        </w:rPr>
        <w:t>prijungimas</w:t>
      </w:r>
      <w:r w:rsidRPr="003944A0">
        <w:rPr>
          <w:color w:val="000000"/>
        </w:rPr>
        <w:t xml:space="preserve"> ir sujungimas.</w:t>
      </w:r>
      <w:bookmarkStart w:id="3" w:name="part_23d1e7ed1b5a44848dd059fa89cf2c34"/>
      <w:bookmarkEnd w:id="3"/>
      <w:r w:rsidRPr="003944A0">
        <w:rPr>
          <w:color w:val="000000"/>
        </w:rPr>
        <w:t xml:space="preserve"> </w:t>
      </w:r>
      <w:r w:rsidRPr="003944A0">
        <w:rPr>
          <w:i/>
          <w:color w:val="000000"/>
        </w:rPr>
        <w:t>Prijungimas – tai vieno ar daugiau juridinių asmenų prijungimas prie kito juridinio asmens, kuriam pereina visos reorganizuojamo juridinio asmens teisės ir pareigos</w:t>
      </w:r>
      <w:r w:rsidRPr="003944A0">
        <w:rPr>
          <w:color w:val="000000"/>
        </w:rPr>
        <w:t>.</w:t>
      </w:r>
    </w:p>
    <w:p w14:paraId="771A652F" w14:textId="77777777" w:rsidR="00F33EC9" w:rsidRDefault="00AA554D" w:rsidP="00AA554D">
      <w:pPr>
        <w:ind w:firstLine="720"/>
        <w:jc w:val="both"/>
        <w:rPr>
          <w:color w:val="000000"/>
        </w:rPr>
      </w:pPr>
      <w:r w:rsidRPr="00B85BCA">
        <w:t xml:space="preserve">CK </w:t>
      </w:r>
      <w:r w:rsidR="000842B0" w:rsidRPr="00B85BCA">
        <w:t>2.98 straipsnio 1 dali</w:t>
      </w:r>
      <w:r w:rsidRPr="00B85BCA">
        <w:t xml:space="preserve">s įtvirtina, kad </w:t>
      </w:r>
      <w:r w:rsidRPr="00B85BCA">
        <w:rPr>
          <w:color w:val="000000"/>
        </w:rPr>
        <w:t>reorganizavime gali dalyvauti tik tos pačios teisinės formos juridiniai asmenys &lt;..&gt;.</w:t>
      </w:r>
    </w:p>
    <w:p w14:paraId="771A6530" w14:textId="77777777" w:rsidR="00E43940" w:rsidRPr="00226491" w:rsidRDefault="005C01F5" w:rsidP="00AA554D">
      <w:pPr>
        <w:ind w:firstLine="720"/>
        <w:jc w:val="both"/>
        <w:rPr>
          <w:b/>
          <w:i/>
          <w:color w:val="000000"/>
          <w:u w:val="single"/>
        </w:rPr>
      </w:pPr>
      <w:r w:rsidRPr="00226491">
        <w:rPr>
          <w:b/>
          <w:i/>
          <w:color w:val="000000"/>
          <w:u w:val="single"/>
        </w:rPr>
        <w:lastRenderedPageBreak/>
        <w:t>Pagr</w:t>
      </w:r>
      <w:r w:rsidR="001B0C8C">
        <w:rPr>
          <w:b/>
          <w:i/>
          <w:color w:val="000000"/>
          <w:u w:val="single"/>
        </w:rPr>
        <w:t>įstumas</w:t>
      </w:r>
    </w:p>
    <w:p w14:paraId="771A6531" w14:textId="77777777" w:rsidR="005C01F5" w:rsidRDefault="005C01F5" w:rsidP="005C01F5">
      <w:pPr>
        <w:ind w:firstLine="720"/>
        <w:jc w:val="both"/>
      </w:pPr>
      <w:r w:rsidRPr="000F4405">
        <w:t>EBPO rekomendacijose Lietuva skatinama racionalizuoti sektorius</w:t>
      </w:r>
      <w:r>
        <w:t xml:space="preserve">, </w:t>
      </w:r>
      <w:r w:rsidRPr="000F4405">
        <w:t>tobulinti paslaugas, optimizuoti kaštus, diegti naujoves,</w:t>
      </w:r>
      <w:r>
        <w:t xml:space="preserve"> </w:t>
      </w:r>
      <w:r w:rsidRPr="000F4405">
        <w:t xml:space="preserve">gerinti aptarnavimo kokybę, prieinamumą, greitį, </w:t>
      </w:r>
      <w:r>
        <w:t xml:space="preserve">todėl </w:t>
      </w:r>
      <w:r w:rsidRPr="000F4405">
        <w:t>dažnai viešąsias paslaugas teikiančios įmonės yra sujungiamos, reorganizuojamos ar kitaip pertvarkomos</w:t>
      </w:r>
      <w:r>
        <w:t xml:space="preserve">. </w:t>
      </w:r>
    </w:p>
    <w:p w14:paraId="771A6532" w14:textId="77777777" w:rsidR="00A429D7" w:rsidRDefault="00C6288B" w:rsidP="00C6288B">
      <w:pPr>
        <w:ind w:firstLine="709"/>
        <w:jc w:val="both"/>
        <w:rPr>
          <w:rFonts w:eastAsiaTheme="minorEastAsia"/>
        </w:rPr>
      </w:pPr>
      <w:r>
        <w:t xml:space="preserve">Savivaldybės tarybos Kolegija </w:t>
      </w:r>
      <w:r w:rsidRPr="00965E83">
        <w:rPr>
          <w:rFonts w:eastAsiaTheme="minorEastAsia"/>
        </w:rPr>
        <w:t>20</w:t>
      </w:r>
      <w:r>
        <w:rPr>
          <w:rFonts w:eastAsiaTheme="minorEastAsia"/>
        </w:rPr>
        <w:t>21</w:t>
      </w:r>
      <w:r w:rsidRPr="00965E83">
        <w:rPr>
          <w:rFonts w:eastAsiaTheme="minorEastAsia"/>
        </w:rPr>
        <w:t>-</w:t>
      </w:r>
      <w:r>
        <w:rPr>
          <w:rFonts w:eastAsiaTheme="minorEastAsia"/>
        </w:rPr>
        <w:t>07</w:t>
      </w:r>
      <w:r w:rsidRPr="00965E83">
        <w:rPr>
          <w:rFonts w:eastAsiaTheme="minorEastAsia"/>
        </w:rPr>
        <w:t>-</w:t>
      </w:r>
      <w:r>
        <w:rPr>
          <w:rFonts w:eastAsiaTheme="minorEastAsia"/>
        </w:rPr>
        <w:t>16 posėdyje svarstė dėl UAB „Senasis turgus“ (toliau – Bendrovė)</w:t>
      </w:r>
      <w:r w:rsidR="00282010">
        <w:rPr>
          <w:rFonts w:eastAsiaTheme="minorEastAsia"/>
        </w:rPr>
        <w:t xml:space="preserve">, kurios </w:t>
      </w:r>
      <w:r w:rsidR="00282010">
        <w:t>100 proc. akcijų priklauso Savivaldybei,</w:t>
      </w:r>
      <w:r>
        <w:rPr>
          <w:rFonts w:eastAsiaTheme="minorEastAsia"/>
        </w:rPr>
        <w:t xml:space="preserve"> veiklos tęstinumo</w:t>
      </w:r>
      <w:r w:rsidR="00A429D7">
        <w:rPr>
          <w:rFonts w:eastAsiaTheme="minorEastAsia"/>
        </w:rPr>
        <w:t>:</w:t>
      </w:r>
    </w:p>
    <w:p w14:paraId="771A6533" w14:textId="77777777" w:rsidR="00A429D7" w:rsidRDefault="00A429D7" w:rsidP="00C6288B">
      <w:pPr>
        <w:ind w:firstLine="709"/>
        <w:jc w:val="both"/>
        <w:rPr>
          <w:color w:val="000000"/>
          <w:shd w:val="clear" w:color="auto" w:fill="FFFFFF"/>
        </w:rPr>
      </w:pPr>
      <w:r>
        <w:rPr>
          <w:rFonts w:eastAsiaTheme="minorEastAsia"/>
        </w:rPr>
        <w:t xml:space="preserve">- </w:t>
      </w:r>
      <w:r w:rsidR="00C6288B">
        <w:rPr>
          <w:rFonts w:eastAsiaTheme="minorEastAsia"/>
        </w:rPr>
        <w:t xml:space="preserve">Pažymėta, kad </w:t>
      </w:r>
      <w:r w:rsidR="00C6288B">
        <w:t>S</w:t>
      </w:r>
      <w:r w:rsidR="00C6288B" w:rsidRPr="00017C6E">
        <w:t xml:space="preserve">avivaldybės taryba 2019 m. balandžio 12 d. sprendimu Nr. T2-95 </w:t>
      </w:r>
      <w:r w:rsidR="00C6288B">
        <w:t xml:space="preserve">sutiko padidinti </w:t>
      </w:r>
      <w:r w:rsidR="00C6288B">
        <w:rPr>
          <w:color w:val="000000"/>
        </w:rPr>
        <w:t>Bendrovė</w:t>
      </w:r>
      <w:r>
        <w:rPr>
          <w:color w:val="000000"/>
        </w:rPr>
        <w:t>s</w:t>
      </w:r>
      <w:r w:rsidR="00C6288B" w:rsidRPr="00017C6E">
        <w:t xml:space="preserve"> įstatinį kapitalą papildomais kitų asmenų įnašais iki 3 395 842,87 Eur, papildomai išleidžiant 0,29 Eur nominalios vertės 5 737 803 vienetus paprastųjų vardinių akcijų, kurių bendra nominali vertė – 1 663 962,87 Eur, nustatant, kad akcijų emisijos kaina lygi jų nominaliai vertei.</w:t>
      </w:r>
      <w:r w:rsidR="00C6288B">
        <w:t xml:space="preserve"> Taip pat šiuo sprendimu buvo nustatyta, kad </w:t>
      </w:r>
      <w:r w:rsidR="00C6288B">
        <w:rPr>
          <w:color w:val="000000"/>
          <w:shd w:val="clear" w:color="auto" w:fill="FFFFFF"/>
        </w:rPr>
        <w:t>padidinus Bendrovės</w:t>
      </w:r>
      <w:r w:rsidR="00C6288B" w:rsidRPr="00017C6E">
        <w:rPr>
          <w:color w:val="000000"/>
          <w:shd w:val="clear" w:color="auto" w:fill="FFFFFF"/>
        </w:rPr>
        <w:t xml:space="preserve"> įstat</w:t>
      </w:r>
      <w:r w:rsidR="00C6288B">
        <w:rPr>
          <w:color w:val="000000"/>
          <w:shd w:val="clear" w:color="auto" w:fill="FFFFFF"/>
        </w:rPr>
        <w:t>inį kapitalą, S</w:t>
      </w:r>
      <w:r w:rsidR="00C6288B" w:rsidRPr="00017C6E">
        <w:rPr>
          <w:color w:val="000000"/>
          <w:shd w:val="clear" w:color="auto" w:fill="FFFFFF"/>
        </w:rPr>
        <w:t>avivaldybei nuosavybės teise turi priklausyti ne mažiau kaip 51 proc. visų bendrovės akcijų.</w:t>
      </w:r>
    </w:p>
    <w:p w14:paraId="771A6534" w14:textId="77777777" w:rsidR="00A429D7" w:rsidRDefault="00A429D7" w:rsidP="00C6288B">
      <w:pPr>
        <w:ind w:firstLine="709"/>
        <w:jc w:val="both"/>
      </w:pPr>
      <w:r>
        <w:t xml:space="preserve">- </w:t>
      </w:r>
      <w:r w:rsidR="00C6288B">
        <w:t xml:space="preserve">Savivaldybės administracija, vadovaudamasi priimtu Savivaldybės tarybos sprendimu, organizavo privataus investuotojo atrankos/paieškos procedūras. Paskelbus apie investuotojo atranką buvo gautas vienas UAB „Tilžės turgus“ (toliau – Investuotojas) pasiūlymas investuoti į Bendrovę apmokant už papildomai išleidžiamas </w:t>
      </w:r>
      <w:r w:rsidR="00C6288B" w:rsidRPr="00017C6E">
        <w:t>5 737 803 vienetus paprastųjų vardinių akcijų</w:t>
      </w:r>
      <w:r w:rsidR="00C6288B">
        <w:t xml:space="preserve">, </w:t>
      </w:r>
      <w:r w:rsidR="00C6288B" w:rsidRPr="00017C6E">
        <w:t>kurių bendra nominali vertė – 1 663 962,87 Eur</w:t>
      </w:r>
      <w:r w:rsidR="00C6288B">
        <w:t>. Savivaldybės administracija vykdė derybas su Investuotoju dėl akcininkų sutarties sąlygų. Tačiau derybos buvo nutrauktos nepavykus suderinti esminių akcininkų sutarties sąlygų</w:t>
      </w:r>
      <w:r w:rsidR="00106049">
        <w:t>.</w:t>
      </w:r>
    </w:p>
    <w:p w14:paraId="771A6535" w14:textId="77777777" w:rsidR="00A429D7" w:rsidRDefault="00C6288B" w:rsidP="00106049">
      <w:pPr>
        <w:tabs>
          <w:tab w:val="left" w:pos="567"/>
        </w:tabs>
        <w:overflowPunct w:val="0"/>
        <w:autoSpaceDE w:val="0"/>
        <w:autoSpaceDN w:val="0"/>
        <w:adjustRightInd w:val="0"/>
        <w:ind w:firstLine="709"/>
        <w:contextualSpacing/>
        <w:jc w:val="both"/>
      </w:pPr>
      <w:r>
        <w:t>S</w:t>
      </w:r>
      <w:r w:rsidRPr="00C462FD">
        <w:rPr>
          <w:color w:val="000000"/>
          <w:shd w:val="clear" w:color="auto" w:fill="FFFFFF"/>
        </w:rPr>
        <w:t>avivaldybės administracija</w:t>
      </w:r>
      <w:r w:rsidR="003C5AF0">
        <w:rPr>
          <w:color w:val="000000"/>
          <w:shd w:val="clear" w:color="auto" w:fill="FFFFFF"/>
        </w:rPr>
        <w:t xml:space="preserve"> Savivaldybės tarybos Kolegijai </w:t>
      </w:r>
      <w:r w:rsidR="00A429D7">
        <w:rPr>
          <w:color w:val="000000"/>
          <w:shd w:val="clear" w:color="auto" w:fill="FFFFFF"/>
        </w:rPr>
        <w:t>teikė</w:t>
      </w:r>
      <w:r w:rsidRPr="00C462FD">
        <w:rPr>
          <w:color w:val="000000"/>
          <w:shd w:val="clear" w:color="auto" w:fill="FFFFFF"/>
        </w:rPr>
        <w:t xml:space="preserve"> siūl</w:t>
      </w:r>
      <w:r w:rsidR="00A429D7">
        <w:rPr>
          <w:color w:val="000000"/>
          <w:shd w:val="clear" w:color="auto" w:fill="FFFFFF"/>
        </w:rPr>
        <w:t>ymus</w:t>
      </w:r>
      <w:r w:rsidRPr="00C462FD">
        <w:rPr>
          <w:color w:val="000000"/>
          <w:shd w:val="clear" w:color="auto" w:fill="FFFFFF"/>
        </w:rPr>
        <w:t xml:space="preserve"> </w:t>
      </w:r>
      <w:r w:rsidR="00A429D7">
        <w:rPr>
          <w:color w:val="000000"/>
          <w:shd w:val="clear" w:color="auto" w:fill="FFFFFF"/>
        </w:rPr>
        <w:t xml:space="preserve">(variantus) </w:t>
      </w:r>
      <w:r w:rsidRPr="00C462FD">
        <w:rPr>
          <w:color w:val="000000"/>
          <w:shd w:val="clear" w:color="auto" w:fill="FFFFFF"/>
        </w:rPr>
        <w:t>dėl Bendrovės tolimesnės veiklos ir jos valdymo:</w:t>
      </w:r>
      <w:r>
        <w:t xml:space="preserve"> </w:t>
      </w:r>
    </w:p>
    <w:p w14:paraId="771A6536" w14:textId="77777777" w:rsidR="00A429D7" w:rsidRDefault="00C6288B" w:rsidP="00C6288B">
      <w:pPr>
        <w:ind w:firstLine="709"/>
        <w:jc w:val="both"/>
        <w:rPr>
          <w:color w:val="000000"/>
          <w:shd w:val="clear" w:color="auto" w:fill="FFFFFF"/>
        </w:rPr>
      </w:pPr>
      <w:r w:rsidRPr="00C462FD">
        <w:rPr>
          <w:color w:val="000000"/>
          <w:shd w:val="clear" w:color="auto" w:fill="FFFFFF"/>
        </w:rPr>
        <w:t>I variantas. Bendrovės įstatinio kapitalo didinimas privačių asmenų lėšomis, privačiam akcinink</w:t>
      </w:r>
      <w:r>
        <w:rPr>
          <w:color w:val="000000"/>
          <w:shd w:val="clear" w:color="auto" w:fill="FFFFFF"/>
        </w:rPr>
        <w:t>ui perleidžiant 51 proc. akcijų;</w:t>
      </w:r>
      <w:r w:rsidRPr="00C462FD">
        <w:rPr>
          <w:color w:val="000000"/>
          <w:shd w:val="clear" w:color="auto" w:fill="FFFFFF"/>
        </w:rPr>
        <w:t xml:space="preserve"> </w:t>
      </w:r>
    </w:p>
    <w:p w14:paraId="771A6537" w14:textId="77777777" w:rsidR="00A429D7" w:rsidRDefault="00C6288B" w:rsidP="00C6288B">
      <w:pPr>
        <w:ind w:firstLine="709"/>
        <w:jc w:val="both"/>
        <w:rPr>
          <w:color w:val="000000"/>
          <w:shd w:val="clear" w:color="auto" w:fill="FFFFFF"/>
        </w:rPr>
      </w:pPr>
      <w:r w:rsidRPr="00C462FD">
        <w:rPr>
          <w:color w:val="000000"/>
          <w:shd w:val="clear" w:color="auto" w:fill="FFFFFF"/>
        </w:rPr>
        <w:t>II variantas. Bendrovės 100 proc. akcijų paketo</w:t>
      </w:r>
      <w:r>
        <w:rPr>
          <w:color w:val="000000"/>
          <w:shd w:val="clear" w:color="auto" w:fill="FFFFFF"/>
        </w:rPr>
        <w:t xml:space="preserve"> pardavimas viešo aukciono būdu; </w:t>
      </w:r>
    </w:p>
    <w:p w14:paraId="771A6538" w14:textId="77777777" w:rsidR="00C6288B" w:rsidRDefault="00C6288B" w:rsidP="00C6288B">
      <w:pPr>
        <w:ind w:firstLine="709"/>
        <w:jc w:val="both"/>
        <w:rPr>
          <w:color w:val="000000"/>
          <w:shd w:val="clear" w:color="auto" w:fill="FFFFFF"/>
        </w:rPr>
      </w:pPr>
      <w:r w:rsidRPr="00DE45D2">
        <w:rPr>
          <w:b/>
          <w:color w:val="000000"/>
          <w:shd w:val="clear" w:color="auto" w:fill="FFFFFF"/>
        </w:rPr>
        <w:t>III variantas. Bendrovės reorganizavimas prijungiant ją prie UAB „Naujasis turgus“</w:t>
      </w:r>
      <w:r w:rsidRPr="00C462FD">
        <w:rPr>
          <w:color w:val="000000"/>
          <w:shd w:val="clear" w:color="auto" w:fill="FFFFFF"/>
        </w:rPr>
        <w:t>.</w:t>
      </w:r>
      <w:r>
        <w:rPr>
          <w:color w:val="000000"/>
          <w:shd w:val="clear" w:color="auto" w:fill="FFFFFF"/>
        </w:rPr>
        <w:t xml:space="preserve"> </w:t>
      </w:r>
    </w:p>
    <w:p w14:paraId="771A6539" w14:textId="77777777" w:rsidR="00A429D7" w:rsidRDefault="00A429D7" w:rsidP="00C6288B">
      <w:pPr>
        <w:ind w:firstLine="709"/>
        <w:jc w:val="both"/>
      </w:pPr>
      <w:r w:rsidRPr="00106049">
        <w:rPr>
          <w:i/>
        </w:rPr>
        <w:t>Savivaldybės tarybos kolegija išreiškė pritarimą III variantui, todėl atitinkamai teikiamas šis sprendimo projektas</w:t>
      </w:r>
      <w:r>
        <w:t xml:space="preserve">. </w:t>
      </w:r>
    </w:p>
    <w:p w14:paraId="771A653A" w14:textId="77777777" w:rsidR="00282010" w:rsidRPr="00282010" w:rsidRDefault="00282010" w:rsidP="00C6288B">
      <w:pPr>
        <w:ind w:firstLine="709"/>
        <w:jc w:val="both"/>
        <w:rPr>
          <w:b/>
          <w:i/>
          <w:u w:val="single"/>
        </w:rPr>
      </w:pPr>
      <w:r w:rsidRPr="00282010">
        <w:rPr>
          <w:b/>
          <w:i/>
          <w:u w:val="single"/>
        </w:rPr>
        <w:t>Argumentai</w:t>
      </w:r>
    </w:p>
    <w:p w14:paraId="771A653B" w14:textId="77777777" w:rsidR="00282010" w:rsidRDefault="00282010" w:rsidP="00282010">
      <w:pPr>
        <w:ind w:firstLine="709"/>
        <w:jc w:val="both"/>
      </w:pPr>
      <w:r>
        <w:t>Tiek UAB „Senasis turgus“ tiek UAB „Naujasis turgus“ vykdo tą pačią veiklą, tai yra turgaus veiklą. Šiuo metu Bendrovei laikinai vadovauja UAB „Naujasis turgus“ vadovas.</w:t>
      </w:r>
    </w:p>
    <w:p w14:paraId="771A653C" w14:textId="77777777" w:rsidR="00282010" w:rsidRDefault="00282010" w:rsidP="00282010">
      <w:pPr>
        <w:ind w:firstLine="709"/>
        <w:jc w:val="both"/>
      </w:pPr>
      <w:r>
        <w:t>Atlikus Bendrovės reorganizaciją ir prijungus ją prie UAB „Naujasis turgus“:</w:t>
      </w:r>
    </w:p>
    <w:p w14:paraId="771A653D" w14:textId="77777777" w:rsidR="009C089D" w:rsidRDefault="009C089D" w:rsidP="009C089D">
      <w:pPr>
        <w:ind w:firstLine="709"/>
        <w:jc w:val="both"/>
      </w:pPr>
      <w:r>
        <w:t>- l</w:t>
      </w:r>
      <w:r w:rsidR="00282010">
        <w:t>iktų viena Savivaldybės valdoma bendrovė, kuri vykdo turgaus veiklą;</w:t>
      </w:r>
    </w:p>
    <w:p w14:paraId="771A653E" w14:textId="77777777" w:rsidR="009C089D" w:rsidRDefault="009C089D" w:rsidP="009C089D">
      <w:pPr>
        <w:ind w:firstLine="709"/>
        <w:jc w:val="both"/>
      </w:pPr>
      <w:r>
        <w:t xml:space="preserve">- </w:t>
      </w:r>
      <w:r w:rsidR="00282010">
        <w:t xml:space="preserve">atsirastų galimybė efektyviau naudoti Bendrovės turtą ir žmogiškuosius išteklius; </w:t>
      </w:r>
    </w:p>
    <w:p w14:paraId="771A653F" w14:textId="77777777" w:rsidR="00282010" w:rsidRDefault="009C089D" w:rsidP="009C089D">
      <w:pPr>
        <w:ind w:firstLine="709"/>
        <w:jc w:val="both"/>
      </w:pPr>
      <w:r>
        <w:t xml:space="preserve">- </w:t>
      </w:r>
      <w:r w:rsidR="00282010">
        <w:t>pardavus nenaudojamą Bendrovės turtą gautas lėšas galima būtų panaudoti turgaus prekybinės halės kapitaliniam remontui, kas leistų pagerinti sąlygas prekybininkams, pirkėjams ir pritraukti naujų išskirtinių paslaugų į šią teritoriją.</w:t>
      </w:r>
    </w:p>
    <w:p w14:paraId="771A6540" w14:textId="77777777" w:rsidR="00282010" w:rsidRDefault="00282010" w:rsidP="00282010">
      <w:pPr>
        <w:ind w:firstLine="709"/>
        <w:jc w:val="both"/>
      </w:pPr>
      <w:r>
        <w:t>Bendrovė šiuo metu turi nenaudojamo nekilnojamojo turto, kuris nėra tinkamas jos veiklai vykdyti ir gali būti parduodamas. Pardavus nenaudojamą tu</w:t>
      </w:r>
      <w:r w:rsidR="00127201">
        <w:t>rtą būtų galima gauti apie 1 617 6</w:t>
      </w:r>
      <w:r>
        <w:t>00 Eur papildomų pajamų, kurios gali būti panaudotos turgaus halės kapitaliniam remontui. Bendrovė šiuo metu turi parengtą turgaus halės pastato kapitalinio remonto techninį projektą ir jo įgyvendinimui išduotą statybos leidimą.</w:t>
      </w:r>
    </w:p>
    <w:p w14:paraId="771A6541" w14:textId="77777777" w:rsidR="00282010" w:rsidRDefault="00282010" w:rsidP="00282010">
      <w:pPr>
        <w:ind w:firstLine="709"/>
        <w:jc w:val="both"/>
      </w:pPr>
      <w:r>
        <w:t>Bendrovė galėtų vykdyti šio nenaudojamo nekilnojamojo turto pardavimą:</w:t>
      </w: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8"/>
        <w:gridCol w:w="2248"/>
        <w:gridCol w:w="1311"/>
        <w:gridCol w:w="1643"/>
        <w:gridCol w:w="1558"/>
        <w:gridCol w:w="2400"/>
      </w:tblGrid>
      <w:tr w:rsidR="00282010" w:rsidRPr="009C089D" w14:paraId="771A654A" w14:textId="77777777" w:rsidTr="00127201">
        <w:tc>
          <w:tcPr>
            <w:tcW w:w="458" w:type="dxa"/>
            <w:tcMar>
              <w:top w:w="0" w:type="dxa"/>
              <w:left w:w="108" w:type="dxa"/>
              <w:bottom w:w="0" w:type="dxa"/>
              <w:right w:w="108" w:type="dxa"/>
            </w:tcMar>
            <w:hideMark/>
          </w:tcPr>
          <w:p w14:paraId="771A6542" w14:textId="77777777" w:rsidR="00282010" w:rsidRPr="009C089D" w:rsidRDefault="00282010" w:rsidP="00026DA2">
            <w:pPr>
              <w:rPr>
                <w:sz w:val="20"/>
                <w:szCs w:val="20"/>
              </w:rPr>
            </w:pPr>
            <w:r w:rsidRPr="009C089D">
              <w:rPr>
                <w:sz w:val="20"/>
                <w:szCs w:val="20"/>
              </w:rPr>
              <w:t>1.</w:t>
            </w:r>
          </w:p>
        </w:tc>
        <w:tc>
          <w:tcPr>
            <w:tcW w:w="2248" w:type="dxa"/>
            <w:tcMar>
              <w:top w:w="0" w:type="dxa"/>
              <w:left w:w="108" w:type="dxa"/>
              <w:bottom w:w="0" w:type="dxa"/>
              <w:right w:w="108" w:type="dxa"/>
            </w:tcMar>
            <w:hideMark/>
          </w:tcPr>
          <w:p w14:paraId="771A6543" w14:textId="77777777" w:rsidR="00282010" w:rsidRPr="009C089D" w:rsidRDefault="00282010" w:rsidP="00026DA2">
            <w:pPr>
              <w:rPr>
                <w:color w:val="000000"/>
                <w:sz w:val="20"/>
                <w:szCs w:val="20"/>
              </w:rPr>
            </w:pPr>
            <w:r w:rsidRPr="009C089D">
              <w:rPr>
                <w:color w:val="000000"/>
                <w:sz w:val="20"/>
                <w:szCs w:val="20"/>
              </w:rPr>
              <w:t>Pastatas - Prekybos patalpos</w:t>
            </w:r>
          </w:p>
          <w:p w14:paraId="771A6544" w14:textId="77777777" w:rsidR="00282010" w:rsidRPr="009C089D" w:rsidRDefault="00282010" w:rsidP="00026DA2">
            <w:pPr>
              <w:rPr>
                <w:sz w:val="20"/>
                <w:szCs w:val="20"/>
              </w:rPr>
            </w:pPr>
            <w:r w:rsidRPr="009C089D">
              <w:rPr>
                <w:color w:val="000000"/>
                <w:sz w:val="20"/>
                <w:szCs w:val="20"/>
              </w:rPr>
              <w:t>Turgaus a. 18</w:t>
            </w:r>
          </w:p>
        </w:tc>
        <w:tc>
          <w:tcPr>
            <w:tcW w:w="1311" w:type="dxa"/>
            <w:tcMar>
              <w:top w:w="0" w:type="dxa"/>
              <w:left w:w="108" w:type="dxa"/>
              <w:bottom w:w="0" w:type="dxa"/>
              <w:right w:w="108" w:type="dxa"/>
            </w:tcMar>
            <w:hideMark/>
          </w:tcPr>
          <w:p w14:paraId="771A6545" w14:textId="77777777" w:rsidR="00282010" w:rsidRPr="009C089D" w:rsidRDefault="00282010" w:rsidP="00026DA2">
            <w:pPr>
              <w:jc w:val="center"/>
              <w:rPr>
                <w:sz w:val="20"/>
                <w:szCs w:val="20"/>
              </w:rPr>
            </w:pPr>
            <w:r w:rsidRPr="009C089D">
              <w:rPr>
                <w:sz w:val="20"/>
                <w:szCs w:val="20"/>
              </w:rPr>
              <w:t>2196-8005-7017</w:t>
            </w:r>
          </w:p>
        </w:tc>
        <w:tc>
          <w:tcPr>
            <w:tcW w:w="1643" w:type="dxa"/>
            <w:tcMar>
              <w:top w:w="0" w:type="dxa"/>
              <w:left w:w="108" w:type="dxa"/>
              <w:bottom w:w="0" w:type="dxa"/>
              <w:right w:w="108" w:type="dxa"/>
            </w:tcMar>
            <w:hideMark/>
          </w:tcPr>
          <w:p w14:paraId="771A6546" w14:textId="77777777" w:rsidR="00282010" w:rsidRPr="009C089D" w:rsidRDefault="00282010" w:rsidP="00026DA2">
            <w:pPr>
              <w:jc w:val="center"/>
              <w:rPr>
                <w:sz w:val="20"/>
                <w:szCs w:val="20"/>
              </w:rPr>
            </w:pPr>
            <w:r w:rsidRPr="009C089D">
              <w:rPr>
                <w:sz w:val="20"/>
                <w:szCs w:val="20"/>
              </w:rPr>
              <w:t>474000,00</w:t>
            </w:r>
          </w:p>
        </w:tc>
        <w:tc>
          <w:tcPr>
            <w:tcW w:w="1558" w:type="dxa"/>
            <w:vAlign w:val="center"/>
            <w:hideMark/>
          </w:tcPr>
          <w:p w14:paraId="771A6547" w14:textId="77777777" w:rsidR="00282010" w:rsidRPr="009C089D" w:rsidRDefault="00282010" w:rsidP="00026DA2">
            <w:pPr>
              <w:jc w:val="center"/>
              <w:rPr>
                <w:sz w:val="20"/>
                <w:szCs w:val="20"/>
              </w:rPr>
            </w:pPr>
            <w:r w:rsidRPr="009C089D">
              <w:rPr>
                <w:sz w:val="20"/>
                <w:szCs w:val="20"/>
              </w:rPr>
              <w:t>0,1088 ha</w:t>
            </w:r>
          </w:p>
          <w:p w14:paraId="771A6548" w14:textId="77777777" w:rsidR="00282010" w:rsidRPr="009C089D" w:rsidRDefault="00282010" w:rsidP="00026DA2">
            <w:pPr>
              <w:jc w:val="center"/>
              <w:rPr>
                <w:sz w:val="20"/>
                <w:szCs w:val="20"/>
              </w:rPr>
            </w:pPr>
            <w:r w:rsidRPr="009C089D">
              <w:rPr>
                <w:sz w:val="20"/>
                <w:szCs w:val="20"/>
              </w:rPr>
              <w:t>Valdomas nuomos teise</w:t>
            </w:r>
          </w:p>
        </w:tc>
        <w:tc>
          <w:tcPr>
            <w:tcW w:w="2400" w:type="dxa"/>
            <w:tcMar>
              <w:top w:w="0" w:type="dxa"/>
              <w:left w:w="108" w:type="dxa"/>
              <w:bottom w:w="0" w:type="dxa"/>
              <w:right w:w="108" w:type="dxa"/>
            </w:tcMar>
            <w:hideMark/>
          </w:tcPr>
          <w:p w14:paraId="771A6549" w14:textId="77777777" w:rsidR="00282010" w:rsidRPr="009C089D" w:rsidRDefault="00282010" w:rsidP="00026DA2">
            <w:pPr>
              <w:rPr>
                <w:sz w:val="20"/>
                <w:szCs w:val="20"/>
              </w:rPr>
            </w:pPr>
            <w:r w:rsidRPr="009C089D">
              <w:rPr>
                <w:sz w:val="20"/>
                <w:szCs w:val="20"/>
              </w:rPr>
              <w:t>Nenaudojamas</w:t>
            </w:r>
          </w:p>
        </w:tc>
      </w:tr>
      <w:tr w:rsidR="00282010" w:rsidRPr="009C089D" w14:paraId="771A6553" w14:textId="77777777" w:rsidTr="00127201">
        <w:tc>
          <w:tcPr>
            <w:tcW w:w="458" w:type="dxa"/>
            <w:tcMar>
              <w:top w:w="0" w:type="dxa"/>
              <w:left w:w="108" w:type="dxa"/>
              <w:bottom w:w="0" w:type="dxa"/>
              <w:right w:w="108" w:type="dxa"/>
            </w:tcMar>
            <w:hideMark/>
          </w:tcPr>
          <w:p w14:paraId="771A654B" w14:textId="77777777" w:rsidR="00282010" w:rsidRPr="009C089D" w:rsidRDefault="00282010" w:rsidP="00026DA2">
            <w:pPr>
              <w:rPr>
                <w:sz w:val="20"/>
                <w:szCs w:val="20"/>
              </w:rPr>
            </w:pPr>
            <w:r w:rsidRPr="009C089D">
              <w:rPr>
                <w:sz w:val="20"/>
                <w:szCs w:val="20"/>
              </w:rPr>
              <w:t>2.</w:t>
            </w:r>
          </w:p>
        </w:tc>
        <w:tc>
          <w:tcPr>
            <w:tcW w:w="2248" w:type="dxa"/>
            <w:tcMar>
              <w:top w:w="0" w:type="dxa"/>
              <w:left w:w="108" w:type="dxa"/>
              <w:bottom w:w="0" w:type="dxa"/>
              <w:right w:w="108" w:type="dxa"/>
            </w:tcMar>
            <w:hideMark/>
          </w:tcPr>
          <w:p w14:paraId="771A654C" w14:textId="77777777" w:rsidR="00282010" w:rsidRPr="009C089D" w:rsidRDefault="00282010" w:rsidP="00026DA2">
            <w:pPr>
              <w:rPr>
                <w:color w:val="000000"/>
                <w:sz w:val="20"/>
                <w:szCs w:val="20"/>
              </w:rPr>
            </w:pPr>
            <w:r w:rsidRPr="009C089D">
              <w:rPr>
                <w:color w:val="000000"/>
                <w:sz w:val="20"/>
                <w:szCs w:val="20"/>
              </w:rPr>
              <w:t>Pastatas - Gyvenamas namas</w:t>
            </w:r>
          </w:p>
          <w:p w14:paraId="771A654D" w14:textId="77777777" w:rsidR="00282010" w:rsidRPr="009C089D" w:rsidRDefault="00282010" w:rsidP="00026DA2">
            <w:pPr>
              <w:rPr>
                <w:sz w:val="20"/>
                <w:szCs w:val="20"/>
              </w:rPr>
            </w:pPr>
            <w:r w:rsidRPr="009C089D">
              <w:rPr>
                <w:color w:val="000000"/>
                <w:sz w:val="20"/>
                <w:szCs w:val="20"/>
              </w:rPr>
              <w:t>Turgaus a. 3</w:t>
            </w:r>
          </w:p>
        </w:tc>
        <w:tc>
          <w:tcPr>
            <w:tcW w:w="1311" w:type="dxa"/>
            <w:tcMar>
              <w:top w:w="0" w:type="dxa"/>
              <w:left w:w="108" w:type="dxa"/>
              <w:bottom w:w="0" w:type="dxa"/>
              <w:right w:w="108" w:type="dxa"/>
            </w:tcMar>
            <w:hideMark/>
          </w:tcPr>
          <w:p w14:paraId="771A654E" w14:textId="77777777" w:rsidR="00282010" w:rsidRPr="009C089D" w:rsidRDefault="00282010" w:rsidP="00026DA2">
            <w:pPr>
              <w:jc w:val="center"/>
              <w:rPr>
                <w:sz w:val="20"/>
                <w:szCs w:val="20"/>
              </w:rPr>
            </w:pPr>
            <w:r w:rsidRPr="009C089D">
              <w:rPr>
                <w:sz w:val="20"/>
                <w:szCs w:val="20"/>
              </w:rPr>
              <w:t>2190-7000-2011</w:t>
            </w:r>
          </w:p>
        </w:tc>
        <w:tc>
          <w:tcPr>
            <w:tcW w:w="1643" w:type="dxa"/>
            <w:tcMar>
              <w:top w:w="0" w:type="dxa"/>
              <w:left w:w="108" w:type="dxa"/>
              <w:bottom w:w="0" w:type="dxa"/>
              <w:right w:w="108" w:type="dxa"/>
            </w:tcMar>
            <w:hideMark/>
          </w:tcPr>
          <w:p w14:paraId="771A654F" w14:textId="77777777" w:rsidR="00282010" w:rsidRPr="009C089D" w:rsidRDefault="00282010" w:rsidP="00026DA2">
            <w:pPr>
              <w:jc w:val="center"/>
              <w:rPr>
                <w:sz w:val="20"/>
                <w:szCs w:val="20"/>
              </w:rPr>
            </w:pPr>
            <w:r w:rsidRPr="009C089D">
              <w:rPr>
                <w:sz w:val="20"/>
                <w:szCs w:val="20"/>
              </w:rPr>
              <w:t>312000,00</w:t>
            </w:r>
          </w:p>
        </w:tc>
        <w:tc>
          <w:tcPr>
            <w:tcW w:w="1558" w:type="dxa"/>
            <w:vAlign w:val="center"/>
            <w:hideMark/>
          </w:tcPr>
          <w:p w14:paraId="771A6550" w14:textId="77777777" w:rsidR="00282010" w:rsidRPr="009C089D" w:rsidRDefault="00282010" w:rsidP="00026DA2">
            <w:pPr>
              <w:jc w:val="center"/>
              <w:rPr>
                <w:sz w:val="20"/>
                <w:szCs w:val="20"/>
              </w:rPr>
            </w:pPr>
            <w:r w:rsidRPr="009C089D">
              <w:rPr>
                <w:sz w:val="20"/>
                <w:szCs w:val="20"/>
              </w:rPr>
              <w:t>0,0348 ha</w:t>
            </w:r>
          </w:p>
          <w:p w14:paraId="771A6551" w14:textId="77777777" w:rsidR="00282010" w:rsidRPr="009C089D" w:rsidRDefault="00282010" w:rsidP="00026DA2">
            <w:pPr>
              <w:jc w:val="center"/>
              <w:rPr>
                <w:sz w:val="20"/>
                <w:szCs w:val="20"/>
              </w:rPr>
            </w:pPr>
            <w:r w:rsidRPr="009C089D">
              <w:rPr>
                <w:sz w:val="20"/>
                <w:szCs w:val="20"/>
              </w:rPr>
              <w:t>Valdomas nuomos teise</w:t>
            </w:r>
          </w:p>
        </w:tc>
        <w:tc>
          <w:tcPr>
            <w:tcW w:w="2400" w:type="dxa"/>
            <w:tcMar>
              <w:top w:w="0" w:type="dxa"/>
              <w:left w:w="108" w:type="dxa"/>
              <w:bottom w:w="0" w:type="dxa"/>
              <w:right w:w="108" w:type="dxa"/>
            </w:tcMar>
            <w:hideMark/>
          </w:tcPr>
          <w:p w14:paraId="771A6552" w14:textId="77777777" w:rsidR="00282010" w:rsidRPr="009C089D" w:rsidRDefault="00282010" w:rsidP="00026DA2">
            <w:pPr>
              <w:rPr>
                <w:sz w:val="20"/>
                <w:szCs w:val="20"/>
              </w:rPr>
            </w:pPr>
            <w:r w:rsidRPr="009C089D">
              <w:rPr>
                <w:sz w:val="20"/>
                <w:szCs w:val="20"/>
              </w:rPr>
              <w:t>Nenaudojamas</w:t>
            </w:r>
            <w:r w:rsidRPr="009C089D">
              <w:rPr>
                <w:rFonts w:ascii="Arial" w:hAnsi="Arial" w:cs="Arial"/>
                <w:b/>
                <w:bCs/>
                <w:color w:val="000000"/>
                <w:sz w:val="20"/>
                <w:szCs w:val="20"/>
              </w:rPr>
              <w:t xml:space="preserve"> </w:t>
            </w:r>
            <w:r w:rsidRPr="009C089D">
              <w:rPr>
                <w:b/>
                <w:bCs/>
                <w:color w:val="000000"/>
                <w:sz w:val="20"/>
                <w:szCs w:val="20"/>
              </w:rPr>
              <w:t>Įrašytas į nekilnojamųjų kultūros vertybių registrą</w:t>
            </w:r>
          </w:p>
        </w:tc>
      </w:tr>
      <w:tr w:rsidR="00282010" w:rsidRPr="009C089D" w14:paraId="771A655D" w14:textId="77777777" w:rsidTr="00127201">
        <w:tc>
          <w:tcPr>
            <w:tcW w:w="458" w:type="dxa"/>
            <w:tcMar>
              <w:top w:w="0" w:type="dxa"/>
              <w:left w:w="108" w:type="dxa"/>
              <w:bottom w:w="0" w:type="dxa"/>
              <w:right w:w="108" w:type="dxa"/>
            </w:tcMar>
            <w:hideMark/>
          </w:tcPr>
          <w:p w14:paraId="771A6554" w14:textId="77777777" w:rsidR="00282010" w:rsidRPr="009C089D" w:rsidRDefault="00282010" w:rsidP="00026DA2">
            <w:pPr>
              <w:rPr>
                <w:sz w:val="20"/>
                <w:szCs w:val="20"/>
              </w:rPr>
            </w:pPr>
            <w:r w:rsidRPr="009C089D">
              <w:rPr>
                <w:sz w:val="20"/>
                <w:szCs w:val="20"/>
              </w:rPr>
              <w:t>3.</w:t>
            </w:r>
          </w:p>
        </w:tc>
        <w:tc>
          <w:tcPr>
            <w:tcW w:w="2248" w:type="dxa"/>
            <w:tcMar>
              <w:top w:w="0" w:type="dxa"/>
              <w:left w:w="108" w:type="dxa"/>
              <w:bottom w:w="0" w:type="dxa"/>
              <w:right w:w="108" w:type="dxa"/>
            </w:tcMar>
            <w:hideMark/>
          </w:tcPr>
          <w:p w14:paraId="771A6555" w14:textId="77777777" w:rsidR="00282010" w:rsidRPr="009C089D" w:rsidRDefault="00282010" w:rsidP="00026DA2">
            <w:pPr>
              <w:rPr>
                <w:color w:val="000000"/>
                <w:sz w:val="20"/>
                <w:szCs w:val="20"/>
              </w:rPr>
            </w:pPr>
            <w:r w:rsidRPr="009C089D">
              <w:rPr>
                <w:color w:val="000000"/>
                <w:sz w:val="20"/>
                <w:szCs w:val="20"/>
              </w:rPr>
              <w:t xml:space="preserve">Pastatas – Parduotuvė </w:t>
            </w:r>
          </w:p>
          <w:p w14:paraId="771A6556" w14:textId="77777777" w:rsidR="00282010" w:rsidRPr="009C089D" w:rsidRDefault="00282010" w:rsidP="00026DA2">
            <w:pPr>
              <w:rPr>
                <w:color w:val="000000"/>
                <w:sz w:val="20"/>
                <w:szCs w:val="20"/>
              </w:rPr>
            </w:pPr>
            <w:r w:rsidRPr="009C089D">
              <w:rPr>
                <w:color w:val="000000"/>
                <w:sz w:val="20"/>
                <w:szCs w:val="20"/>
              </w:rPr>
              <w:t>Galinio Pylimo g. 4</w:t>
            </w:r>
          </w:p>
          <w:p w14:paraId="771A6557" w14:textId="77777777" w:rsidR="00282010" w:rsidRPr="009C089D" w:rsidRDefault="00282010" w:rsidP="00026DA2">
            <w:pPr>
              <w:rPr>
                <w:sz w:val="20"/>
                <w:szCs w:val="20"/>
              </w:rPr>
            </w:pPr>
            <w:r w:rsidRPr="009C089D">
              <w:rPr>
                <w:sz w:val="20"/>
                <w:szCs w:val="20"/>
              </w:rPr>
              <w:t>(nebaigta statyba)</w:t>
            </w:r>
          </w:p>
        </w:tc>
        <w:tc>
          <w:tcPr>
            <w:tcW w:w="1311" w:type="dxa"/>
            <w:tcMar>
              <w:top w:w="0" w:type="dxa"/>
              <w:left w:w="108" w:type="dxa"/>
              <w:bottom w:w="0" w:type="dxa"/>
              <w:right w:w="108" w:type="dxa"/>
            </w:tcMar>
            <w:hideMark/>
          </w:tcPr>
          <w:p w14:paraId="771A6558" w14:textId="77777777" w:rsidR="00282010" w:rsidRPr="009C089D" w:rsidRDefault="00282010" w:rsidP="00026DA2">
            <w:pPr>
              <w:jc w:val="center"/>
              <w:rPr>
                <w:sz w:val="20"/>
                <w:szCs w:val="20"/>
              </w:rPr>
            </w:pPr>
            <w:r w:rsidRPr="009C089D">
              <w:rPr>
                <w:sz w:val="20"/>
                <w:szCs w:val="20"/>
              </w:rPr>
              <w:t>2190-7000-2022</w:t>
            </w:r>
          </w:p>
        </w:tc>
        <w:tc>
          <w:tcPr>
            <w:tcW w:w="1643" w:type="dxa"/>
            <w:tcMar>
              <w:top w:w="0" w:type="dxa"/>
              <w:left w:w="108" w:type="dxa"/>
              <w:bottom w:w="0" w:type="dxa"/>
              <w:right w:w="108" w:type="dxa"/>
            </w:tcMar>
            <w:hideMark/>
          </w:tcPr>
          <w:p w14:paraId="771A6559" w14:textId="77777777" w:rsidR="00282010" w:rsidRPr="009C089D" w:rsidRDefault="00282010" w:rsidP="00026DA2">
            <w:pPr>
              <w:jc w:val="center"/>
              <w:rPr>
                <w:sz w:val="20"/>
                <w:szCs w:val="20"/>
              </w:rPr>
            </w:pPr>
            <w:r w:rsidRPr="009C089D">
              <w:rPr>
                <w:sz w:val="20"/>
                <w:szCs w:val="20"/>
              </w:rPr>
              <w:t>300000,00</w:t>
            </w:r>
          </w:p>
        </w:tc>
        <w:tc>
          <w:tcPr>
            <w:tcW w:w="1558" w:type="dxa"/>
            <w:vAlign w:val="center"/>
            <w:hideMark/>
          </w:tcPr>
          <w:p w14:paraId="771A655A" w14:textId="77777777" w:rsidR="00282010" w:rsidRPr="009C089D" w:rsidRDefault="00282010" w:rsidP="00026DA2">
            <w:pPr>
              <w:jc w:val="center"/>
              <w:rPr>
                <w:sz w:val="20"/>
                <w:szCs w:val="20"/>
              </w:rPr>
            </w:pPr>
            <w:r w:rsidRPr="009C089D">
              <w:rPr>
                <w:sz w:val="20"/>
                <w:szCs w:val="20"/>
              </w:rPr>
              <w:t>0,0658 ha</w:t>
            </w:r>
          </w:p>
          <w:p w14:paraId="771A655B" w14:textId="77777777" w:rsidR="00282010" w:rsidRPr="009C089D" w:rsidRDefault="00282010" w:rsidP="00026DA2">
            <w:pPr>
              <w:jc w:val="center"/>
              <w:rPr>
                <w:sz w:val="20"/>
                <w:szCs w:val="20"/>
              </w:rPr>
            </w:pPr>
            <w:r w:rsidRPr="009C089D">
              <w:rPr>
                <w:sz w:val="20"/>
                <w:szCs w:val="20"/>
              </w:rPr>
              <w:t>Valdomas nuomos teise</w:t>
            </w:r>
          </w:p>
        </w:tc>
        <w:tc>
          <w:tcPr>
            <w:tcW w:w="2400" w:type="dxa"/>
            <w:tcMar>
              <w:top w:w="0" w:type="dxa"/>
              <w:left w:w="108" w:type="dxa"/>
              <w:bottom w:w="0" w:type="dxa"/>
              <w:right w:w="108" w:type="dxa"/>
            </w:tcMar>
            <w:hideMark/>
          </w:tcPr>
          <w:p w14:paraId="771A655C" w14:textId="77777777" w:rsidR="00282010" w:rsidRPr="009C089D" w:rsidRDefault="00282010" w:rsidP="00026DA2">
            <w:pPr>
              <w:rPr>
                <w:sz w:val="20"/>
                <w:szCs w:val="20"/>
              </w:rPr>
            </w:pPr>
            <w:r w:rsidRPr="009C089D">
              <w:rPr>
                <w:sz w:val="20"/>
                <w:szCs w:val="20"/>
              </w:rPr>
              <w:t>Nenaudojamas</w:t>
            </w:r>
          </w:p>
        </w:tc>
      </w:tr>
      <w:tr w:rsidR="00282010" w:rsidRPr="009C089D" w14:paraId="771A6567" w14:textId="77777777" w:rsidTr="0012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A655E" w14:textId="77777777" w:rsidR="00282010" w:rsidRPr="009C089D" w:rsidRDefault="00127201" w:rsidP="00026DA2">
            <w:pPr>
              <w:rPr>
                <w:sz w:val="20"/>
                <w:szCs w:val="20"/>
              </w:rPr>
            </w:pPr>
            <w:r>
              <w:rPr>
                <w:sz w:val="20"/>
                <w:szCs w:val="20"/>
              </w:rPr>
              <w:t>4</w:t>
            </w:r>
            <w:r w:rsidR="00282010" w:rsidRPr="009C089D">
              <w:rPr>
                <w:sz w:val="20"/>
                <w:szCs w:val="20"/>
              </w:rPr>
              <w:t>.</w:t>
            </w:r>
          </w:p>
        </w:tc>
        <w:tc>
          <w:tcPr>
            <w:tcW w:w="224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1A655F" w14:textId="77777777" w:rsidR="00282010" w:rsidRPr="009C089D" w:rsidRDefault="00282010" w:rsidP="00026DA2">
            <w:pPr>
              <w:rPr>
                <w:color w:val="000000"/>
                <w:sz w:val="20"/>
                <w:szCs w:val="20"/>
              </w:rPr>
            </w:pPr>
            <w:r w:rsidRPr="009C089D">
              <w:rPr>
                <w:color w:val="000000"/>
                <w:sz w:val="20"/>
                <w:szCs w:val="20"/>
              </w:rPr>
              <w:t xml:space="preserve">Pastatas – Parduotuvė </w:t>
            </w:r>
          </w:p>
          <w:p w14:paraId="771A6560" w14:textId="77777777" w:rsidR="00282010" w:rsidRPr="009C089D" w:rsidRDefault="00282010" w:rsidP="00026DA2">
            <w:pPr>
              <w:rPr>
                <w:color w:val="000000"/>
                <w:sz w:val="20"/>
                <w:szCs w:val="20"/>
              </w:rPr>
            </w:pPr>
            <w:r w:rsidRPr="009C089D">
              <w:rPr>
                <w:color w:val="000000"/>
                <w:sz w:val="20"/>
                <w:szCs w:val="20"/>
              </w:rPr>
              <w:t>Galinio Pylimo g. 8</w:t>
            </w:r>
          </w:p>
          <w:p w14:paraId="771A6561" w14:textId="77777777" w:rsidR="00282010" w:rsidRPr="009C089D" w:rsidRDefault="00282010" w:rsidP="00026DA2">
            <w:pPr>
              <w:rPr>
                <w:sz w:val="20"/>
                <w:szCs w:val="20"/>
              </w:rPr>
            </w:pPr>
            <w:r w:rsidRPr="009C089D">
              <w:rPr>
                <w:color w:val="000000"/>
                <w:sz w:val="20"/>
                <w:szCs w:val="20"/>
              </w:rPr>
              <w:t>(buvusi žuvinė)</w:t>
            </w:r>
          </w:p>
        </w:tc>
        <w:tc>
          <w:tcPr>
            <w:tcW w:w="131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1A6562" w14:textId="77777777" w:rsidR="00282010" w:rsidRPr="009C089D" w:rsidRDefault="00282010" w:rsidP="00026DA2">
            <w:pPr>
              <w:jc w:val="center"/>
              <w:rPr>
                <w:sz w:val="20"/>
                <w:szCs w:val="20"/>
              </w:rPr>
            </w:pPr>
            <w:r w:rsidRPr="009C089D">
              <w:rPr>
                <w:sz w:val="20"/>
                <w:szCs w:val="20"/>
              </w:rPr>
              <w:t>2190-0010-1021</w:t>
            </w:r>
          </w:p>
        </w:tc>
        <w:tc>
          <w:tcPr>
            <w:tcW w:w="16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1A6563" w14:textId="77777777" w:rsidR="00282010" w:rsidRPr="009C089D" w:rsidRDefault="00282010" w:rsidP="00026DA2">
            <w:pPr>
              <w:jc w:val="center"/>
              <w:rPr>
                <w:sz w:val="20"/>
                <w:szCs w:val="20"/>
              </w:rPr>
            </w:pPr>
            <w:r w:rsidRPr="009C089D">
              <w:rPr>
                <w:sz w:val="20"/>
                <w:szCs w:val="20"/>
              </w:rPr>
              <w:t>457000,00</w:t>
            </w:r>
          </w:p>
        </w:tc>
        <w:tc>
          <w:tcPr>
            <w:tcW w:w="1558" w:type="dxa"/>
            <w:vMerge w:val="restart"/>
            <w:tcBorders>
              <w:top w:val="single" w:sz="4" w:space="0" w:color="auto"/>
              <w:left w:val="nil"/>
              <w:bottom w:val="single" w:sz="8" w:space="0" w:color="auto"/>
              <w:right w:val="single" w:sz="8" w:space="0" w:color="auto"/>
            </w:tcBorders>
            <w:vAlign w:val="center"/>
            <w:hideMark/>
          </w:tcPr>
          <w:p w14:paraId="771A6564" w14:textId="77777777" w:rsidR="00282010" w:rsidRPr="009C089D" w:rsidRDefault="00282010" w:rsidP="00026DA2">
            <w:pPr>
              <w:jc w:val="center"/>
              <w:rPr>
                <w:sz w:val="20"/>
                <w:szCs w:val="20"/>
              </w:rPr>
            </w:pPr>
            <w:r w:rsidRPr="009C089D">
              <w:rPr>
                <w:sz w:val="20"/>
                <w:szCs w:val="20"/>
              </w:rPr>
              <w:t>0,2884 ha</w:t>
            </w:r>
          </w:p>
          <w:p w14:paraId="771A6565" w14:textId="77777777" w:rsidR="00282010" w:rsidRPr="009C089D" w:rsidRDefault="00282010" w:rsidP="00026DA2">
            <w:pPr>
              <w:jc w:val="center"/>
              <w:rPr>
                <w:sz w:val="20"/>
                <w:szCs w:val="20"/>
              </w:rPr>
            </w:pPr>
            <w:r w:rsidRPr="009C089D">
              <w:rPr>
                <w:sz w:val="20"/>
                <w:szCs w:val="20"/>
              </w:rPr>
              <w:t>Valdomas nuomos teise</w:t>
            </w:r>
          </w:p>
        </w:tc>
        <w:tc>
          <w:tcPr>
            <w:tcW w:w="24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1A6566" w14:textId="77777777" w:rsidR="00282010" w:rsidRPr="009C089D" w:rsidRDefault="00282010" w:rsidP="00026DA2">
            <w:pPr>
              <w:rPr>
                <w:sz w:val="20"/>
                <w:szCs w:val="20"/>
              </w:rPr>
            </w:pPr>
            <w:r w:rsidRPr="009C089D">
              <w:rPr>
                <w:sz w:val="20"/>
                <w:szCs w:val="20"/>
              </w:rPr>
              <w:t>Nenaudojamas</w:t>
            </w:r>
          </w:p>
        </w:tc>
      </w:tr>
      <w:tr w:rsidR="00282010" w:rsidRPr="009C089D" w14:paraId="771A6570" w14:textId="77777777" w:rsidTr="0012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71A6568" w14:textId="77777777" w:rsidR="00282010" w:rsidRPr="009C089D" w:rsidRDefault="00127201" w:rsidP="00026DA2">
            <w:pPr>
              <w:rPr>
                <w:sz w:val="20"/>
                <w:szCs w:val="20"/>
              </w:rPr>
            </w:pPr>
            <w:r>
              <w:rPr>
                <w:sz w:val="20"/>
                <w:szCs w:val="20"/>
              </w:rPr>
              <w:t>5</w:t>
            </w:r>
            <w:r w:rsidR="00282010" w:rsidRPr="009C089D">
              <w:rPr>
                <w:sz w:val="20"/>
                <w:szCs w:val="20"/>
              </w:rPr>
              <w:t>.</w:t>
            </w:r>
          </w:p>
        </w:tc>
        <w:tc>
          <w:tcPr>
            <w:tcW w:w="2248" w:type="dxa"/>
            <w:tcBorders>
              <w:top w:val="nil"/>
              <w:left w:val="nil"/>
              <w:bottom w:val="single" w:sz="4" w:space="0" w:color="auto"/>
              <w:right w:val="single" w:sz="8" w:space="0" w:color="auto"/>
            </w:tcBorders>
            <w:tcMar>
              <w:top w:w="0" w:type="dxa"/>
              <w:left w:w="108" w:type="dxa"/>
              <w:bottom w:w="0" w:type="dxa"/>
              <w:right w:w="108" w:type="dxa"/>
            </w:tcMar>
            <w:hideMark/>
          </w:tcPr>
          <w:p w14:paraId="771A6569" w14:textId="77777777" w:rsidR="00282010" w:rsidRPr="009C089D" w:rsidRDefault="00282010" w:rsidP="00026DA2">
            <w:pPr>
              <w:rPr>
                <w:color w:val="000000"/>
                <w:sz w:val="20"/>
                <w:szCs w:val="20"/>
              </w:rPr>
            </w:pPr>
            <w:r w:rsidRPr="009C089D">
              <w:rPr>
                <w:color w:val="000000"/>
                <w:sz w:val="20"/>
                <w:szCs w:val="20"/>
              </w:rPr>
              <w:t>Pastatas – Tualetas</w:t>
            </w:r>
          </w:p>
          <w:p w14:paraId="771A656A" w14:textId="77777777" w:rsidR="00282010" w:rsidRPr="009C089D" w:rsidRDefault="00282010" w:rsidP="00026DA2">
            <w:pPr>
              <w:rPr>
                <w:color w:val="000000"/>
                <w:sz w:val="20"/>
                <w:szCs w:val="20"/>
              </w:rPr>
            </w:pPr>
            <w:r w:rsidRPr="009C089D">
              <w:rPr>
                <w:color w:val="000000"/>
                <w:sz w:val="20"/>
                <w:szCs w:val="20"/>
              </w:rPr>
              <w:t>Galinio Pylimo g. 8</w:t>
            </w:r>
          </w:p>
          <w:p w14:paraId="771A656B" w14:textId="77777777" w:rsidR="00282010" w:rsidRPr="009C089D" w:rsidRDefault="00282010" w:rsidP="00026DA2">
            <w:pPr>
              <w:rPr>
                <w:sz w:val="20"/>
                <w:szCs w:val="20"/>
              </w:rPr>
            </w:pPr>
            <w:r w:rsidRPr="009C089D">
              <w:rPr>
                <w:color w:val="000000"/>
                <w:sz w:val="20"/>
                <w:szCs w:val="20"/>
              </w:rPr>
              <w:t>(nenaudojamas)</w:t>
            </w:r>
          </w:p>
        </w:tc>
        <w:tc>
          <w:tcPr>
            <w:tcW w:w="1311" w:type="dxa"/>
            <w:tcBorders>
              <w:top w:val="nil"/>
              <w:left w:val="nil"/>
              <w:bottom w:val="single" w:sz="4" w:space="0" w:color="auto"/>
              <w:right w:val="single" w:sz="8" w:space="0" w:color="auto"/>
            </w:tcBorders>
            <w:tcMar>
              <w:top w:w="0" w:type="dxa"/>
              <w:left w:w="108" w:type="dxa"/>
              <w:bottom w:w="0" w:type="dxa"/>
              <w:right w:w="108" w:type="dxa"/>
            </w:tcMar>
            <w:hideMark/>
          </w:tcPr>
          <w:p w14:paraId="771A656C" w14:textId="77777777" w:rsidR="00282010" w:rsidRPr="009C089D" w:rsidRDefault="00282010" w:rsidP="00026DA2">
            <w:pPr>
              <w:jc w:val="center"/>
              <w:rPr>
                <w:sz w:val="20"/>
                <w:szCs w:val="20"/>
              </w:rPr>
            </w:pPr>
            <w:r w:rsidRPr="009C089D">
              <w:rPr>
                <w:sz w:val="20"/>
                <w:szCs w:val="20"/>
              </w:rPr>
              <w:t>4400-0686-2579</w:t>
            </w:r>
          </w:p>
        </w:tc>
        <w:tc>
          <w:tcPr>
            <w:tcW w:w="1643" w:type="dxa"/>
            <w:tcBorders>
              <w:top w:val="nil"/>
              <w:left w:val="nil"/>
              <w:bottom w:val="single" w:sz="4" w:space="0" w:color="auto"/>
              <w:right w:val="single" w:sz="8" w:space="0" w:color="auto"/>
            </w:tcBorders>
            <w:tcMar>
              <w:top w:w="0" w:type="dxa"/>
              <w:left w:w="108" w:type="dxa"/>
              <w:bottom w:w="0" w:type="dxa"/>
              <w:right w:w="108" w:type="dxa"/>
            </w:tcMar>
            <w:hideMark/>
          </w:tcPr>
          <w:p w14:paraId="771A656D" w14:textId="77777777" w:rsidR="00282010" w:rsidRPr="009C089D" w:rsidRDefault="00282010" w:rsidP="00026DA2">
            <w:pPr>
              <w:jc w:val="center"/>
              <w:rPr>
                <w:sz w:val="20"/>
                <w:szCs w:val="20"/>
              </w:rPr>
            </w:pPr>
            <w:r w:rsidRPr="009C089D">
              <w:rPr>
                <w:sz w:val="20"/>
                <w:szCs w:val="20"/>
              </w:rPr>
              <w:t>74600,00</w:t>
            </w:r>
          </w:p>
        </w:tc>
        <w:tc>
          <w:tcPr>
            <w:tcW w:w="1558" w:type="dxa"/>
            <w:vMerge/>
            <w:tcBorders>
              <w:top w:val="nil"/>
              <w:left w:val="nil"/>
              <w:bottom w:val="single" w:sz="4" w:space="0" w:color="auto"/>
              <w:right w:val="single" w:sz="8" w:space="0" w:color="auto"/>
            </w:tcBorders>
            <w:vAlign w:val="center"/>
            <w:hideMark/>
          </w:tcPr>
          <w:p w14:paraId="771A656E" w14:textId="77777777" w:rsidR="00282010" w:rsidRPr="009C089D" w:rsidRDefault="00282010" w:rsidP="00026DA2">
            <w:pPr>
              <w:rPr>
                <w:rFonts w:ascii="Calibri" w:eastAsiaTheme="minorHAnsi" w:hAnsi="Calibri" w:cs="Calibri"/>
                <w:sz w:val="20"/>
                <w:szCs w:val="20"/>
                <w:lang w:eastAsia="en-US"/>
              </w:rPr>
            </w:pPr>
          </w:p>
        </w:tc>
        <w:tc>
          <w:tcPr>
            <w:tcW w:w="2400" w:type="dxa"/>
            <w:tcBorders>
              <w:top w:val="nil"/>
              <w:left w:val="nil"/>
              <w:bottom w:val="single" w:sz="4" w:space="0" w:color="auto"/>
              <w:right w:val="single" w:sz="8" w:space="0" w:color="auto"/>
            </w:tcBorders>
            <w:tcMar>
              <w:top w:w="0" w:type="dxa"/>
              <w:left w:w="108" w:type="dxa"/>
              <w:bottom w:w="0" w:type="dxa"/>
              <w:right w:w="108" w:type="dxa"/>
            </w:tcMar>
            <w:hideMark/>
          </w:tcPr>
          <w:p w14:paraId="771A656F" w14:textId="77777777" w:rsidR="00282010" w:rsidRPr="009C089D" w:rsidRDefault="00282010" w:rsidP="00026DA2">
            <w:pPr>
              <w:rPr>
                <w:sz w:val="20"/>
                <w:szCs w:val="20"/>
              </w:rPr>
            </w:pPr>
            <w:r w:rsidRPr="009C089D">
              <w:rPr>
                <w:sz w:val="20"/>
                <w:szCs w:val="20"/>
              </w:rPr>
              <w:t>Nenaudojamas</w:t>
            </w:r>
          </w:p>
        </w:tc>
      </w:tr>
      <w:tr w:rsidR="00282010" w:rsidRPr="009C089D" w14:paraId="771A6577" w14:textId="77777777" w:rsidTr="0012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1A6571" w14:textId="77777777" w:rsidR="00282010" w:rsidRPr="009C089D" w:rsidRDefault="00282010" w:rsidP="00026DA2">
            <w:pPr>
              <w:rPr>
                <w:b/>
                <w:sz w:val="20"/>
                <w:szCs w:val="20"/>
              </w:rPr>
            </w:pPr>
          </w:p>
        </w:tc>
        <w:tc>
          <w:tcPr>
            <w:tcW w:w="22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1A6572" w14:textId="77777777" w:rsidR="00282010" w:rsidRPr="009C089D" w:rsidRDefault="00282010" w:rsidP="00026DA2">
            <w:pPr>
              <w:jc w:val="right"/>
              <w:rPr>
                <w:b/>
                <w:color w:val="000000"/>
                <w:sz w:val="20"/>
                <w:szCs w:val="20"/>
              </w:rPr>
            </w:pPr>
            <w:r w:rsidRPr="009C089D">
              <w:rPr>
                <w:b/>
                <w:color w:val="000000"/>
                <w:sz w:val="20"/>
                <w:szCs w:val="20"/>
              </w:rPr>
              <w:t>Viso:</w:t>
            </w:r>
          </w:p>
        </w:tc>
        <w:tc>
          <w:tcPr>
            <w:tcW w:w="13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1A6573" w14:textId="77777777" w:rsidR="00282010" w:rsidRPr="009C089D" w:rsidRDefault="00282010" w:rsidP="00026DA2">
            <w:pPr>
              <w:jc w:val="center"/>
              <w:rPr>
                <w:b/>
                <w:sz w:val="20"/>
                <w:szCs w:val="20"/>
              </w:rPr>
            </w:pPr>
          </w:p>
        </w:tc>
        <w:tc>
          <w:tcPr>
            <w:tcW w:w="16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1A6574" w14:textId="77777777" w:rsidR="00282010" w:rsidRPr="009C089D" w:rsidRDefault="00127201" w:rsidP="00026DA2">
            <w:pPr>
              <w:jc w:val="center"/>
              <w:rPr>
                <w:b/>
                <w:sz w:val="20"/>
                <w:szCs w:val="20"/>
              </w:rPr>
            </w:pPr>
            <w:r>
              <w:rPr>
                <w:b/>
                <w:sz w:val="20"/>
                <w:szCs w:val="20"/>
              </w:rPr>
              <w:t>1617</w:t>
            </w:r>
            <w:r w:rsidR="00282010" w:rsidRPr="009C089D">
              <w:rPr>
                <w:b/>
                <w:sz w:val="20"/>
                <w:szCs w:val="20"/>
              </w:rPr>
              <w:t>600,00</w:t>
            </w:r>
          </w:p>
        </w:tc>
        <w:tc>
          <w:tcPr>
            <w:tcW w:w="1558" w:type="dxa"/>
            <w:tcBorders>
              <w:top w:val="single" w:sz="4" w:space="0" w:color="auto"/>
              <w:left w:val="nil"/>
              <w:bottom w:val="single" w:sz="8" w:space="0" w:color="auto"/>
              <w:right w:val="single" w:sz="8" w:space="0" w:color="auto"/>
            </w:tcBorders>
            <w:vAlign w:val="center"/>
          </w:tcPr>
          <w:p w14:paraId="771A6575" w14:textId="77777777" w:rsidR="00282010" w:rsidRPr="009C089D" w:rsidRDefault="00282010" w:rsidP="00026DA2">
            <w:pPr>
              <w:rPr>
                <w:rFonts w:ascii="Calibri" w:eastAsiaTheme="minorHAnsi" w:hAnsi="Calibri" w:cs="Calibri"/>
                <w:b/>
                <w:sz w:val="20"/>
                <w:szCs w:val="20"/>
                <w:lang w:eastAsia="en-US"/>
              </w:rPr>
            </w:pPr>
          </w:p>
        </w:tc>
        <w:tc>
          <w:tcPr>
            <w:tcW w:w="24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1A6576" w14:textId="77777777" w:rsidR="00282010" w:rsidRPr="009C089D" w:rsidRDefault="00282010" w:rsidP="00026DA2">
            <w:pPr>
              <w:rPr>
                <w:b/>
                <w:sz w:val="20"/>
                <w:szCs w:val="20"/>
              </w:rPr>
            </w:pPr>
          </w:p>
        </w:tc>
      </w:tr>
    </w:tbl>
    <w:p w14:paraId="771A6578" w14:textId="77777777" w:rsidR="00282010" w:rsidRDefault="00282010" w:rsidP="009C089D">
      <w:pPr>
        <w:ind w:firstLine="709"/>
        <w:jc w:val="both"/>
      </w:pPr>
      <w:r>
        <w:t>Nurodytos Bendrovės nenaudojamo turto vertės yra vidutinės Registrų centro pateikiamos vertės. Galutinė pardavimo kaina bus nustatyta po įvykusio viešo pardavimo aukciono, atsižvelgiant į nekilnojamojo turto rinkos situaciją bei jau įvykusius savivaldybės NT pardavimo aukcionus, tikėtina, kad pardavimo kaina bus didesnė.</w:t>
      </w:r>
    </w:p>
    <w:p w14:paraId="771A6579" w14:textId="77777777" w:rsidR="00DF1A8A" w:rsidRDefault="00282010" w:rsidP="00DF1A8A">
      <w:pPr>
        <w:ind w:firstLine="709"/>
        <w:jc w:val="both"/>
      </w:pPr>
      <w:r>
        <w:t>Vykdant Bendrovės reorganizaciją būtų sumažintas administracijos darbuotojų skaičius. Tai leistų per metus sutaupyti 45-50 tūkst. Eur.</w:t>
      </w:r>
    </w:p>
    <w:p w14:paraId="771A657A" w14:textId="77777777" w:rsidR="00F81CC9" w:rsidRDefault="00F81CC9" w:rsidP="00DF1A8A">
      <w:pPr>
        <w:ind w:firstLine="709"/>
        <w:jc w:val="both"/>
      </w:pPr>
    </w:p>
    <w:p w14:paraId="771A657B" w14:textId="77777777" w:rsidR="00C55AB7" w:rsidRDefault="00C55AB7" w:rsidP="00DF1A8A">
      <w:pPr>
        <w:ind w:firstLine="709"/>
        <w:jc w:val="both"/>
      </w:pPr>
      <w:r>
        <w:t>Pokyčiai įstatinio kapitalo</w:t>
      </w:r>
      <w:r w:rsidR="00B51077">
        <w:t xml:space="preserve"> </w:t>
      </w:r>
      <w:r>
        <w:t>atžvilgiu:</w:t>
      </w:r>
    </w:p>
    <w:tbl>
      <w:tblPr>
        <w:tblStyle w:val="Lentelstinklelis"/>
        <w:tblW w:w="0" w:type="auto"/>
        <w:jc w:val="center"/>
        <w:tblLook w:val="01E0" w:firstRow="1" w:lastRow="1" w:firstColumn="1" w:lastColumn="1" w:noHBand="0" w:noVBand="0"/>
      </w:tblPr>
      <w:tblGrid>
        <w:gridCol w:w="556"/>
        <w:gridCol w:w="1922"/>
        <w:gridCol w:w="1816"/>
        <w:gridCol w:w="1699"/>
        <w:gridCol w:w="1953"/>
        <w:gridCol w:w="1682"/>
      </w:tblGrid>
      <w:tr w:rsidR="00C55AB7" w:rsidRPr="00F81CC9" w14:paraId="771A6582" w14:textId="77777777" w:rsidTr="009C089D">
        <w:trPr>
          <w:trHeight w:val="821"/>
          <w:jc w:val="center"/>
        </w:trPr>
        <w:tc>
          <w:tcPr>
            <w:tcW w:w="556" w:type="dxa"/>
            <w:vAlign w:val="center"/>
          </w:tcPr>
          <w:p w14:paraId="771A657C" w14:textId="77777777" w:rsidR="00C55AB7" w:rsidRPr="00F81CC9" w:rsidRDefault="00C55AB7" w:rsidP="009C089D">
            <w:pPr>
              <w:jc w:val="center"/>
              <w:rPr>
                <w:sz w:val="20"/>
                <w:szCs w:val="20"/>
              </w:rPr>
            </w:pPr>
            <w:r w:rsidRPr="00F81CC9">
              <w:rPr>
                <w:sz w:val="20"/>
                <w:szCs w:val="20"/>
              </w:rPr>
              <w:t>Eil. Nr.</w:t>
            </w:r>
          </w:p>
        </w:tc>
        <w:tc>
          <w:tcPr>
            <w:tcW w:w="1922" w:type="dxa"/>
            <w:vAlign w:val="center"/>
          </w:tcPr>
          <w:p w14:paraId="771A657D" w14:textId="77777777" w:rsidR="00C55AB7" w:rsidRPr="00F81CC9" w:rsidRDefault="009C089D" w:rsidP="009C089D">
            <w:pPr>
              <w:jc w:val="center"/>
              <w:rPr>
                <w:sz w:val="20"/>
                <w:szCs w:val="20"/>
              </w:rPr>
            </w:pPr>
            <w:r w:rsidRPr="00F81CC9">
              <w:rPr>
                <w:sz w:val="20"/>
                <w:szCs w:val="20"/>
              </w:rPr>
              <w:t>Įmonė</w:t>
            </w:r>
          </w:p>
        </w:tc>
        <w:tc>
          <w:tcPr>
            <w:tcW w:w="1816" w:type="dxa"/>
            <w:vAlign w:val="center"/>
          </w:tcPr>
          <w:p w14:paraId="771A657E" w14:textId="77777777" w:rsidR="00C55AB7" w:rsidRPr="00F81CC9" w:rsidRDefault="00C55AB7" w:rsidP="009C089D">
            <w:pPr>
              <w:jc w:val="center"/>
              <w:rPr>
                <w:sz w:val="20"/>
                <w:szCs w:val="20"/>
              </w:rPr>
            </w:pPr>
            <w:r w:rsidRPr="00F81CC9">
              <w:rPr>
                <w:sz w:val="20"/>
                <w:szCs w:val="20"/>
              </w:rPr>
              <w:t xml:space="preserve">Įstatinis kapitalas </w:t>
            </w:r>
            <w:r w:rsidR="00B51077" w:rsidRPr="00F81CC9">
              <w:rPr>
                <w:sz w:val="20"/>
                <w:szCs w:val="20"/>
              </w:rPr>
              <w:t>(Eur) prieš reorganizaciją</w:t>
            </w:r>
          </w:p>
        </w:tc>
        <w:tc>
          <w:tcPr>
            <w:tcW w:w="1699" w:type="dxa"/>
            <w:vAlign w:val="center"/>
          </w:tcPr>
          <w:p w14:paraId="771A657F" w14:textId="77777777" w:rsidR="00C55AB7" w:rsidRPr="00F81CC9" w:rsidRDefault="00B51077" w:rsidP="009C089D">
            <w:pPr>
              <w:jc w:val="center"/>
              <w:rPr>
                <w:sz w:val="20"/>
                <w:szCs w:val="20"/>
              </w:rPr>
            </w:pPr>
            <w:r w:rsidRPr="00F81CC9">
              <w:rPr>
                <w:sz w:val="20"/>
                <w:szCs w:val="20"/>
              </w:rPr>
              <w:t>Įstatinis kapitalas (Eur) po reorganizacijos</w:t>
            </w:r>
          </w:p>
        </w:tc>
        <w:tc>
          <w:tcPr>
            <w:tcW w:w="1953" w:type="dxa"/>
            <w:vAlign w:val="center"/>
          </w:tcPr>
          <w:p w14:paraId="771A6580" w14:textId="77777777" w:rsidR="00C55AB7" w:rsidRPr="00F81CC9" w:rsidRDefault="009C089D" w:rsidP="009C089D">
            <w:pPr>
              <w:jc w:val="center"/>
              <w:rPr>
                <w:sz w:val="20"/>
                <w:szCs w:val="20"/>
              </w:rPr>
            </w:pPr>
            <w:r w:rsidRPr="00F81CC9">
              <w:rPr>
                <w:sz w:val="20"/>
                <w:szCs w:val="20"/>
              </w:rPr>
              <w:t>Akcijų dalis priklausanti Savivaldybei (proc.) iki reorganizacijos</w:t>
            </w:r>
          </w:p>
        </w:tc>
        <w:tc>
          <w:tcPr>
            <w:tcW w:w="1682" w:type="dxa"/>
            <w:vAlign w:val="center"/>
          </w:tcPr>
          <w:p w14:paraId="771A6581" w14:textId="77777777" w:rsidR="00C55AB7" w:rsidRPr="00F81CC9" w:rsidRDefault="009C089D" w:rsidP="009C089D">
            <w:pPr>
              <w:jc w:val="center"/>
              <w:rPr>
                <w:sz w:val="20"/>
                <w:szCs w:val="20"/>
              </w:rPr>
            </w:pPr>
            <w:r w:rsidRPr="00F81CC9">
              <w:rPr>
                <w:sz w:val="20"/>
                <w:szCs w:val="20"/>
              </w:rPr>
              <w:t>Akcijų dalis priklausanti Savivaldybei (proc.) po reorganizacijos</w:t>
            </w:r>
          </w:p>
        </w:tc>
      </w:tr>
      <w:tr w:rsidR="00C55AB7" w:rsidRPr="00F81CC9" w14:paraId="771A6589" w14:textId="77777777" w:rsidTr="009C089D">
        <w:trPr>
          <w:trHeight w:val="309"/>
          <w:jc w:val="center"/>
        </w:trPr>
        <w:tc>
          <w:tcPr>
            <w:tcW w:w="556" w:type="dxa"/>
          </w:tcPr>
          <w:p w14:paraId="771A6583" w14:textId="77777777" w:rsidR="00C55AB7" w:rsidRPr="00F81CC9" w:rsidRDefault="00C55AB7" w:rsidP="00026DA2">
            <w:pPr>
              <w:jc w:val="both"/>
              <w:rPr>
                <w:sz w:val="20"/>
                <w:szCs w:val="20"/>
              </w:rPr>
            </w:pPr>
            <w:r w:rsidRPr="00F81CC9">
              <w:rPr>
                <w:sz w:val="20"/>
                <w:szCs w:val="20"/>
              </w:rPr>
              <w:t>1.</w:t>
            </w:r>
          </w:p>
        </w:tc>
        <w:tc>
          <w:tcPr>
            <w:tcW w:w="1922" w:type="dxa"/>
          </w:tcPr>
          <w:p w14:paraId="771A6584" w14:textId="77777777" w:rsidR="00C55AB7" w:rsidRPr="00F81CC9" w:rsidRDefault="00C55AB7" w:rsidP="00026DA2">
            <w:pPr>
              <w:rPr>
                <w:sz w:val="20"/>
                <w:szCs w:val="20"/>
              </w:rPr>
            </w:pPr>
            <w:r w:rsidRPr="00F81CC9">
              <w:rPr>
                <w:sz w:val="20"/>
                <w:szCs w:val="20"/>
              </w:rPr>
              <w:t>UAB „Senasis turgus“</w:t>
            </w:r>
          </w:p>
        </w:tc>
        <w:tc>
          <w:tcPr>
            <w:tcW w:w="1816" w:type="dxa"/>
            <w:vAlign w:val="center"/>
          </w:tcPr>
          <w:p w14:paraId="771A6585" w14:textId="77777777" w:rsidR="00C55AB7" w:rsidRPr="00F81CC9" w:rsidRDefault="00B51077" w:rsidP="00026DA2">
            <w:pPr>
              <w:jc w:val="center"/>
              <w:rPr>
                <w:sz w:val="20"/>
                <w:szCs w:val="20"/>
              </w:rPr>
            </w:pPr>
            <w:r w:rsidRPr="00F81CC9">
              <w:rPr>
                <w:sz w:val="20"/>
                <w:szCs w:val="20"/>
              </w:rPr>
              <w:t>1 731 880,00</w:t>
            </w:r>
          </w:p>
        </w:tc>
        <w:tc>
          <w:tcPr>
            <w:tcW w:w="1699" w:type="dxa"/>
            <w:vAlign w:val="center"/>
          </w:tcPr>
          <w:p w14:paraId="771A6586" w14:textId="77777777" w:rsidR="00C55AB7" w:rsidRPr="00F81CC9" w:rsidRDefault="009C089D" w:rsidP="00026DA2">
            <w:pPr>
              <w:jc w:val="center"/>
              <w:rPr>
                <w:sz w:val="20"/>
                <w:szCs w:val="20"/>
              </w:rPr>
            </w:pPr>
            <w:r w:rsidRPr="00F81CC9">
              <w:rPr>
                <w:sz w:val="20"/>
                <w:szCs w:val="20"/>
              </w:rPr>
              <w:t>x</w:t>
            </w:r>
          </w:p>
        </w:tc>
        <w:tc>
          <w:tcPr>
            <w:tcW w:w="1953" w:type="dxa"/>
            <w:vAlign w:val="center"/>
          </w:tcPr>
          <w:p w14:paraId="771A6587" w14:textId="77777777" w:rsidR="00C55AB7" w:rsidRPr="00F81CC9" w:rsidRDefault="009C089D" w:rsidP="00026DA2">
            <w:pPr>
              <w:jc w:val="center"/>
              <w:rPr>
                <w:color w:val="000000"/>
                <w:sz w:val="20"/>
                <w:szCs w:val="20"/>
              </w:rPr>
            </w:pPr>
            <w:r w:rsidRPr="00F81CC9">
              <w:rPr>
                <w:color w:val="000000"/>
                <w:sz w:val="20"/>
                <w:szCs w:val="20"/>
              </w:rPr>
              <w:t>100</w:t>
            </w:r>
          </w:p>
        </w:tc>
        <w:tc>
          <w:tcPr>
            <w:tcW w:w="1682" w:type="dxa"/>
            <w:vAlign w:val="center"/>
          </w:tcPr>
          <w:p w14:paraId="771A6588" w14:textId="77777777" w:rsidR="00C55AB7" w:rsidRPr="00F81CC9" w:rsidRDefault="009C089D" w:rsidP="00026DA2">
            <w:pPr>
              <w:jc w:val="center"/>
              <w:rPr>
                <w:color w:val="000000"/>
                <w:sz w:val="20"/>
                <w:szCs w:val="20"/>
              </w:rPr>
            </w:pPr>
            <w:r w:rsidRPr="00F81CC9">
              <w:rPr>
                <w:color w:val="000000"/>
                <w:sz w:val="20"/>
                <w:szCs w:val="20"/>
              </w:rPr>
              <w:t>x</w:t>
            </w:r>
          </w:p>
        </w:tc>
      </w:tr>
      <w:tr w:rsidR="00C55AB7" w:rsidRPr="00F81CC9" w14:paraId="771A6590" w14:textId="77777777" w:rsidTr="009C089D">
        <w:trPr>
          <w:trHeight w:val="401"/>
          <w:jc w:val="center"/>
        </w:trPr>
        <w:tc>
          <w:tcPr>
            <w:tcW w:w="556" w:type="dxa"/>
          </w:tcPr>
          <w:p w14:paraId="771A658A" w14:textId="77777777" w:rsidR="00C55AB7" w:rsidRPr="00F81CC9" w:rsidRDefault="00C55AB7" w:rsidP="00026DA2">
            <w:pPr>
              <w:jc w:val="both"/>
              <w:rPr>
                <w:sz w:val="20"/>
                <w:szCs w:val="20"/>
              </w:rPr>
            </w:pPr>
            <w:r w:rsidRPr="00F81CC9">
              <w:rPr>
                <w:sz w:val="20"/>
                <w:szCs w:val="20"/>
              </w:rPr>
              <w:t>2.</w:t>
            </w:r>
          </w:p>
        </w:tc>
        <w:tc>
          <w:tcPr>
            <w:tcW w:w="1922" w:type="dxa"/>
          </w:tcPr>
          <w:p w14:paraId="771A658B" w14:textId="77777777" w:rsidR="00C55AB7" w:rsidRPr="00F81CC9" w:rsidRDefault="00C55AB7" w:rsidP="00026DA2">
            <w:pPr>
              <w:rPr>
                <w:sz w:val="20"/>
                <w:szCs w:val="20"/>
              </w:rPr>
            </w:pPr>
            <w:r w:rsidRPr="00F81CC9">
              <w:rPr>
                <w:sz w:val="20"/>
                <w:szCs w:val="20"/>
              </w:rPr>
              <w:t>UAB „Naujasis turgus“</w:t>
            </w:r>
          </w:p>
        </w:tc>
        <w:tc>
          <w:tcPr>
            <w:tcW w:w="1816" w:type="dxa"/>
            <w:vAlign w:val="center"/>
          </w:tcPr>
          <w:p w14:paraId="771A658C" w14:textId="77777777" w:rsidR="00C55AB7" w:rsidRPr="00F81CC9" w:rsidRDefault="00B51077" w:rsidP="00026DA2">
            <w:pPr>
              <w:jc w:val="center"/>
              <w:rPr>
                <w:sz w:val="20"/>
                <w:szCs w:val="20"/>
              </w:rPr>
            </w:pPr>
            <w:r w:rsidRPr="00F81CC9">
              <w:rPr>
                <w:sz w:val="20"/>
                <w:szCs w:val="20"/>
              </w:rPr>
              <w:t>1 996 623,32</w:t>
            </w:r>
          </w:p>
        </w:tc>
        <w:tc>
          <w:tcPr>
            <w:tcW w:w="1699" w:type="dxa"/>
            <w:vAlign w:val="center"/>
          </w:tcPr>
          <w:p w14:paraId="771A658D" w14:textId="77777777" w:rsidR="00C55AB7" w:rsidRPr="00F81CC9" w:rsidRDefault="009C089D" w:rsidP="00026DA2">
            <w:pPr>
              <w:jc w:val="center"/>
              <w:rPr>
                <w:sz w:val="20"/>
                <w:szCs w:val="20"/>
              </w:rPr>
            </w:pPr>
            <w:r w:rsidRPr="00F81CC9">
              <w:rPr>
                <w:sz w:val="20"/>
                <w:szCs w:val="20"/>
              </w:rPr>
              <w:t>3 728 503,32</w:t>
            </w:r>
          </w:p>
        </w:tc>
        <w:tc>
          <w:tcPr>
            <w:tcW w:w="1953" w:type="dxa"/>
            <w:vAlign w:val="center"/>
          </w:tcPr>
          <w:p w14:paraId="771A658E" w14:textId="77777777" w:rsidR="00C55AB7" w:rsidRPr="00F81CC9" w:rsidRDefault="009C089D" w:rsidP="00026DA2">
            <w:pPr>
              <w:jc w:val="center"/>
              <w:rPr>
                <w:color w:val="000000"/>
                <w:sz w:val="20"/>
                <w:szCs w:val="20"/>
              </w:rPr>
            </w:pPr>
            <w:r w:rsidRPr="00F81CC9">
              <w:rPr>
                <w:color w:val="000000"/>
                <w:sz w:val="20"/>
                <w:szCs w:val="20"/>
              </w:rPr>
              <w:t>100</w:t>
            </w:r>
          </w:p>
        </w:tc>
        <w:tc>
          <w:tcPr>
            <w:tcW w:w="1682" w:type="dxa"/>
            <w:vAlign w:val="center"/>
          </w:tcPr>
          <w:p w14:paraId="771A658F" w14:textId="77777777" w:rsidR="00C55AB7" w:rsidRPr="00F81CC9" w:rsidRDefault="009C089D" w:rsidP="00026DA2">
            <w:pPr>
              <w:jc w:val="center"/>
              <w:rPr>
                <w:color w:val="000000"/>
                <w:sz w:val="20"/>
                <w:szCs w:val="20"/>
              </w:rPr>
            </w:pPr>
            <w:r w:rsidRPr="00F81CC9">
              <w:rPr>
                <w:color w:val="000000"/>
                <w:sz w:val="20"/>
                <w:szCs w:val="20"/>
              </w:rPr>
              <w:t>100</w:t>
            </w:r>
          </w:p>
        </w:tc>
      </w:tr>
    </w:tbl>
    <w:p w14:paraId="771A6591" w14:textId="77777777" w:rsidR="00F81CC9" w:rsidRDefault="00F81CC9" w:rsidP="009C089D">
      <w:pPr>
        <w:ind w:firstLine="720"/>
        <w:jc w:val="both"/>
        <w:rPr>
          <w:b/>
          <w:i/>
        </w:rPr>
      </w:pPr>
    </w:p>
    <w:p w14:paraId="771A6592" w14:textId="77777777" w:rsidR="005C01F5" w:rsidRPr="00DF1A8A" w:rsidRDefault="005C01F5" w:rsidP="009C089D">
      <w:pPr>
        <w:ind w:firstLine="720"/>
        <w:jc w:val="both"/>
      </w:pPr>
      <w:r w:rsidRPr="00B41FB3">
        <w:rPr>
          <w:b/>
          <w:i/>
        </w:rPr>
        <w:t xml:space="preserve">Optimalus reorganizacijos įgyvendinimo terminas nuo 6 iki 12 mėn. </w:t>
      </w:r>
    </w:p>
    <w:p w14:paraId="771A6593" w14:textId="77777777" w:rsidR="005C01F5" w:rsidRPr="005C01F5" w:rsidRDefault="005C01F5" w:rsidP="00AA554D">
      <w:pPr>
        <w:ind w:firstLine="720"/>
        <w:jc w:val="both"/>
        <w:rPr>
          <w:color w:val="000000"/>
        </w:rPr>
      </w:pPr>
    </w:p>
    <w:p w14:paraId="771A6594" w14:textId="77777777" w:rsidR="00844D74" w:rsidRDefault="00844D74" w:rsidP="00844D74">
      <w:pPr>
        <w:ind w:firstLine="720"/>
        <w:jc w:val="both"/>
        <w:rPr>
          <w:b/>
        </w:rPr>
      </w:pPr>
      <w:r>
        <w:rPr>
          <w:b/>
        </w:rPr>
        <w:t>3. Kokių rezultatų laukiama.</w:t>
      </w:r>
    </w:p>
    <w:p w14:paraId="771A6595" w14:textId="77777777" w:rsidR="00D2402D" w:rsidRPr="00D2402D" w:rsidRDefault="000304FA" w:rsidP="00576CD4">
      <w:pPr>
        <w:ind w:firstLine="709"/>
        <w:jc w:val="both"/>
      </w:pPr>
      <w:r>
        <w:t>O</w:t>
      </w:r>
      <w:r w:rsidR="00576CD4">
        <w:t>ptimizuoti ir efektyvinti Savivaldybės valdomų bendrovių veiklą, užtikrinti efektyvų ir racionalų savivaldybės turto naudojimą, siekti visuomeninės naudos.</w:t>
      </w:r>
    </w:p>
    <w:p w14:paraId="771A6596" w14:textId="77777777" w:rsidR="00844D74" w:rsidRPr="001E1CC9" w:rsidRDefault="00844D74" w:rsidP="00844D74">
      <w:pPr>
        <w:ind w:firstLine="720"/>
        <w:jc w:val="both"/>
        <w:rPr>
          <w:b/>
        </w:rPr>
      </w:pPr>
      <w:r>
        <w:rPr>
          <w:b/>
        </w:rPr>
        <w:t>4. Sprendimo  projekto rengimo metu gauti specialistų vertinimai.</w:t>
      </w:r>
    </w:p>
    <w:p w14:paraId="771A6597" w14:textId="77777777" w:rsidR="00844D74" w:rsidRDefault="00DF1A8A" w:rsidP="00844D74">
      <w:pPr>
        <w:ind w:firstLine="720"/>
        <w:jc w:val="both"/>
      </w:pPr>
      <w:r>
        <w:t>-</w:t>
      </w:r>
    </w:p>
    <w:p w14:paraId="771A6598" w14:textId="77777777" w:rsidR="00844D74" w:rsidRPr="001E1CC9" w:rsidRDefault="00844D74" w:rsidP="00844D74">
      <w:pPr>
        <w:ind w:firstLine="720"/>
        <w:jc w:val="both"/>
        <w:rPr>
          <w:b/>
        </w:rPr>
      </w:pPr>
      <w:r>
        <w:rPr>
          <w:b/>
        </w:rPr>
        <w:t>5. Lėšų poreikis sprendimo įgyvendinimui.</w:t>
      </w:r>
    </w:p>
    <w:p w14:paraId="771A6599" w14:textId="77777777" w:rsidR="00844D74" w:rsidRDefault="00844D74" w:rsidP="00844D74">
      <w:pPr>
        <w:ind w:firstLine="720"/>
        <w:jc w:val="both"/>
      </w:pPr>
      <w:r>
        <w:t>Šio sprendimo įgyvendinimui papildomų lėšų nenumatoma.</w:t>
      </w:r>
    </w:p>
    <w:p w14:paraId="771A659A" w14:textId="77777777" w:rsidR="00844D74" w:rsidRPr="001E1CC9" w:rsidRDefault="00844D74" w:rsidP="00844D74">
      <w:pPr>
        <w:ind w:firstLine="720"/>
        <w:jc w:val="both"/>
        <w:rPr>
          <w:b/>
        </w:rPr>
      </w:pPr>
      <w:r>
        <w:rPr>
          <w:b/>
        </w:rPr>
        <w:t>6. Galimos teigiamos ar neigiamos sprendimo priėmimo pasekmės.</w:t>
      </w:r>
    </w:p>
    <w:p w14:paraId="771A659B" w14:textId="77777777" w:rsidR="00844D74" w:rsidRDefault="00844D74" w:rsidP="00844D74">
      <w:pPr>
        <w:ind w:firstLine="720"/>
        <w:jc w:val="both"/>
      </w:pPr>
      <w:r>
        <w:t>Įgyvendinant šį sprendimą neigiamų pasekmių nenum</w:t>
      </w:r>
      <w:r w:rsidR="001B12D8">
        <w:t xml:space="preserve">atoma, teigiamos pasekmės – </w:t>
      </w:r>
      <w:r w:rsidR="00DF1A8A">
        <w:t>S</w:t>
      </w:r>
      <w:r w:rsidR="00E11233">
        <w:t xml:space="preserve">avivaldybės </w:t>
      </w:r>
      <w:r w:rsidR="000304FA">
        <w:t>valdomų bendrovių</w:t>
      </w:r>
      <w:r w:rsidR="00E11233">
        <w:t xml:space="preserve"> veiklos optimizavimas</w:t>
      </w:r>
      <w:r w:rsidR="000304FA">
        <w:t xml:space="preserve"> ir efektyvinimas,</w:t>
      </w:r>
      <w:r w:rsidR="00E11233">
        <w:t xml:space="preserve"> </w:t>
      </w:r>
      <w:r w:rsidR="000304FA">
        <w:t xml:space="preserve">efektyvus </w:t>
      </w:r>
      <w:r w:rsidR="006F6E40">
        <w:t xml:space="preserve">ir racionalus </w:t>
      </w:r>
      <w:r w:rsidR="00E11233">
        <w:t>savivaldybės turto naudojimo užtikrinimas</w:t>
      </w:r>
      <w:r w:rsidR="000304FA">
        <w:t>, visuomeninės naudos siekimas</w:t>
      </w:r>
      <w:r w:rsidR="00E11233">
        <w:t xml:space="preserve">. </w:t>
      </w:r>
    </w:p>
    <w:p w14:paraId="771A659C" w14:textId="77777777" w:rsidR="00BE32CB" w:rsidRDefault="00844D74" w:rsidP="005C0E57">
      <w:pPr>
        <w:spacing w:line="360" w:lineRule="auto"/>
        <w:ind w:firstLine="720"/>
        <w:jc w:val="both"/>
      </w:pPr>
      <w:r w:rsidRPr="00175E51">
        <w:t>Teikiame svarstyti šį sprendimo projektą.</w:t>
      </w:r>
    </w:p>
    <w:p w14:paraId="771A659D" w14:textId="77777777" w:rsidR="004B3286" w:rsidRDefault="004B3286" w:rsidP="005C0E57">
      <w:pPr>
        <w:jc w:val="both"/>
      </w:pPr>
    </w:p>
    <w:p w14:paraId="771A659E" w14:textId="77777777" w:rsidR="00B36694" w:rsidRDefault="00B36694" w:rsidP="005C0E57">
      <w:pPr>
        <w:jc w:val="both"/>
      </w:pPr>
    </w:p>
    <w:p w14:paraId="771A659F" w14:textId="77777777"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A65A2" w14:textId="77777777" w:rsidR="007B267F" w:rsidRDefault="007B267F" w:rsidP="00AF1286">
      <w:r>
        <w:separator/>
      </w:r>
    </w:p>
  </w:endnote>
  <w:endnote w:type="continuationSeparator" w:id="0">
    <w:p w14:paraId="771A65A3" w14:textId="77777777" w:rsidR="007B267F" w:rsidRDefault="007B267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A65A0" w14:textId="77777777" w:rsidR="007B267F" w:rsidRDefault="007B267F" w:rsidP="00AF1286">
      <w:r>
        <w:separator/>
      </w:r>
    </w:p>
  </w:footnote>
  <w:footnote w:type="continuationSeparator" w:id="0">
    <w:p w14:paraId="771A65A1" w14:textId="77777777" w:rsidR="007B267F" w:rsidRDefault="007B267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771A65A4" w14:textId="77777777" w:rsidR="00AF1286" w:rsidRDefault="00AF1286" w:rsidP="005E612A">
        <w:pPr>
          <w:pStyle w:val="Antrats"/>
          <w:jc w:val="center"/>
        </w:pPr>
        <w:r>
          <w:fldChar w:fldCharType="begin"/>
        </w:r>
        <w:r>
          <w:instrText>PAGE   \* MERGEFORMAT</w:instrText>
        </w:r>
        <w:r>
          <w:fldChar w:fldCharType="separate"/>
        </w:r>
        <w:r w:rsidR="00235C4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7BA"/>
    <w:multiLevelType w:val="hybridMultilevel"/>
    <w:tmpl w:val="58422D0A"/>
    <w:lvl w:ilvl="0" w:tplc="1DC8C822">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DDC1D60"/>
    <w:multiLevelType w:val="hybridMultilevel"/>
    <w:tmpl w:val="5ACE1ADC"/>
    <w:lvl w:ilvl="0" w:tplc="D38079EC">
      <w:start w:val="1"/>
      <w:numFmt w:val="bullet"/>
      <w:lvlText w:val="•"/>
      <w:lvlJc w:val="left"/>
      <w:pPr>
        <w:tabs>
          <w:tab w:val="num" w:pos="720"/>
        </w:tabs>
        <w:ind w:left="720" w:hanging="360"/>
      </w:pPr>
      <w:rPr>
        <w:rFonts w:ascii="Arial" w:hAnsi="Arial" w:hint="default"/>
      </w:rPr>
    </w:lvl>
    <w:lvl w:ilvl="1" w:tplc="EC68D224" w:tentative="1">
      <w:start w:val="1"/>
      <w:numFmt w:val="bullet"/>
      <w:lvlText w:val="•"/>
      <w:lvlJc w:val="left"/>
      <w:pPr>
        <w:tabs>
          <w:tab w:val="num" w:pos="1440"/>
        </w:tabs>
        <w:ind w:left="1440" w:hanging="360"/>
      </w:pPr>
      <w:rPr>
        <w:rFonts w:ascii="Arial" w:hAnsi="Arial" w:hint="default"/>
      </w:rPr>
    </w:lvl>
    <w:lvl w:ilvl="2" w:tplc="62609982" w:tentative="1">
      <w:start w:val="1"/>
      <w:numFmt w:val="bullet"/>
      <w:lvlText w:val="•"/>
      <w:lvlJc w:val="left"/>
      <w:pPr>
        <w:tabs>
          <w:tab w:val="num" w:pos="2160"/>
        </w:tabs>
        <w:ind w:left="2160" w:hanging="360"/>
      </w:pPr>
      <w:rPr>
        <w:rFonts w:ascii="Arial" w:hAnsi="Arial" w:hint="default"/>
      </w:rPr>
    </w:lvl>
    <w:lvl w:ilvl="3" w:tplc="A4CA67BA" w:tentative="1">
      <w:start w:val="1"/>
      <w:numFmt w:val="bullet"/>
      <w:lvlText w:val="•"/>
      <w:lvlJc w:val="left"/>
      <w:pPr>
        <w:tabs>
          <w:tab w:val="num" w:pos="2880"/>
        </w:tabs>
        <w:ind w:left="2880" w:hanging="360"/>
      </w:pPr>
      <w:rPr>
        <w:rFonts w:ascii="Arial" w:hAnsi="Arial" w:hint="default"/>
      </w:rPr>
    </w:lvl>
    <w:lvl w:ilvl="4" w:tplc="E9A4E278" w:tentative="1">
      <w:start w:val="1"/>
      <w:numFmt w:val="bullet"/>
      <w:lvlText w:val="•"/>
      <w:lvlJc w:val="left"/>
      <w:pPr>
        <w:tabs>
          <w:tab w:val="num" w:pos="3600"/>
        </w:tabs>
        <w:ind w:left="3600" w:hanging="360"/>
      </w:pPr>
      <w:rPr>
        <w:rFonts w:ascii="Arial" w:hAnsi="Arial" w:hint="default"/>
      </w:rPr>
    </w:lvl>
    <w:lvl w:ilvl="5" w:tplc="9B1868AC" w:tentative="1">
      <w:start w:val="1"/>
      <w:numFmt w:val="bullet"/>
      <w:lvlText w:val="•"/>
      <w:lvlJc w:val="left"/>
      <w:pPr>
        <w:tabs>
          <w:tab w:val="num" w:pos="4320"/>
        </w:tabs>
        <w:ind w:left="4320" w:hanging="360"/>
      </w:pPr>
      <w:rPr>
        <w:rFonts w:ascii="Arial" w:hAnsi="Arial" w:hint="default"/>
      </w:rPr>
    </w:lvl>
    <w:lvl w:ilvl="6" w:tplc="F5985E28" w:tentative="1">
      <w:start w:val="1"/>
      <w:numFmt w:val="bullet"/>
      <w:lvlText w:val="•"/>
      <w:lvlJc w:val="left"/>
      <w:pPr>
        <w:tabs>
          <w:tab w:val="num" w:pos="5040"/>
        </w:tabs>
        <w:ind w:left="5040" w:hanging="360"/>
      </w:pPr>
      <w:rPr>
        <w:rFonts w:ascii="Arial" w:hAnsi="Arial" w:hint="default"/>
      </w:rPr>
    </w:lvl>
    <w:lvl w:ilvl="7" w:tplc="7A56D416" w:tentative="1">
      <w:start w:val="1"/>
      <w:numFmt w:val="bullet"/>
      <w:lvlText w:val="•"/>
      <w:lvlJc w:val="left"/>
      <w:pPr>
        <w:tabs>
          <w:tab w:val="num" w:pos="5760"/>
        </w:tabs>
        <w:ind w:left="5760" w:hanging="360"/>
      </w:pPr>
      <w:rPr>
        <w:rFonts w:ascii="Arial" w:hAnsi="Arial" w:hint="default"/>
      </w:rPr>
    </w:lvl>
    <w:lvl w:ilvl="8" w:tplc="CC7C32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4B5DE5"/>
    <w:multiLevelType w:val="hybridMultilevel"/>
    <w:tmpl w:val="AF5E312E"/>
    <w:lvl w:ilvl="0" w:tplc="FE5EF93C">
      <w:start w:val="1"/>
      <w:numFmt w:val="bullet"/>
      <w:lvlText w:val="•"/>
      <w:lvlJc w:val="left"/>
      <w:pPr>
        <w:tabs>
          <w:tab w:val="num" w:pos="720"/>
        </w:tabs>
        <w:ind w:left="720" w:hanging="360"/>
      </w:pPr>
      <w:rPr>
        <w:rFonts w:ascii="Arial" w:hAnsi="Arial" w:hint="default"/>
      </w:rPr>
    </w:lvl>
    <w:lvl w:ilvl="1" w:tplc="2D0CAD8C" w:tentative="1">
      <w:start w:val="1"/>
      <w:numFmt w:val="bullet"/>
      <w:lvlText w:val="•"/>
      <w:lvlJc w:val="left"/>
      <w:pPr>
        <w:tabs>
          <w:tab w:val="num" w:pos="1440"/>
        </w:tabs>
        <w:ind w:left="1440" w:hanging="360"/>
      </w:pPr>
      <w:rPr>
        <w:rFonts w:ascii="Arial" w:hAnsi="Arial" w:hint="default"/>
      </w:rPr>
    </w:lvl>
    <w:lvl w:ilvl="2" w:tplc="814E2E7A" w:tentative="1">
      <w:start w:val="1"/>
      <w:numFmt w:val="bullet"/>
      <w:lvlText w:val="•"/>
      <w:lvlJc w:val="left"/>
      <w:pPr>
        <w:tabs>
          <w:tab w:val="num" w:pos="2160"/>
        </w:tabs>
        <w:ind w:left="2160" w:hanging="360"/>
      </w:pPr>
      <w:rPr>
        <w:rFonts w:ascii="Arial" w:hAnsi="Arial" w:hint="default"/>
      </w:rPr>
    </w:lvl>
    <w:lvl w:ilvl="3" w:tplc="8316778E" w:tentative="1">
      <w:start w:val="1"/>
      <w:numFmt w:val="bullet"/>
      <w:lvlText w:val="•"/>
      <w:lvlJc w:val="left"/>
      <w:pPr>
        <w:tabs>
          <w:tab w:val="num" w:pos="2880"/>
        </w:tabs>
        <w:ind w:left="2880" w:hanging="360"/>
      </w:pPr>
      <w:rPr>
        <w:rFonts w:ascii="Arial" w:hAnsi="Arial" w:hint="default"/>
      </w:rPr>
    </w:lvl>
    <w:lvl w:ilvl="4" w:tplc="1DA6B8E4" w:tentative="1">
      <w:start w:val="1"/>
      <w:numFmt w:val="bullet"/>
      <w:lvlText w:val="•"/>
      <w:lvlJc w:val="left"/>
      <w:pPr>
        <w:tabs>
          <w:tab w:val="num" w:pos="3600"/>
        </w:tabs>
        <w:ind w:left="3600" w:hanging="360"/>
      </w:pPr>
      <w:rPr>
        <w:rFonts w:ascii="Arial" w:hAnsi="Arial" w:hint="default"/>
      </w:rPr>
    </w:lvl>
    <w:lvl w:ilvl="5" w:tplc="B5BED854" w:tentative="1">
      <w:start w:val="1"/>
      <w:numFmt w:val="bullet"/>
      <w:lvlText w:val="•"/>
      <w:lvlJc w:val="left"/>
      <w:pPr>
        <w:tabs>
          <w:tab w:val="num" w:pos="4320"/>
        </w:tabs>
        <w:ind w:left="4320" w:hanging="360"/>
      </w:pPr>
      <w:rPr>
        <w:rFonts w:ascii="Arial" w:hAnsi="Arial" w:hint="default"/>
      </w:rPr>
    </w:lvl>
    <w:lvl w:ilvl="6" w:tplc="9C445160" w:tentative="1">
      <w:start w:val="1"/>
      <w:numFmt w:val="bullet"/>
      <w:lvlText w:val="•"/>
      <w:lvlJc w:val="left"/>
      <w:pPr>
        <w:tabs>
          <w:tab w:val="num" w:pos="5040"/>
        </w:tabs>
        <w:ind w:left="5040" w:hanging="360"/>
      </w:pPr>
      <w:rPr>
        <w:rFonts w:ascii="Arial" w:hAnsi="Arial" w:hint="default"/>
      </w:rPr>
    </w:lvl>
    <w:lvl w:ilvl="7" w:tplc="23DABA60" w:tentative="1">
      <w:start w:val="1"/>
      <w:numFmt w:val="bullet"/>
      <w:lvlText w:val="•"/>
      <w:lvlJc w:val="left"/>
      <w:pPr>
        <w:tabs>
          <w:tab w:val="num" w:pos="5760"/>
        </w:tabs>
        <w:ind w:left="5760" w:hanging="360"/>
      </w:pPr>
      <w:rPr>
        <w:rFonts w:ascii="Arial" w:hAnsi="Arial" w:hint="default"/>
      </w:rPr>
    </w:lvl>
    <w:lvl w:ilvl="8" w:tplc="8C066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E57417"/>
    <w:multiLevelType w:val="hybridMultilevel"/>
    <w:tmpl w:val="BE5A18E0"/>
    <w:lvl w:ilvl="0" w:tplc="8FF2A2DC">
      <w:start w:val="1"/>
      <w:numFmt w:val="bullet"/>
      <w:lvlText w:val="•"/>
      <w:lvlJc w:val="left"/>
      <w:pPr>
        <w:tabs>
          <w:tab w:val="num" w:pos="720"/>
        </w:tabs>
        <w:ind w:left="720" w:hanging="360"/>
      </w:pPr>
      <w:rPr>
        <w:rFonts w:ascii="Arial" w:hAnsi="Arial" w:hint="default"/>
      </w:rPr>
    </w:lvl>
    <w:lvl w:ilvl="1" w:tplc="71C4FC64" w:tentative="1">
      <w:start w:val="1"/>
      <w:numFmt w:val="bullet"/>
      <w:lvlText w:val="•"/>
      <w:lvlJc w:val="left"/>
      <w:pPr>
        <w:tabs>
          <w:tab w:val="num" w:pos="1440"/>
        </w:tabs>
        <w:ind w:left="1440" w:hanging="360"/>
      </w:pPr>
      <w:rPr>
        <w:rFonts w:ascii="Arial" w:hAnsi="Arial" w:hint="default"/>
      </w:rPr>
    </w:lvl>
    <w:lvl w:ilvl="2" w:tplc="271E3100" w:tentative="1">
      <w:start w:val="1"/>
      <w:numFmt w:val="bullet"/>
      <w:lvlText w:val="•"/>
      <w:lvlJc w:val="left"/>
      <w:pPr>
        <w:tabs>
          <w:tab w:val="num" w:pos="2160"/>
        </w:tabs>
        <w:ind w:left="2160" w:hanging="360"/>
      </w:pPr>
      <w:rPr>
        <w:rFonts w:ascii="Arial" w:hAnsi="Arial" w:hint="default"/>
      </w:rPr>
    </w:lvl>
    <w:lvl w:ilvl="3" w:tplc="1C4C0CCC" w:tentative="1">
      <w:start w:val="1"/>
      <w:numFmt w:val="bullet"/>
      <w:lvlText w:val="•"/>
      <w:lvlJc w:val="left"/>
      <w:pPr>
        <w:tabs>
          <w:tab w:val="num" w:pos="2880"/>
        </w:tabs>
        <w:ind w:left="2880" w:hanging="360"/>
      </w:pPr>
      <w:rPr>
        <w:rFonts w:ascii="Arial" w:hAnsi="Arial" w:hint="default"/>
      </w:rPr>
    </w:lvl>
    <w:lvl w:ilvl="4" w:tplc="3B84BA50" w:tentative="1">
      <w:start w:val="1"/>
      <w:numFmt w:val="bullet"/>
      <w:lvlText w:val="•"/>
      <w:lvlJc w:val="left"/>
      <w:pPr>
        <w:tabs>
          <w:tab w:val="num" w:pos="3600"/>
        </w:tabs>
        <w:ind w:left="3600" w:hanging="360"/>
      </w:pPr>
      <w:rPr>
        <w:rFonts w:ascii="Arial" w:hAnsi="Arial" w:hint="default"/>
      </w:rPr>
    </w:lvl>
    <w:lvl w:ilvl="5" w:tplc="405A3D84" w:tentative="1">
      <w:start w:val="1"/>
      <w:numFmt w:val="bullet"/>
      <w:lvlText w:val="•"/>
      <w:lvlJc w:val="left"/>
      <w:pPr>
        <w:tabs>
          <w:tab w:val="num" w:pos="4320"/>
        </w:tabs>
        <w:ind w:left="4320" w:hanging="360"/>
      </w:pPr>
      <w:rPr>
        <w:rFonts w:ascii="Arial" w:hAnsi="Arial" w:hint="default"/>
      </w:rPr>
    </w:lvl>
    <w:lvl w:ilvl="6" w:tplc="523C2220" w:tentative="1">
      <w:start w:val="1"/>
      <w:numFmt w:val="bullet"/>
      <w:lvlText w:val="•"/>
      <w:lvlJc w:val="left"/>
      <w:pPr>
        <w:tabs>
          <w:tab w:val="num" w:pos="5040"/>
        </w:tabs>
        <w:ind w:left="5040" w:hanging="360"/>
      </w:pPr>
      <w:rPr>
        <w:rFonts w:ascii="Arial" w:hAnsi="Arial" w:hint="default"/>
      </w:rPr>
    </w:lvl>
    <w:lvl w:ilvl="7" w:tplc="AFDC2336" w:tentative="1">
      <w:start w:val="1"/>
      <w:numFmt w:val="bullet"/>
      <w:lvlText w:val="•"/>
      <w:lvlJc w:val="left"/>
      <w:pPr>
        <w:tabs>
          <w:tab w:val="num" w:pos="5760"/>
        </w:tabs>
        <w:ind w:left="5760" w:hanging="360"/>
      </w:pPr>
      <w:rPr>
        <w:rFonts w:ascii="Arial" w:hAnsi="Arial" w:hint="default"/>
      </w:rPr>
    </w:lvl>
    <w:lvl w:ilvl="8" w:tplc="40FA22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AF5377"/>
    <w:multiLevelType w:val="hybridMultilevel"/>
    <w:tmpl w:val="9E2A1D28"/>
    <w:lvl w:ilvl="0" w:tplc="DEF638C4">
      <w:start w:val="1"/>
      <w:numFmt w:val="bullet"/>
      <w:lvlText w:val="•"/>
      <w:lvlJc w:val="left"/>
      <w:pPr>
        <w:tabs>
          <w:tab w:val="num" w:pos="720"/>
        </w:tabs>
        <w:ind w:left="720" w:hanging="360"/>
      </w:pPr>
      <w:rPr>
        <w:rFonts w:ascii="Arial" w:hAnsi="Arial" w:hint="default"/>
      </w:rPr>
    </w:lvl>
    <w:lvl w:ilvl="1" w:tplc="02A6F7EE" w:tentative="1">
      <w:start w:val="1"/>
      <w:numFmt w:val="bullet"/>
      <w:lvlText w:val="•"/>
      <w:lvlJc w:val="left"/>
      <w:pPr>
        <w:tabs>
          <w:tab w:val="num" w:pos="1440"/>
        </w:tabs>
        <w:ind w:left="1440" w:hanging="360"/>
      </w:pPr>
      <w:rPr>
        <w:rFonts w:ascii="Arial" w:hAnsi="Arial" w:hint="default"/>
      </w:rPr>
    </w:lvl>
    <w:lvl w:ilvl="2" w:tplc="12D037FE" w:tentative="1">
      <w:start w:val="1"/>
      <w:numFmt w:val="bullet"/>
      <w:lvlText w:val="•"/>
      <w:lvlJc w:val="left"/>
      <w:pPr>
        <w:tabs>
          <w:tab w:val="num" w:pos="2160"/>
        </w:tabs>
        <w:ind w:left="2160" w:hanging="360"/>
      </w:pPr>
      <w:rPr>
        <w:rFonts w:ascii="Arial" w:hAnsi="Arial" w:hint="default"/>
      </w:rPr>
    </w:lvl>
    <w:lvl w:ilvl="3" w:tplc="5C1E83BA" w:tentative="1">
      <w:start w:val="1"/>
      <w:numFmt w:val="bullet"/>
      <w:lvlText w:val="•"/>
      <w:lvlJc w:val="left"/>
      <w:pPr>
        <w:tabs>
          <w:tab w:val="num" w:pos="2880"/>
        </w:tabs>
        <w:ind w:left="2880" w:hanging="360"/>
      </w:pPr>
      <w:rPr>
        <w:rFonts w:ascii="Arial" w:hAnsi="Arial" w:hint="default"/>
      </w:rPr>
    </w:lvl>
    <w:lvl w:ilvl="4" w:tplc="0794FB86" w:tentative="1">
      <w:start w:val="1"/>
      <w:numFmt w:val="bullet"/>
      <w:lvlText w:val="•"/>
      <w:lvlJc w:val="left"/>
      <w:pPr>
        <w:tabs>
          <w:tab w:val="num" w:pos="3600"/>
        </w:tabs>
        <w:ind w:left="3600" w:hanging="360"/>
      </w:pPr>
      <w:rPr>
        <w:rFonts w:ascii="Arial" w:hAnsi="Arial" w:hint="default"/>
      </w:rPr>
    </w:lvl>
    <w:lvl w:ilvl="5" w:tplc="DB54ACA0" w:tentative="1">
      <w:start w:val="1"/>
      <w:numFmt w:val="bullet"/>
      <w:lvlText w:val="•"/>
      <w:lvlJc w:val="left"/>
      <w:pPr>
        <w:tabs>
          <w:tab w:val="num" w:pos="4320"/>
        </w:tabs>
        <w:ind w:left="4320" w:hanging="360"/>
      </w:pPr>
      <w:rPr>
        <w:rFonts w:ascii="Arial" w:hAnsi="Arial" w:hint="default"/>
      </w:rPr>
    </w:lvl>
    <w:lvl w:ilvl="6" w:tplc="16B4706C" w:tentative="1">
      <w:start w:val="1"/>
      <w:numFmt w:val="bullet"/>
      <w:lvlText w:val="•"/>
      <w:lvlJc w:val="left"/>
      <w:pPr>
        <w:tabs>
          <w:tab w:val="num" w:pos="5040"/>
        </w:tabs>
        <w:ind w:left="5040" w:hanging="360"/>
      </w:pPr>
      <w:rPr>
        <w:rFonts w:ascii="Arial" w:hAnsi="Arial" w:hint="default"/>
      </w:rPr>
    </w:lvl>
    <w:lvl w:ilvl="7" w:tplc="3D009826" w:tentative="1">
      <w:start w:val="1"/>
      <w:numFmt w:val="bullet"/>
      <w:lvlText w:val="•"/>
      <w:lvlJc w:val="left"/>
      <w:pPr>
        <w:tabs>
          <w:tab w:val="num" w:pos="5760"/>
        </w:tabs>
        <w:ind w:left="5760" w:hanging="360"/>
      </w:pPr>
      <w:rPr>
        <w:rFonts w:ascii="Arial" w:hAnsi="Arial" w:hint="default"/>
      </w:rPr>
    </w:lvl>
    <w:lvl w:ilvl="8" w:tplc="7C10DD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987DCA"/>
    <w:multiLevelType w:val="hybridMultilevel"/>
    <w:tmpl w:val="1BB43362"/>
    <w:lvl w:ilvl="0" w:tplc="C242167C">
      <w:start w:val="1"/>
      <w:numFmt w:val="bullet"/>
      <w:lvlText w:val="•"/>
      <w:lvlJc w:val="left"/>
      <w:pPr>
        <w:tabs>
          <w:tab w:val="num" w:pos="720"/>
        </w:tabs>
        <w:ind w:left="720" w:hanging="360"/>
      </w:pPr>
      <w:rPr>
        <w:rFonts w:ascii="Arial" w:hAnsi="Arial" w:hint="default"/>
      </w:rPr>
    </w:lvl>
    <w:lvl w:ilvl="1" w:tplc="1076D716" w:tentative="1">
      <w:start w:val="1"/>
      <w:numFmt w:val="bullet"/>
      <w:lvlText w:val="•"/>
      <w:lvlJc w:val="left"/>
      <w:pPr>
        <w:tabs>
          <w:tab w:val="num" w:pos="1440"/>
        </w:tabs>
        <w:ind w:left="1440" w:hanging="360"/>
      </w:pPr>
      <w:rPr>
        <w:rFonts w:ascii="Arial" w:hAnsi="Arial" w:hint="default"/>
      </w:rPr>
    </w:lvl>
    <w:lvl w:ilvl="2" w:tplc="038432C4" w:tentative="1">
      <w:start w:val="1"/>
      <w:numFmt w:val="bullet"/>
      <w:lvlText w:val="•"/>
      <w:lvlJc w:val="left"/>
      <w:pPr>
        <w:tabs>
          <w:tab w:val="num" w:pos="2160"/>
        </w:tabs>
        <w:ind w:left="2160" w:hanging="360"/>
      </w:pPr>
      <w:rPr>
        <w:rFonts w:ascii="Arial" w:hAnsi="Arial" w:hint="default"/>
      </w:rPr>
    </w:lvl>
    <w:lvl w:ilvl="3" w:tplc="D4206094" w:tentative="1">
      <w:start w:val="1"/>
      <w:numFmt w:val="bullet"/>
      <w:lvlText w:val="•"/>
      <w:lvlJc w:val="left"/>
      <w:pPr>
        <w:tabs>
          <w:tab w:val="num" w:pos="2880"/>
        </w:tabs>
        <w:ind w:left="2880" w:hanging="360"/>
      </w:pPr>
      <w:rPr>
        <w:rFonts w:ascii="Arial" w:hAnsi="Arial" w:hint="default"/>
      </w:rPr>
    </w:lvl>
    <w:lvl w:ilvl="4" w:tplc="6AB87266" w:tentative="1">
      <w:start w:val="1"/>
      <w:numFmt w:val="bullet"/>
      <w:lvlText w:val="•"/>
      <w:lvlJc w:val="left"/>
      <w:pPr>
        <w:tabs>
          <w:tab w:val="num" w:pos="3600"/>
        </w:tabs>
        <w:ind w:left="3600" w:hanging="360"/>
      </w:pPr>
      <w:rPr>
        <w:rFonts w:ascii="Arial" w:hAnsi="Arial" w:hint="default"/>
      </w:rPr>
    </w:lvl>
    <w:lvl w:ilvl="5" w:tplc="2A685A1C" w:tentative="1">
      <w:start w:val="1"/>
      <w:numFmt w:val="bullet"/>
      <w:lvlText w:val="•"/>
      <w:lvlJc w:val="left"/>
      <w:pPr>
        <w:tabs>
          <w:tab w:val="num" w:pos="4320"/>
        </w:tabs>
        <w:ind w:left="4320" w:hanging="360"/>
      </w:pPr>
      <w:rPr>
        <w:rFonts w:ascii="Arial" w:hAnsi="Arial" w:hint="default"/>
      </w:rPr>
    </w:lvl>
    <w:lvl w:ilvl="6" w:tplc="4B00B6B8" w:tentative="1">
      <w:start w:val="1"/>
      <w:numFmt w:val="bullet"/>
      <w:lvlText w:val="•"/>
      <w:lvlJc w:val="left"/>
      <w:pPr>
        <w:tabs>
          <w:tab w:val="num" w:pos="5040"/>
        </w:tabs>
        <w:ind w:left="5040" w:hanging="360"/>
      </w:pPr>
      <w:rPr>
        <w:rFonts w:ascii="Arial" w:hAnsi="Arial" w:hint="default"/>
      </w:rPr>
    </w:lvl>
    <w:lvl w:ilvl="7" w:tplc="3BA22182" w:tentative="1">
      <w:start w:val="1"/>
      <w:numFmt w:val="bullet"/>
      <w:lvlText w:val="•"/>
      <w:lvlJc w:val="left"/>
      <w:pPr>
        <w:tabs>
          <w:tab w:val="num" w:pos="5760"/>
        </w:tabs>
        <w:ind w:left="5760" w:hanging="360"/>
      </w:pPr>
      <w:rPr>
        <w:rFonts w:ascii="Arial" w:hAnsi="Arial" w:hint="default"/>
      </w:rPr>
    </w:lvl>
    <w:lvl w:ilvl="8" w:tplc="CA9EC45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5096"/>
    <w:rsid w:val="00023B65"/>
    <w:rsid w:val="000304FA"/>
    <w:rsid w:val="00031C69"/>
    <w:rsid w:val="000329A2"/>
    <w:rsid w:val="0004785E"/>
    <w:rsid w:val="000842B0"/>
    <w:rsid w:val="00092385"/>
    <w:rsid w:val="00092DA9"/>
    <w:rsid w:val="000A2BF5"/>
    <w:rsid w:val="000A44CE"/>
    <w:rsid w:val="000A6251"/>
    <w:rsid w:val="000C347F"/>
    <w:rsid w:val="000C3842"/>
    <w:rsid w:val="000C46F1"/>
    <w:rsid w:val="000D2C79"/>
    <w:rsid w:val="000D3A99"/>
    <w:rsid w:val="000D639E"/>
    <w:rsid w:val="000D744B"/>
    <w:rsid w:val="000E5660"/>
    <w:rsid w:val="00106049"/>
    <w:rsid w:val="00106E3E"/>
    <w:rsid w:val="00114D5B"/>
    <w:rsid w:val="00123A26"/>
    <w:rsid w:val="001255DE"/>
    <w:rsid w:val="00127201"/>
    <w:rsid w:val="001444F6"/>
    <w:rsid w:val="00160CC8"/>
    <w:rsid w:val="00160D42"/>
    <w:rsid w:val="00164FDF"/>
    <w:rsid w:val="00170F30"/>
    <w:rsid w:val="00186489"/>
    <w:rsid w:val="001949FF"/>
    <w:rsid w:val="001B0C8C"/>
    <w:rsid w:val="001B12D8"/>
    <w:rsid w:val="001B2A4C"/>
    <w:rsid w:val="001B788B"/>
    <w:rsid w:val="001B7B0D"/>
    <w:rsid w:val="001C0265"/>
    <w:rsid w:val="001C33CD"/>
    <w:rsid w:val="001C43A9"/>
    <w:rsid w:val="001C6AAF"/>
    <w:rsid w:val="001D041B"/>
    <w:rsid w:val="001D2077"/>
    <w:rsid w:val="001E70BC"/>
    <w:rsid w:val="001F1FFA"/>
    <w:rsid w:val="00211C97"/>
    <w:rsid w:val="00226491"/>
    <w:rsid w:val="00235C40"/>
    <w:rsid w:val="00271D62"/>
    <w:rsid w:val="00272A6F"/>
    <w:rsid w:val="00276393"/>
    <w:rsid w:val="00282010"/>
    <w:rsid w:val="00284F18"/>
    <w:rsid w:val="00285509"/>
    <w:rsid w:val="00291027"/>
    <w:rsid w:val="002921B4"/>
    <w:rsid w:val="002B4560"/>
    <w:rsid w:val="002D00AF"/>
    <w:rsid w:val="002D31E8"/>
    <w:rsid w:val="002E5632"/>
    <w:rsid w:val="002F0F8E"/>
    <w:rsid w:val="002F5561"/>
    <w:rsid w:val="00300206"/>
    <w:rsid w:val="00305B17"/>
    <w:rsid w:val="0031650F"/>
    <w:rsid w:val="003323DF"/>
    <w:rsid w:val="003417BD"/>
    <w:rsid w:val="0037292C"/>
    <w:rsid w:val="00384DB4"/>
    <w:rsid w:val="00392287"/>
    <w:rsid w:val="003944A0"/>
    <w:rsid w:val="003953FF"/>
    <w:rsid w:val="003B3DA5"/>
    <w:rsid w:val="003B4BE9"/>
    <w:rsid w:val="003C01D5"/>
    <w:rsid w:val="003C2DBB"/>
    <w:rsid w:val="003C5AF0"/>
    <w:rsid w:val="003D4DD1"/>
    <w:rsid w:val="003E5CDE"/>
    <w:rsid w:val="003E7542"/>
    <w:rsid w:val="003F0DE8"/>
    <w:rsid w:val="003F3933"/>
    <w:rsid w:val="003F6939"/>
    <w:rsid w:val="003F7702"/>
    <w:rsid w:val="00404DF4"/>
    <w:rsid w:val="00414438"/>
    <w:rsid w:val="004219C1"/>
    <w:rsid w:val="0043504B"/>
    <w:rsid w:val="0045738E"/>
    <w:rsid w:val="0046566C"/>
    <w:rsid w:val="00481D0D"/>
    <w:rsid w:val="004B3286"/>
    <w:rsid w:val="004C09D6"/>
    <w:rsid w:val="004C6171"/>
    <w:rsid w:val="004D6038"/>
    <w:rsid w:val="004E2DB3"/>
    <w:rsid w:val="004E682E"/>
    <w:rsid w:val="004F1BA6"/>
    <w:rsid w:val="004F25AC"/>
    <w:rsid w:val="004F3A85"/>
    <w:rsid w:val="004F5C16"/>
    <w:rsid w:val="004F5D8C"/>
    <w:rsid w:val="004F6CA6"/>
    <w:rsid w:val="00500ED7"/>
    <w:rsid w:val="005030AA"/>
    <w:rsid w:val="0051583C"/>
    <w:rsid w:val="005242A9"/>
    <w:rsid w:val="00527858"/>
    <w:rsid w:val="00532091"/>
    <w:rsid w:val="00540903"/>
    <w:rsid w:val="00566A70"/>
    <w:rsid w:val="00570BF0"/>
    <w:rsid w:val="00576CD4"/>
    <w:rsid w:val="00593391"/>
    <w:rsid w:val="00596A80"/>
    <w:rsid w:val="005A3525"/>
    <w:rsid w:val="005B535C"/>
    <w:rsid w:val="005B740F"/>
    <w:rsid w:val="005C01F5"/>
    <w:rsid w:val="005C0E57"/>
    <w:rsid w:val="005C5C9C"/>
    <w:rsid w:val="005C6D66"/>
    <w:rsid w:val="005E2019"/>
    <w:rsid w:val="005E612A"/>
    <w:rsid w:val="0061595B"/>
    <w:rsid w:val="00626781"/>
    <w:rsid w:val="006276BB"/>
    <w:rsid w:val="00636B3F"/>
    <w:rsid w:val="006448EE"/>
    <w:rsid w:val="006476DF"/>
    <w:rsid w:val="00654A04"/>
    <w:rsid w:val="00661BF8"/>
    <w:rsid w:val="006722FA"/>
    <w:rsid w:val="00677533"/>
    <w:rsid w:val="0068466D"/>
    <w:rsid w:val="00686660"/>
    <w:rsid w:val="00695DE0"/>
    <w:rsid w:val="006A3652"/>
    <w:rsid w:val="006A3FE6"/>
    <w:rsid w:val="006C0598"/>
    <w:rsid w:val="006C7979"/>
    <w:rsid w:val="006D40B8"/>
    <w:rsid w:val="006D7534"/>
    <w:rsid w:val="006D7E52"/>
    <w:rsid w:val="006E7F64"/>
    <w:rsid w:val="006F1535"/>
    <w:rsid w:val="006F6E40"/>
    <w:rsid w:val="00702072"/>
    <w:rsid w:val="00704519"/>
    <w:rsid w:val="00712057"/>
    <w:rsid w:val="007231DD"/>
    <w:rsid w:val="00723C8C"/>
    <w:rsid w:val="00727289"/>
    <w:rsid w:val="00735077"/>
    <w:rsid w:val="00762214"/>
    <w:rsid w:val="00775ED5"/>
    <w:rsid w:val="00780D88"/>
    <w:rsid w:val="007B267F"/>
    <w:rsid w:val="007C243F"/>
    <w:rsid w:val="007C267F"/>
    <w:rsid w:val="007C4264"/>
    <w:rsid w:val="007C5306"/>
    <w:rsid w:val="007C6394"/>
    <w:rsid w:val="007D3569"/>
    <w:rsid w:val="007F34DA"/>
    <w:rsid w:val="00801F35"/>
    <w:rsid w:val="0082127F"/>
    <w:rsid w:val="008347B1"/>
    <w:rsid w:val="00844D74"/>
    <w:rsid w:val="008452ED"/>
    <w:rsid w:val="00856DF2"/>
    <w:rsid w:val="008613CF"/>
    <w:rsid w:val="0086439E"/>
    <w:rsid w:val="008829ED"/>
    <w:rsid w:val="00894AA4"/>
    <w:rsid w:val="008A59C6"/>
    <w:rsid w:val="008B10ED"/>
    <w:rsid w:val="008B2442"/>
    <w:rsid w:val="008B2E57"/>
    <w:rsid w:val="008C0A19"/>
    <w:rsid w:val="008C281C"/>
    <w:rsid w:val="008D58A8"/>
    <w:rsid w:val="008E23D3"/>
    <w:rsid w:val="008E363B"/>
    <w:rsid w:val="008F7EF5"/>
    <w:rsid w:val="008F7F5A"/>
    <w:rsid w:val="00905D65"/>
    <w:rsid w:val="0091150C"/>
    <w:rsid w:val="0091189A"/>
    <w:rsid w:val="00916F1D"/>
    <w:rsid w:val="00934C88"/>
    <w:rsid w:val="009351B7"/>
    <w:rsid w:val="00967E28"/>
    <w:rsid w:val="00981767"/>
    <w:rsid w:val="009818EB"/>
    <w:rsid w:val="00981E66"/>
    <w:rsid w:val="00993B83"/>
    <w:rsid w:val="009A1EEC"/>
    <w:rsid w:val="009A4723"/>
    <w:rsid w:val="009B1D91"/>
    <w:rsid w:val="009B66EE"/>
    <w:rsid w:val="009C089D"/>
    <w:rsid w:val="009E184B"/>
    <w:rsid w:val="009F0864"/>
    <w:rsid w:val="00A147D0"/>
    <w:rsid w:val="00A21E19"/>
    <w:rsid w:val="00A22DAC"/>
    <w:rsid w:val="00A26E3B"/>
    <w:rsid w:val="00A3605C"/>
    <w:rsid w:val="00A36D38"/>
    <w:rsid w:val="00A4062F"/>
    <w:rsid w:val="00A429D7"/>
    <w:rsid w:val="00A42E35"/>
    <w:rsid w:val="00A504BC"/>
    <w:rsid w:val="00A52525"/>
    <w:rsid w:val="00A55E24"/>
    <w:rsid w:val="00A7787A"/>
    <w:rsid w:val="00A911BE"/>
    <w:rsid w:val="00A9244F"/>
    <w:rsid w:val="00AA2B43"/>
    <w:rsid w:val="00AA554D"/>
    <w:rsid w:val="00AB1A24"/>
    <w:rsid w:val="00AB2515"/>
    <w:rsid w:val="00AD1782"/>
    <w:rsid w:val="00AD2856"/>
    <w:rsid w:val="00AD4E47"/>
    <w:rsid w:val="00AD688D"/>
    <w:rsid w:val="00AF060F"/>
    <w:rsid w:val="00AF1286"/>
    <w:rsid w:val="00AF414D"/>
    <w:rsid w:val="00B15CE8"/>
    <w:rsid w:val="00B2445D"/>
    <w:rsid w:val="00B36694"/>
    <w:rsid w:val="00B42AF9"/>
    <w:rsid w:val="00B51077"/>
    <w:rsid w:val="00B535D1"/>
    <w:rsid w:val="00B56E2E"/>
    <w:rsid w:val="00B61855"/>
    <w:rsid w:val="00B74686"/>
    <w:rsid w:val="00B807AF"/>
    <w:rsid w:val="00B85BCA"/>
    <w:rsid w:val="00B9569E"/>
    <w:rsid w:val="00B95B6E"/>
    <w:rsid w:val="00BA0BD0"/>
    <w:rsid w:val="00BA4A38"/>
    <w:rsid w:val="00BA7696"/>
    <w:rsid w:val="00BB2875"/>
    <w:rsid w:val="00BC0082"/>
    <w:rsid w:val="00BC059A"/>
    <w:rsid w:val="00BC312A"/>
    <w:rsid w:val="00BC3365"/>
    <w:rsid w:val="00BC4CFD"/>
    <w:rsid w:val="00BE32CB"/>
    <w:rsid w:val="00C01C43"/>
    <w:rsid w:val="00C01E3F"/>
    <w:rsid w:val="00C1623A"/>
    <w:rsid w:val="00C169AA"/>
    <w:rsid w:val="00C313BE"/>
    <w:rsid w:val="00C36D32"/>
    <w:rsid w:val="00C37F3B"/>
    <w:rsid w:val="00C4064A"/>
    <w:rsid w:val="00C40EA5"/>
    <w:rsid w:val="00C50065"/>
    <w:rsid w:val="00C55AB7"/>
    <w:rsid w:val="00C6288B"/>
    <w:rsid w:val="00C6532A"/>
    <w:rsid w:val="00C65B6D"/>
    <w:rsid w:val="00CA240E"/>
    <w:rsid w:val="00CB17F3"/>
    <w:rsid w:val="00CD18A2"/>
    <w:rsid w:val="00CE657F"/>
    <w:rsid w:val="00CF202F"/>
    <w:rsid w:val="00CF3D6E"/>
    <w:rsid w:val="00CF42C1"/>
    <w:rsid w:val="00D000A1"/>
    <w:rsid w:val="00D100C8"/>
    <w:rsid w:val="00D2402D"/>
    <w:rsid w:val="00D259CD"/>
    <w:rsid w:val="00D264A8"/>
    <w:rsid w:val="00D31455"/>
    <w:rsid w:val="00D33361"/>
    <w:rsid w:val="00D511E6"/>
    <w:rsid w:val="00D5771F"/>
    <w:rsid w:val="00D577DD"/>
    <w:rsid w:val="00D61B52"/>
    <w:rsid w:val="00D66A9D"/>
    <w:rsid w:val="00D7106F"/>
    <w:rsid w:val="00D72259"/>
    <w:rsid w:val="00D8003C"/>
    <w:rsid w:val="00D83CEF"/>
    <w:rsid w:val="00DC12A2"/>
    <w:rsid w:val="00DD5357"/>
    <w:rsid w:val="00DE45D2"/>
    <w:rsid w:val="00DE6A51"/>
    <w:rsid w:val="00DF1A8A"/>
    <w:rsid w:val="00DF3F45"/>
    <w:rsid w:val="00DF414D"/>
    <w:rsid w:val="00E02940"/>
    <w:rsid w:val="00E10CD8"/>
    <w:rsid w:val="00E11233"/>
    <w:rsid w:val="00E2245C"/>
    <w:rsid w:val="00E25FB7"/>
    <w:rsid w:val="00E328D5"/>
    <w:rsid w:val="00E43940"/>
    <w:rsid w:val="00E55520"/>
    <w:rsid w:val="00E5670E"/>
    <w:rsid w:val="00E6056B"/>
    <w:rsid w:val="00E7228A"/>
    <w:rsid w:val="00EA09AB"/>
    <w:rsid w:val="00ED2DDB"/>
    <w:rsid w:val="00ED3EC3"/>
    <w:rsid w:val="00EE0902"/>
    <w:rsid w:val="00EE65EC"/>
    <w:rsid w:val="00F06F28"/>
    <w:rsid w:val="00F250F7"/>
    <w:rsid w:val="00F33EC9"/>
    <w:rsid w:val="00F35795"/>
    <w:rsid w:val="00F4005A"/>
    <w:rsid w:val="00F60863"/>
    <w:rsid w:val="00F62C1E"/>
    <w:rsid w:val="00F632E4"/>
    <w:rsid w:val="00F81CC9"/>
    <w:rsid w:val="00F82DFB"/>
    <w:rsid w:val="00FB603A"/>
    <w:rsid w:val="00FC518C"/>
    <w:rsid w:val="00FD4E13"/>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A651E"/>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A429D7"/>
    <w:pPr>
      <w:ind w:left="720"/>
      <w:contextualSpacing/>
    </w:pPr>
  </w:style>
  <w:style w:type="table" w:styleId="Lentelstinklelis">
    <w:name w:val="Table Grid"/>
    <w:basedOn w:val="prastojilentel"/>
    <w:rsid w:val="00C55A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9464">
      <w:bodyDiv w:val="1"/>
      <w:marLeft w:val="0"/>
      <w:marRight w:val="0"/>
      <w:marTop w:val="0"/>
      <w:marBottom w:val="0"/>
      <w:divBdr>
        <w:top w:val="none" w:sz="0" w:space="0" w:color="auto"/>
        <w:left w:val="none" w:sz="0" w:space="0" w:color="auto"/>
        <w:bottom w:val="none" w:sz="0" w:space="0" w:color="auto"/>
        <w:right w:val="none" w:sz="0" w:space="0" w:color="auto"/>
      </w:divBdr>
      <w:divsChild>
        <w:div w:id="306936658">
          <w:marLeft w:val="0"/>
          <w:marRight w:val="0"/>
          <w:marTop w:val="0"/>
          <w:marBottom w:val="0"/>
          <w:divBdr>
            <w:top w:val="none" w:sz="0" w:space="0" w:color="auto"/>
            <w:left w:val="none" w:sz="0" w:space="0" w:color="auto"/>
            <w:bottom w:val="none" w:sz="0" w:space="0" w:color="auto"/>
            <w:right w:val="none" w:sz="0" w:space="0" w:color="auto"/>
          </w:divBdr>
        </w:div>
        <w:div w:id="588268648">
          <w:marLeft w:val="0"/>
          <w:marRight w:val="0"/>
          <w:marTop w:val="0"/>
          <w:marBottom w:val="0"/>
          <w:divBdr>
            <w:top w:val="none" w:sz="0" w:space="0" w:color="auto"/>
            <w:left w:val="none" w:sz="0" w:space="0" w:color="auto"/>
            <w:bottom w:val="none" w:sz="0" w:space="0" w:color="auto"/>
            <w:right w:val="none" w:sz="0" w:space="0" w:color="auto"/>
          </w:divBdr>
        </w:div>
        <w:div w:id="1752847053">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50329293">
      <w:bodyDiv w:val="1"/>
      <w:marLeft w:val="0"/>
      <w:marRight w:val="0"/>
      <w:marTop w:val="0"/>
      <w:marBottom w:val="0"/>
      <w:divBdr>
        <w:top w:val="none" w:sz="0" w:space="0" w:color="auto"/>
        <w:left w:val="none" w:sz="0" w:space="0" w:color="auto"/>
        <w:bottom w:val="none" w:sz="0" w:space="0" w:color="auto"/>
        <w:right w:val="none" w:sz="0" w:space="0" w:color="auto"/>
      </w:divBdr>
      <w:divsChild>
        <w:div w:id="923415324">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01C2-26C4-4B80-B3DE-5227F685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6171</Words>
  <Characters>3519</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2021-10-12T11:08:00Z</dcterms:created>
  <dcterms:modified xsi:type="dcterms:W3CDTF">2021-10-12T11:08:00Z</dcterms:modified>
</cp:coreProperties>
</file>