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D342B">
        <w:rPr>
          <w:b/>
          <w:caps/>
        </w:rPr>
        <w:t xml:space="preserve">KLAIPĖDOS Vydūno GIMNAZIJOS NUOSTATŲ </w:t>
      </w:r>
      <w:r w:rsidR="000D342B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342B" w:rsidRPr="00D97DBB" w:rsidRDefault="000D342B" w:rsidP="000D342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D342B" w:rsidRDefault="000D342B" w:rsidP="000D342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Vydūno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D342B" w:rsidRPr="00D97DBB" w:rsidRDefault="000D342B" w:rsidP="000D342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Arvydą Girdzijauską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Vydūno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direktorių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D342B" w:rsidRPr="002A0693" w:rsidRDefault="000D342B" w:rsidP="000D342B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24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T2-264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Vydūno vidurinės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0D342B" w:rsidRDefault="000D342B" w:rsidP="000D342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D342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342B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114E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68E5"/>
  <w15:docId w15:val="{72748FC5-5EE2-4B0E-9876-24DC0D08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D342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D342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D342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2021-10-29T13:21:00Z</dcterms:created>
  <dcterms:modified xsi:type="dcterms:W3CDTF">2021-10-29T13:21:00Z</dcterms:modified>
</cp:coreProperties>
</file>