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D25" w:rsidRPr="006D2D25" w:rsidRDefault="006D2D25" w:rsidP="006D2D25">
      <w:pPr>
        <w:pStyle w:val="tactin"/>
        <w:shd w:val="clear" w:color="auto" w:fill="FFFFFF"/>
        <w:spacing w:before="0" w:beforeAutospacing="0" w:after="0" w:afterAutospacing="0" w:line="286" w:lineRule="atLeast"/>
        <w:jc w:val="center"/>
        <w:rPr>
          <w:color w:val="000000"/>
        </w:rPr>
      </w:pPr>
      <w:bookmarkStart w:id="0" w:name="_GoBack"/>
      <w:bookmarkEnd w:id="0"/>
      <w:r w:rsidRPr="006D2D25">
        <w:rPr>
          <w:b/>
          <w:bCs/>
          <w:color w:val="000000"/>
        </w:rPr>
        <w:t>LIETUVOS RESPUBLIKOS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VIETOS SAVIVALDOS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ĮSTATYMAS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 </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1994 m. liepos 7 d. Nr. I-533</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Vilnius</w:t>
      </w:r>
    </w:p>
    <w:p w:rsidR="007B4D4B" w:rsidRPr="006D2D25" w:rsidRDefault="007B4D4B">
      <w:pPr>
        <w:rPr>
          <w:rFonts w:ascii="Times New Roman" w:hAnsi="Times New Roman" w:cs="Times New Roman"/>
          <w:sz w:val="24"/>
          <w:szCs w:val="24"/>
        </w:rPr>
      </w:pPr>
    </w:p>
    <w:p w:rsidR="00CF48D9" w:rsidRPr="00CF48D9" w:rsidRDefault="00CF48D9" w:rsidP="00CF48D9">
      <w:pPr>
        <w:rPr>
          <w:rFonts w:ascii="Times New Roman" w:hAnsi="Times New Roman" w:cs="Times New Roman"/>
          <w:b/>
          <w:bCs/>
          <w:sz w:val="24"/>
          <w:szCs w:val="24"/>
        </w:rPr>
      </w:pPr>
      <w:r w:rsidRPr="00CF48D9">
        <w:rPr>
          <w:rFonts w:ascii="Times New Roman" w:hAnsi="Times New Roman" w:cs="Times New Roman"/>
          <w:b/>
          <w:bCs/>
          <w:sz w:val="24"/>
          <w:szCs w:val="24"/>
        </w:rPr>
        <w:t>6 straipsnis. Savarankiškosios savivaldybių funkcijos</w:t>
      </w:r>
    </w:p>
    <w:p w:rsidR="00CF48D9" w:rsidRDefault="00CF48D9" w:rsidP="00CF48D9">
      <w:pPr>
        <w:rPr>
          <w:rFonts w:ascii="Times New Roman" w:hAnsi="Times New Roman" w:cs="Times New Roman"/>
          <w:sz w:val="24"/>
          <w:szCs w:val="24"/>
        </w:rPr>
      </w:pPr>
      <w:r w:rsidRPr="00CF48D9">
        <w:rPr>
          <w:rFonts w:ascii="Times New Roman" w:hAnsi="Times New Roman" w:cs="Times New Roman"/>
          <w:sz w:val="24"/>
          <w:szCs w:val="24"/>
        </w:rPr>
        <w:t>Savarankiškosios (Konstitucijos ir įstatymų nustatytos (priskirtos) savivaldybių funkcijos:</w:t>
      </w:r>
    </w:p>
    <w:p w:rsidR="00CF48D9" w:rsidRPr="00CF48D9" w:rsidRDefault="00CF48D9" w:rsidP="00CF48D9">
      <w:pPr>
        <w:rPr>
          <w:rFonts w:ascii="Times New Roman" w:hAnsi="Times New Roman" w:cs="Times New Roman"/>
          <w:sz w:val="24"/>
          <w:szCs w:val="24"/>
        </w:rPr>
      </w:pPr>
      <w:r>
        <w:rPr>
          <w:rFonts w:ascii="Times New Roman" w:hAnsi="Times New Roman" w:cs="Times New Roman"/>
          <w:sz w:val="24"/>
          <w:szCs w:val="24"/>
        </w:rPr>
        <w:t>&lt;...&gt;</w:t>
      </w:r>
    </w:p>
    <w:p w:rsidR="004033BC" w:rsidRDefault="00CF48D9">
      <w:pPr>
        <w:rPr>
          <w:rFonts w:ascii="Times New Roman" w:hAnsi="Times New Roman" w:cs="Times New Roman"/>
          <w:sz w:val="24"/>
          <w:szCs w:val="24"/>
        </w:rPr>
      </w:pPr>
      <w:r w:rsidRPr="00CF48D9">
        <w:rPr>
          <w:rFonts w:ascii="Times New Roman" w:hAnsi="Times New Roman" w:cs="Times New Roman"/>
          <w:sz w:val="24"/>
          <w:szCs w:val="24"/>
        </w:rPr>
        <w:t>34) dalyvavimas, bendradarbiavimas užtikrinant viešąją tvarką, kuriant ir įgyvendinant nusikaltimų prevencijos priemones;</w:t>
      </w:r>
    </w:p>
    <w:p w:rsidR="006D2D25" w:rsidRDefault="000678F7" w:rsidP="000678F7">
      <w:pPr>
        <w:jc w:val="center"/>
        <w:rPr>
          <w:rFonts w:ascii="Times New Roman" w:hAnsi="Times New Roman" w:cs="Times New Roman"/>
          <w:sz w:val="24"/>
          <w:szCs w:val="24"/>
        </w:rPr>
      </w:pPr>
      <w:r>
        <w:rPr>
          <w:rFonts w:ascii="Times New Roman" w:hAnsi="Times New Roman" w:cs="Times New Roman"/>
          <w:sz w:val="24"/>
          <w:szCs w:val="24"/>
        </w:rPr>
        <w:t>________________</w:t>
      </w:r>
    </w:p>
    <w:p w:rsidR="006D2D25" w:rsidRDefault="006D2D25">
      <w:pPr>
        <w:rPr>
          <w:rFonts w:ascii="Times New Roman" w:hAnsi="Times New Roman" w:cs="Times New Roman"/>
          <w:sz w:val="24"/>
          <w:szCs w:val="24"/>
        </w:rPr>
      </w:pPr>
    </w:p>
    <w:p w:rsidR="009A6D40" w:rsidRDefault="009A6D40">
      <w:pPr>
        <w:rPr>
          <w:rFonts w:ascii="Times New Roman" w:hAnsi="Times New Roman" w:cs="Times New Roman"/>
          <w:sz w:val="24"/>
          <w:szCs w:val="24"/>
        </w:rPr>
      </w:pP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LIETUVOS RESPUBLIKOS</w:t>
      </w: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CIVILINIŲ PIROTECHNIKOS PRIEMONIŲ APYVARTOS KONTROLĖS</w:t>
      </w: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ĮSTATYMAS</w:t>
      </w:r>
    </w:p>
    <w:p w:rsidR="00CF48D9" w:rsidRPr="00CF48D9" w:rsidRDefault="00CF48D9" w:rsidP="00CF48D9">
      <w:pPr>
        <w:jc w:val="center"/>
        <w:rPr>
          <w:rFonts w:ascii="Times New Roman" w:hAnsi="Times New Roman" w:cs="Times New Roman"/>
          <w:bCs/>
          <w:sz w:val="24"/>
          <w:szCs w:val="24"/>
        </w:rPr>
      </w:pPr>
    </w:p>
    <w:p w:rsidR="00CF48D9" w:rsidRPr="00CF48D9" w:rsidRDefault="00CF48D9" w:rsidP="00CF48D9">
      <w:pPr>
        <w:jc w:val="center"/>
        <w:rPr>
          <w:rFonts w:ascii="Times New Roman" w:hAnsi="Times New Roman" w:cs="Times New Roman"/>
          <w:bCs/>
          <w:sz w:val="24"/>
          <w:szCs w:val="24"/>
        </w:rPr>
      </w:pPr>
      <w:r w:rsidRPr="00CF48D9">
        <w:rPr>
          <w:rFonts w:ascii="Times New Roman" w:hAnsi="Times New Roman" w:cs="Times New Roman"/>
          <w:bCs/>
          <w:sz w:val="24"/>
          <w:szCs w:val="24"/>
        </w:rPr>
        <w:t>2002 m. birželio 4 d. Nr. IX-931</w:t>
      </w:r>
    </w:p>
    <w:p w:rsidR="00CF48D9" w:rsidRPr="00CF48D9" w:rsidRDefault="00CF48D9" w:rsidP="00CF48D9">
      <w:pPr>
        <w:jc w:val="center"/>
        <w:rPr>
          <w:rFonts w:ascii="Times New Roman" w:hAnsi="Times New Roman" w:cs="Times New Roman"/>
          <w:bCs/>
          <w:sz w:val="24"/>
          <w:szCs w:val="24"/>
        </w:rPr>
      </w:pPr>
      <w:r w:rsidRPr="00CF48D9">
        <w:rPr>
          <w:rFonts w:ascii="Times New Roman" w:hAnsi="Times New Roman" w:cs="Times New Roman"/>
          <w:bCs/>
          <w:sz w:val="24"/>
          <w:szCs w:val="24"/>
        </w:rPr>
        <w:t>Vilnius</w:t>
      </w:r>
    </w:p>
    <w:p w:rsidR="006B3940" w:rsidRDefault="006B3940">
      <w:pPr>
        <w:rPr>
          <w:rFonts w:ascii="Times New Roman" w:hAnsi="Times New Roman" w:cs="Times New Roman"/>
          <w:sz w:val="24"/>
          <w:szCs w:val="24"/>
        </w:rPr>
      </w:pPr>
    </w:p>
    <w:p w:rsidR="00644098" w:rsidRDefault="00644098">
      <w:pPr>
        <w:rPr>
          <w:rFonts w:ascii="Times New Roman" w:hAnsi="Times New Roman" w:cs="Times New Roman"/>
          <w:sz w:val="24"/>
          <w:szCs w:val="24"/>
        </w:rPr>
      </w:pPr>
      <w:r w:rsidRPr="00644098">
        <w:rPr>
          <w:rFonts w:ascii="Times New Roman" w:hAnsi="Times New Roman" w:cs="Times New Roman"/>
          <w:b/>
          <w:bCs/>
          <w:sz w:val="24"/>
          <w:szCs w:val="24"/>
        </w:rPr>
        <w:t>2 straipsnis. Pagrindinės šio įstatymo sąvokos</w:t>
      </w:r>
    </w:p>
    <w:p w:rsidR="00644098" w:rsidRDefault="00644098">
      <w:pPr>
        <w:rPr>
          <w:rFonts w:ascii="Times New Roman" w:hAnsi="Times New Roman" w:cs="Times New Roman"/>
          <w:sz w:val="24"/>
          <w:szCs w:val="24"/>
        </w:rPr>
      </w:pPr>
      <w:r>
        <w:rPr>
          <w:rFonts w:ascii="Times New Roman" w:hAnsi="Times New Roman" w:cs="Times New Roman"/>
          <w:sz w:val="24"/>
          <w:szCs w:val="24"/>
        </w:rPr>
        <w:t>&lt;...&gt;</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w:t>
      </w:r>
      <w:r w:rsidRPr="00644098">
        <w:rPr>
          <w:rFonts w:ascii="Times New Roman" w:hAnsi="Times New Roman" w:cs="Times New Roman"/>
          <w:b/>
          <w:bCs/>
          <w:sz w:val="24"/>
          <w:szCs w:val="24"/>
        </w:rPr>
        <w:t> Civilinės pirotechnikos priemonės</w:t>
      </w:r>
      <w:r w:rsidRPr="00644098">
        <w:rPr>
          <w:rFonts w:ascii="Times New Roman" w:hAnsi="Times New Roman" w:cs="Times New Roman"/>
          <w:sz w:val="24"/>
          <w:szCs w:val="24"/>
        </w:rPr>
        <w:t> – specialiai naudoti pramogai, žemės ūkyje, transporto srityje, buityje, pramonėje ar kuriant filmus, televizijos laidas, teatralizuotus vaidinimus ir kitose civilinėse srityse (išskyrus nurodytas šio įstatymo 1 straipsnio 4 dalyje) skirti gaminiai, kuriuose yra sprogstamųjų medžiagų ar sprogstamųjų medžiagų mišinio karščiui, šviesai, garsui, dujoms, dūmams ar tokių efektų deriniui gauti vykstant savaime besitęsiančiai egzoterminei reakcijai.</w:t>
      </w:r>
    </w:p>
    <w:p w:rsidR="00644098" w:rsidRDefault="00644098">
      <w:pPr>
        <w:rPr>
          <w:rFonts w:ascii="Times New Roman" w:hAnsi="Times New Roman" w:cs="Times New Roman"/>
          <w:sz w:val="24"/>
          <w:szCs w:val="24"/>
        </w:rPr>
      </w:pPr>
      <w:r>
        <w:rPr>
          <w:rFonts w:ascii="Times New Roman" w:hAnsi="Times New Roman" w:cs="Times New Roman"/>
          <w:sz w:val="24"/>
          <w:szCs w:val="24"/>
        </w:rPr>
        <w:t>&lt;...&gt;</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22.</w:t>
      </w:r>
      <w:r w:rsidRPr="00644098">
        <w:rPr>
          <w:rFonts w:ascii="Times New Roman" w:hAnsi="Times New Roman" w:cs="Times New Roman"/>
          <w:b/>
          <w:bCs/>
          <w:sz w:val="24"/>
          <w:szCs w:val="24"/>
        </w:rPr>
        <w:t> Fejerverkas</w:t>
      </w:r>
      <w:r w:rsidRPr="00644098">
        <w:rPr>
          <w:rFonts w:ascii="Times New Roman" w:hAnsi="Times New Roman" w:cs="Times New Roman"/>
          <w:sz w:val="24"/>
          <w:szCs w:val="24"/>
        </w:rPr>
        <w:t> – pramogai skirtas civilinės pirotechnikos gaminys.</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23.</w:t>
      </w:r>
      <w:r w:rsidRPr="00644098">
        <w:rPr>
          <w:rFonts w:ascii="Times New Roman" w:hAnsi="Times New Roman" w:cs="Times New Roman"/>
          <w:b/>
          <w:bCs/>
          <w:sz w:val="24"/>
          <w:szCs w:val="24"/>
        </w:rPr>
        <w:t> Kitos pirotechnikos priemonės</w:t>
      </w:r>
      <w:r w:rsidRPr="00644098">
        <w:rPr>
          <w:rFonts w:ascii="Times New Roman" w:hAnsi="Times New Roman" w:cs="Times New Roman"/>
          <w:sz w:val="24"/>
          <w:szCs w:val="24"/>
        </w:rPr>
        <w:t> – naudoti žemės ūkyje, pramonėje, transporto srityje arba buityje skirtos civilinės pirotechnikos priemonės, išskyrus fejerverkus ir teatrines pirotechnikos priemones.</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28.</w:t>
      </w:r>
      <w:r w:rsidRPr="00644098">
        <w:rPr>
          <w:rFonts w:ascii="Times New Roman" w:hAnsi="Times New Roman" w:cs="Times New Roman"/>
          <w:b/>
          <w:bCs/>
          <w:sz w:val="24"/>
          <w:szCs w:val="24"/>
        </w:rPr>
        <w:t> Teatrinės pirotechnikos priemonės</w:t>
      </w:r>
      <w:r w:rsidRPr="00644098">
        <w:rPr>
          <w:rFonts w:ascii="Times New Roman" w:hAnsi="Times New Roman" w:cs="Times New Roman"/>
          <w:sz w:val="24"/>
          <w:szCs w:val="24"/>
        </w:rPr>
        <w:t> – civilinės pirotechnikos priemonės, skirtos naudoti vidaus arba lauko scenoje, taip pat kuriant filmus, televizijos laidas, teatralizuotus vaidinimus ar panašiai.</w:t>
      </w:r>
    </w:p>
    <w:p w:rsidR="00644098" w:rsidRDefault="00644098">
      <w:pPr>
        <w:rPr>
          <w:rFonts w:ascii="Times New Roman" w:hAnsi="Times New Roman" w:cs="Times New Roman"/>
          <w:sz w:val="24"/>
          <w:szCs w:val="24"/>
        </w:rPr>
      </w:pPr>
    </w:p>
    <w:p w:rsidR="00644098" w:rsidRPr="00644098" w:rsidRDefault="00644098" w:rsidP="00644098">
      <w:pPr>
        <w:rPr>
          <w:rFonts w:ascii="Times New Roman" w:hAnsi="Times New Roman" w:cs="Times New Roman"/>
          <w:b/>
          <w:bCs/>
          <w:sz w:val="24"/>
          <w:szCs w:val="24"/>
        </w:rPr>
      </w:pPr>
      <w:r w:rsidRPr="00644098">
        <w:rPr>
          <w:rFonts w:ascii="Times New Roman" w:hAnsi="Times New Roman" w:cs="Times New Roman"/>
          <w:b/>
          <w:bCs/>
          <w:sz w:val="24"/>
          <w:szCs w:val="24"/>
        </w:rPr>
        <w:t>3 straipsnis. Civilinių pirotechnikos priemonių skirstymas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1. Civilinės pirotechnikos priemonės pagal jų naudojimo būdą arba paskirtį ir pavojingumą skirstomos į:</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1) fejerverkus;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2) teatrines pirotechnikos priemones;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3) kitas pirotechnikos priemones.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2. Civilinių pirotechnikos priemonių priskyrimą atitinkamai kategorijai patvirtina paskelbtoji įstaiga, atlikusi atitikties įvertinimo procedūras.</w:t>
      </w:r>
    </w:p>
    <w:p w:rsidR="00644098" w:rsidRDefault="00644098">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4 straipsnis. Fejerverkų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Fejerverkai pagal pavojingumą skirstomi:</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F1 kategorijos fejerverkai – fejerverkai, keliantys labai mažą pavojų, labai mažai triukšmo ir skirti naudoti aptvertose teritorijose, taip pat naudoti gyvenamosiose patalpose;</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F2 kategorijos fejerverkai – fejerverkai, keliantys mažą pavojų, mažai triukšmo ir skirti naudoti aptvertose teritorijose, esančiose lauke;</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lastRenderedPageBreak/>
        <w:t>3) F3 kategorijos fejerverkai – fejerverkai, keliantys vidutinį pavojų ir skirti naudoti didelėse atvirose teritorijose, jų keliamas triukšmas neviršija nustatytų ribinių (leistinų) dydžių;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4) F4 kategorijos fejerverkai – fejerverkai, keliantys didelį pavojų ir skirti tvarkyti (prižiūrėti) ir naudoti tik pirotechnikams, jų keliamas triukšmas neviršija nustatytų ribinių (leistinų) dydžių.</w:t>
      </w:r>
    </w:p>
    <w:p w:rsidR="00644098" w:rsidRDefault="00644098">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5 straipsnis. Teatrinių pirotechnikos priemonių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Teatrinės pirotechnikos priemonės pagal pavojingumą skirstomos: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T1 kategorijos civilinės pirotechnikos priemonės – priemonės, skirtos naudoti scenoje ir keliančios mažą pavojų;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T2 kategorijos civilinės pirotechnikos priemonės – priemonės, skirtos tvarkyti (prižiūrėti) ir naudoti scenoje tik pirotechnikams.</w:t>
      </w:r>
    </w:p>
    <w:p w:rsidR="000C514D" w:rsidRDefault="000C514D">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6 straipsnis. Kitų pirotechnikos priemonių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Kitos pirotechnikos priemonės pagal pavojingumą skirstomos: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P1 kategorijos civilinės pirotechnikos priemonės – priemonės, išskyrus fejerverkus ir teatrines pirotechnikos priemones, keliančios mažą pavojų;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P2 kategorijos civilinės pirotechnikos priemonės – priemonės, išskyrus fejerverkus ir teatrines pirotechnikos priemones, skirtos tvarkyti (prižiūrėti) ir naudoti tik pirotechnikams.</w:t>
      </w:r>
    </w:p>
    <w:p w:rsidR="00644098" w:rsidRDefault="00644098">
      <w:pPr>
        <w:rPr>
          <w:rFonts w:ascii="Times New Roman" w:hAnsi="Times New Roman" w:cs="Times New Roman"/>
          <w:sz w:val="24"/>
          <w:szCs w:val="24"/>
        </w:rPr>
      </w:pPr>
    </w:p>
    <w:p w:rsidR="00A96572" w:rsidRPr="00A96572" w:rsidRDefault="00A96572" w:rsidP="00A96572">
      <w:pPr>
        <w:rPr>
          <w:rFonts w:ascii="Times New Roman" w:hAnsi="Times New Roman" w:cs="Times New Roman"/>
          <w:b/>
          <w:bCs/>
          <w:sz w:val="24"/>
          <w:szCs w:val="24"/>
        </w:rPr>
      </w:pPr>
      <w:r w:rsidRPr="00A96572">
        <w:rPr>
          <w:rFonts w:ascii="Times New Roman" w:hAnsi="Times New Roman" w:cs="Times New Roman"/>
          <w:b/>
          <w:bCs/>
          <w:sz w:val="24"/>
          <w:szCs w:val="24"/>
        </w:rPr>
        <w:t>17 straipsnis. Civilinių pirotechnikos priemonių naudojimo ir (ar) platinimo apribojimai</w:t>
      </w:r>
    </w:p>
    <w:p w:rsidR="00A96572" w:rsidRPr="00A96572" w:rsidRDefault="00A96572" w:rsidP="00A96572">
      <w:pPr>
        <w:rPr>
          <w:rFonts w:ascii="Times New Roman" w:hAnsi="Times New Roman" w:cs="Times New Roman"/>
          <w:sz w:val="24"/>
          <w:szCs w:val="24"/>
        </w:rPr>
      </w:pPr>
      <w:r w:rsidRPr="00A96572">
        <w:rPr>
          <w:rFonts w:ascii="Times New Roman" w:hAnsi="Times New Roman" w:cs="Times New Roman"/>
          <w:sz w:val="24"/>
          <w:szCs w:val="24"/>
        </w:rPr>
        <w:t>1. Draudžiama:</w:t>
      </w:r>
    </w:p>
    <w:p w:rsidR="00A96572" w:rsidRPr="00A96572" w:rsidRDefault="00A96572" w:rsidP="00A96572">
      <w:pPr>
        <w:rPr>
          <w:rFonts w:ascii="Times New Roman" w:hAnsi="Times New Roman" w:cs="Times New Roman"/>
          <w:sz w:val="24"/>
          <w:szCs w:val="24"/>
        </w:rPr>
      </w:pPr>
      <w:r>
        <w:rPr>
          <w:rFonts w:ascii="Times New Roman" w:hAnsi="Times New Roman" w:cs="Times New Roman"/>
          <w:sz w:val="24"/>
          <w:szCs w:val="24"/>
        </w:rPr>
        <w:t>&lt;...&gt;</w:t>
      </w:r>
    </w:p>
    <w:p w:rsidR="00A96572" w:rsidRPr="00A96572" w:rsidRDefault="00A96572" w:rsidP="00A96572">
      <w:pPr>
        <w:rPr>
          <w:rFonts w:ascii="Times New Roman" w:hAnsi="Times New Roman" w:cs="Times New Roman"/>
          <w:sz w:val="24"/>
          <w:szCs w:val="24"/>
        </w:rPr>
      </w:pPr>
      <w:r w:rsidRPr="00A96572">
        <w:rPr>
          <w:rFonts w:ascii="Times New Roman" w:hAnsi="Times New Roman" w:cs="Times New Roman"/>
          <w:sz w:val="24"/>
          <w:szCs w:val="24"/>
        </w:rPr>
        <w:t>2) naudoti civilines pirotechnikos priemones (išskyrus F1 kategorijos fejerverkus) arčiau kaip 30 metrų nuo mokyklų, gydymo ir reabilitacijos įstaigų, kulto, šarvojimo patalpų, jeigu tai nesuderinta su pastatų (statinių) ar patalpų valdytojais, taip pat kitose savivaldybės tarybos nustatytose vietose;</w:t>
      </w:r>
    </w:p>
    <w:p w:rsidR="009A6D40" w:rsidRDefault="009A6D40" w:rsidP="009A6D40">
      <w:pPr>
        <w:jc w:val="center"/>
        <w:rPr>
          <w:rFonts w:ascii="Times New Roman" w:hAnsi="Times New Roman" w:cs="Times New Roman"/>
          <w:sz w:val="24"/>
          <w:szCs w:val="24"/>
        </w:rPr>
      </w:pPr>
      <w:r>
        <w:rPr>
          <w:rFonts w:ascii="Times New Roman" w:hAnsi="Times New Roman" w:cs="Times New Roman"/>
          <w:sz w:val="24"/>
          <w:szCs w:val="24"/>
        </w:rPr>
        <w:t>________________</w:t>
      </w:r>
    </w:p>
    <w:p w:rsidR="004033BC" w:rsidRPr="006D2D25" w:rsidRDefault="004033BC">
      <w:pPr>
        <w:rPr>
          <w:rFonts w:ascii="Times New Roman" w:hAnsi="Times New Roman" w:cs="Times New Roman"/>
          <w:sz w:val="24"/>
          <w:szCs w:val="24"/>
        </w:rPr>
      </w:pPr>
    </w:p>
    <w:sectPr w:rsidR="004033BC" w:rsidRPr="006D2D25" w:rsidSect="00993953">
      <w:headerReference w:type="default" r:id="rId6"/>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53" w:rsidRDefault="00993953" w:rsidP="00993953">
      <w:r>
        <w:separator/>
      </w:r>
    </w:p>
  </w:endnote>
  <w:endnote w:type="continuationSeparator" w:id="0">
    <w:p w:rsidR="00993953" w:rsidRDefault="00993953" w:rsidP="009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53" w:rsidRDefault="00993953" w:rsidP="00993953">
      <w:r>
        <w:separator/>
      </w:r>
    </w:p>
  </w:footnote>
  <w:footnote w:type="continuationSeparator" w:id="0">
    <w:p w:rsidR="00993953" w:rsidRDefault="00993953" w:rsidP="00993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8147823"/>
      <w:docPartObj>
        <w:docPartGallery w:val="Page Numbers (Top of Page)"/>
        <w:docPartUnique/>
      </w:docPartObj>
    </w:sdtPr>
    <w:sdtEndPr/>
    <w:sdtContent>
      <w:p w:rsidR="00993953" w:rsidRPr="00993953" w:rsidRDefault="00993953">
        <w:pPr>
          <w:pStyle w:val="Antrats"/>
          <w:jc w:val="center"/>
          <w:rPr>
            <w:rFonts w:ascii="Times New Roman" w:hAnsi="Times New Roman" w:cs="Times New Roman"/>
            <w:sz w:val="24"/>
            <w:szCs w:val="24"/>
          </w:rPr>
        </w:pPr>
        <w:r w:rsidRPr="00993953">
          <w:rPr>
            <w:rFonts w:ascii="Times New Roman" w:hAnsi="Times New Roman" w:cs="Times New Roman"/>
            <w:sz w:val="24"/>
            <w:szCs w:val="24"/>
          </w:rPr>
          <w:fldChar w:fldCharType="begin"/>
        </w:r>
        <w:r w:rsidRPr="00993953">
          <w:rPr>
            <w:rFonts w:ascii="Times New Roman" w:hAnsi="Times New Roman" w:cs="Times New Roman"/>
            <w:sz w:val="24"/>
            <w:szCs w:val="24"/>
          </w:rPr>
          <w:instrText>PAGE   \* MERGEFORMAT</w:instrText>
        </w:r>
        <w:r w:rsidRPr="00993953">
          <w:rPr>
            <w:rFonts w:ascii="Times New Roman" w:hAnsi="Times New Roman" w:cs="Times New Roman"/>
            <w:sz w:val="24"/>
            <w:szCs w:val="24"/>
          </w:rPr>
          <w:fldChar w:fldCharType="separate"/>
        </w:r>
        <w:r w:rsidR="00B922CB">
          <w:rPr>
            <w:rFonts w:ascii="Times New Roman" w:hAnsi="Times New Roman" w:cs="Times New Roman"/>
            <w:noProof/>
            <w:sz w:val="24"/>
            <w:szCs w:val="24"/>
          </w:rPr>
          <w:t>2</w:t>
        </w:r>
        <w:r w:rsidRPr="00993953">
          <w:rPr>
            <w:rFonts w:ascii="Times New Roman" w:hAnsi="Times New Roman" w:cs="Times New Roman"/>
            <w:sz w:val="24"/>
            <w:szCs w:val="24"/>
          </w:rPr>
          <w:fldChar w:fldCharType="end"/>
        </w:r>
      </w:p>
    </w:sdtContent>
  </w:sdt>
  <w:p w:rsidR="00993953" w:rsidRDefault="009939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25"/>
    <w:rsid w:val="000628C8"/>
    <w:rsid w:val="000678F7"/>
    <w:rsid w:val="000C514D"/>
    <w:rsid w:val="00360A78"/>
    <w:rsid w:val="003A3E88"/>
    <w:rsid w:val="004033BC"/>
    <w:rsid w:val="004579DB"/>
    <w:rsid w:val="004F3227"/>
    <w:rsid w:val="005240D1"/>
    <w:rsid w:val="00535660"/>
    <w:rsid w:val="00644098"/>
    <w:rsid w:val="006B3940"/>
    <w:rsid w:val="006D2D25"/>
    <w:rsid w:val="00723CC7"/>
    <w:rsid w:val="007B4D4B"/>
    <w:rsid w:val="008229C5"/>
    <w:rsid w:val="00835B35"/>
    <w:rsid w:val="008529B1"/>
    <w:rsid w:val="00993953"/>
    <w:rsid w:val="009A6D40"/>
    <w:rsid w:val="00A625C2"/>
    <w:rsid w:val="00A96572"/>
    <w:rsid w:val="00B214F9"/>
    <w:rsid w:val="00B922CB"/>
    <w:rsid w:val="00CF0E31"/>
    <w:rsid w:val="00CF48D9"/>
    <w:rsid w:val="00D50FF8"/>
    <w:rsid w:val="00D92F77"/>
    <w:rsid w:val="00DA14D1"/>
    <w:rsid w:val="00DC0B09"/>
    <w:rsid w:val="00F20595"/>
    <w:rsid w:val="00FD0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FF41F"/>
  <w15:docId w15:val="{06C3C93C-C563-4501-98BD-7CD33A5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6D2D25"/>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625C2"/>
    <w:pPr>
      <w:ind w:left="720"/>
      <w:contextualSpacing/>
    </w:pPr>
  </w:style>
  <w:style w:type="character" w:styleId="Hipersaitas">
    <w:name w:val="Hyperlink"/>
    <w:basedOn w:val="Numatytasispastraiposriftas"/>
    <w:uiPriority w:val="99"/>
    <w:unhideWhenUsed/>
    <w:rsid w:val="00DC0B09"/>
    <w:rPr>
      <w:color w:val="0000FF" w:themeColor="hyperlink"/>
      <w:u w:val="single"/>
    </w:rPr>
  </w:style>
  <w:style w:type="paragraph" w:styleId="Antrats">
    <w:name w:val="header"/>
    <w:basedOn w:val="prastasis"/>
    <w:link w:val="AntratsDiagrama"/>
    <w:uiPriority w:val="99"/>
    <w:unhideWhenUsed/>
    <w:rsid w:val="00993953"/>
    <w:pPr>
      <w:tabs>
        <w:tab w:val="center" w:pos="4819"/>
        <w:tab w:val="right" w:pos="9638"/>
      </w:tabs>
    </w:pPr>
  </w:style>
  <w:style w:type="character" w:customStyle="1" w:styleId="AntratsDiagrama">
    <w:name w:val="Antraštės Diagrama"/>
    <w:basedOn w:val="Numatytasispastraiposriftas"/>
    <w:link w:val="Antrats"/>
    <w:uiPriority w:val="99"/>
    <w:rsid w:val="00993953"/>
  </w:style>
  <w:style w:type="paragraph" w:styleId="Porat">
    <w:name w:val="footer"/>
    <w:basedOn w:val="prastasis"/>
    <w:link w:val="PoratDiagrama"/>
    <w:uiPriority w:val="99"/>
    <w:unhideWhenUsed/>
    <w:rsid w:val="00993953"/>
    <w:pPr>
      <w:tabs>
        <w:tab w:val="center" w:pos="4819"/>
        <w:tab w:val="right" w:pos="9638"/>
      </w:tabs>
    </w:pPr>
  </w:style>
  <w:style w:type="character" w:customStyle="1" w:styleId="PoratDiagrama">
    <w:name w:val="Poraštė Diagrama"/>
    <w:basedOn w:val="Numatytasispastraiposriftas"/>
    <w:link w:val="Porat"/>
    <w:uiPriority w:val="99"/>
    <w:rsid w:val="009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58">
      <w:bodyDiv w:val="1"/>
      <w:marLeft w:val="0"/>
      <w:marRight w:val="0"/>
      <w:marTop w:val="0"/>
      <w:marBottom w:val="0"/>
      <w:divBdr>
        <w:top w:val="none" w:sz="0" w:space="0" w:color="auto"/>
        <w:left w:val="none" w:sz="0" w:space="0" w:color="auto"/>
        <w:bottom w:val="none" w:sz="0" w:space="0" w:color="auto"/>
        <w:right w:val="none" w:sz="0" w:space="0" w:color="auto"/>
      </w:divBdr>
    </w:div>
    <w:div w:id="195429373">
      <w:bodyDiv w:val="1"/>
      <w:marLeft w:val="0"/>
      <w:marRight w:val="0"/>
      <w:marTop w:val="0"/>
      <w:marBottom w:val="0"/>
      <w:divBdr>
        <w:top w:val="none" w:sz="0" w:space="0" w:color="auto"/>
        <w:left w:val="none" w:sz="0" w:space="0" w:color="auto"/>
        <w:bottom w:val="none" w:sz="0" w:space="0" w:color="auto"/>
        <w:right w:val="none" w:sz="0" w:space="0" w:color="auto"/>
      </w:divBdr>
    </w:div>
    <w:div w:id="297878347">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
    <w:div w:id="447745778">
      <w:bodyDiv w:val="1"/>
      <w:marLeft w:val="0"/>
      <w:marRight w:val="0"/>
      <w:marTop w:val="0"/>
      <w:marBottom w:val="0"/>
      <w:divBdr>
        <w:top w:val="none" w:sz="0" w:space="0" w:color="auto"/>
        <w:left w:val="none" w:sz="0" w:space="0" w:color="auto"/>
        <w:bottom w:val="none" w:sz="0" w:space="0" w:color="auto"/>
        <w:right w:val="none" w:sz="0" w:space="0" w:color="auto"/>
      </w:divBdr>
    </w:div>
    <w:div w:id="488524716">
      <w:bodyDiv w:val="1"/>
      <w:marLeft w:val="0"/>
      <w:marRight w:val="0"/>
      <w:marTop w:val="0"/>
      <w:marBottom w:val="0"/>
      <w:divBdr>
        <w:top w:val="none" w:sz="0" w:space="0" w:color="auto"/>
        <w:left w:val="none" w:sz="0" w:space="0" w:color="auto"/>
        <w:bottom w:val="none" w:sz="0" w:space="0" w:color="auto"/>
        <w:right w:val="none" w:sz="0" w:space="0" w:color="auto"/>
      </w:divBdr>
    </w:div>
    <w:div w:id="524753831">
      <w:bodyDiv w:val="1"/>
      <w:marLeft w:val="0"/>
      <w:marRight w:val="0"/>
      <w:marTop w:val="0"/>
      <w:marBottom w:val="0"/>
      <w:divBdr>
        <w:top w:val="none" w:sz="0" w:space="0" w:color="auto"/>
        <w:left w:val="none" w:sz="0" w:space="0" w:color="auto"/>
        <w:bottom w:val="none" w:sz="0" w:space="0" w:color="auto"/>
        <w:right w:val="none" w:sz="0" w:space="0" w:color="auto"/>
      </w:divBdr>
    </w:div>
    <w:div w:id="812454982">
      <w:bodyDiv w:val="1"/>
      <w:marLeft w:val="0"/>
      <w:marRight w:val="0"/>
      <w:marTop w:val="0"/>
      <w:marBottom w:val="0"/>
      <w:divBdr>
        <w:top w:val="none" w:sz="0" w:space="0" w:color="auto"/>
        <w:left w:val="none" w:sz="0" w:space="0" w:color="auto"/>
        <w:bottom w:val="none" w:sz="0" w:space="0" w:color="auto"/>
        <w:right w:val="none" w:sz="0" w:space="0" w:color="auto"/>
      </w:divBdr>
    </w:div>
    <w:div w:id="944650732">
      <w:bodyDiv w:val="1"/>
      <w:marLeft w:val="0"/>
      <w:marRight w:val="0"/>
      <w:marTop w:val="0"/>
      <w:marBottom w:val="0"/>
      <w:divBdr>
        <w:top w:val="none" w:sz="0" w:space="0" w:color="auto"/>
        <w:left w:val="none" w:sz="0" w:space="0" w:color="auto"/>
        <w:bottom w:val="none" w:sz="0" w:space="0" w:color="auto"/>
        <w:right w:val="none" w:sz="0" w:space="0" w:color="auto"/>
      </w:divBdr>
    </w:div>
    <w:div w:id="1084958071">
      <w:bodyDiv w:val="1"/>
      <w:marLeft w:val="0"/>
      <w:marRight w:val="0"/>
      <w:marTop w:val="0"/>
      <w:marBottom w:val="0"/>
      <w:divBdr>
        <w:top w:val="none" w:sz="0" w:space="0" w:color="auto"/>
        <w:left w:val="none" w:sz="0" w:space="0" w:color="auto"/>
        <w:bottom w:val="none" w:sz="0" w:space="0" w:color="auto"/>
        <w:right w:val="none" w:sz="0" w:space="0" w:color="auto"/>
      </w:divBdr>
    </w:div>
    <w:div w:id="1117866540">
      <w:bodyDiv w:val="1"/>
      <w:marLeft w:val="0"/>
      <w:marRight w:val="0"/>
      <w:marTop w:val="0"/>
      <w:marBottom w:val="0"/>
      <w:divBdr>
        <w:top w:val="none" w:sz="0" w:space="0" w:color="auto"/>
        <w:left w:val="none" w:sz="0" w:space="0" w:color="auto"/>
        <w:bottom w:val="none" w:sz="0" w:space="0" w:color="auto"/>
        <w:right w:val="none" w:sz="0" w:space="0" w:color="auto"/>
      </w:divBdr>
    </w:div>
    <w:div w:id="1375350786">
      <w:bodyDiv w:val="1"/>
      <w:marLeft w:val="0"/>
      <w:marRight w:val="0"/>
      <w:marTop w:val="0"/>
      <w:marBottom w:val="0"/>
      <w:divBdr>
        <w:top w:val="none" w:sz="0" w:space="0" w:color="auto"/>
        <w:left w:val="none" w:sz="0" w:space="0" w:color="auto"/>
        <w:bottom w:val="none" w:sz="0" w:space="0" w:color="auto"/>
        <w:right w:val="none" w:sz="0" w:space="0" w:color="auto"/>
      </w:divBdr>
    </w:div>
    <w:div w:id="1669596306">
      <w:bodyDiv w:val="1"/>
      <w:marLeft w:val="0"/>
      <w:marRight w:val="0"/>
      <w:marTop w:val="0"/>
      <w:marBottom w:val="0"/>
      <w:divBdr>
        <w:top w:val="none" w:sz="0" w:space="0" w:color="auto"/>
        <w:left w:val="none" w:sz="0" w:space="0" w:color="auto"/>
        <w:bottom w:val="none" w:sz="0" w:space="0" w:color="auto"/>
        <w:right w:val="none" w:sz="0" w:space="0" w:color="auto"/>
      </w:divBdr>
    </w:div>
    <w:div w:id="1669678103">
      <w:bodyDiv w:val="1"/>
      <w:marLeft w:val="0"/>
      <w:marRight w:val="0"/>
      <w:marTop w:val="0"/>
      <w:marBottom w:val="0"/>
      <w:divBdr>
        <w:top w:val="none" w:sz="0" w:space="0" w:color="auto"/>
        <w:left w:val="none" w:sz="0" w:space="0" w:color="auto"/>
        <w:bottom w:val="none" w:sz="0" w:space="0" w:color="auto"/>
        <w:right w:val="none" w:sz="0" w:space="0" w:color="auto"/>
      </w:divBdr>
    </w:div>
    <w:div w:id="1739741196">
      <w:bodyDiv w:val="1"/>
      <w:marLeft w:val="0"/>
      <w:marRight w:val="0"/>
      <w:marTop w:val="0"/>
      <w:marBottom w:val="0"/>
      <w:divBdr>
        <w:top w:val="none" w:sz="0" w:space="0" w:color="auto"/>
        <w:left w:val="none" w:sz="0" w:space="0" w:color="auto"/>
        <w:bottom w:val="none" w:sz="0" w:space="0" w:color="auto"/>
        <w:right w:val="none" w:sz="0" w:space="0" w:color="auto"/>
      </w:divBdr>
    </w:div>
    <w:div w:id="1794446498">
      <w:bodyDiv w:val="1"/>
      <w:marLeft w:val="0"/>
      <w:marRight w:val="0"/>
      <w:marTop w:val="0"/>
      <w:marBottom w:val="0"/>
      <w:divBdr>
        <w:top w:val="none" w:sz="0" w:space="0" w:color="auto"/>
        <w:left w:val="none" w:sz="0" w:space="0" w:color="auto"/>
        <w:bottom w:val="none" w:sz="0" w:space="0" w:color="auto"/>
        <w:right w:val="none" w:sz="0" w:space="0" w:color="auto"/>
      </w:divBdr>
    </w:div>
    <w:div w:id="19010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1442</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2021-11-04T09:49:00Z</dcterms:created>
  <dcterms:modified xsi:type="dcterms:W3CDTF">2021-11-04T09:49:00Z</dcterms:modified>
</cp:coreProperties>
</file>