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66311C">
        <w:rPr>
          <w:b/>
          <w:sz w:val="24"/>
          <w:szCs w:val="24"/>
        </w:rPr>
        <w:t>SAVIVALDYBĖS BŪSTO IR NEĮRENGTOS PASTOGĖS DALIŲ</w:t>
      </w:r>
      <w:r w:rsidR="009D56A9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  <w:r w:rsidR="00475126">
        <w:rPr>
          <w:b/>
          <w:sz w:val="24"/>
          <w:szCs w:val="24"/>
        </w:rPr>
        <w:t xml:space="preserve"> (N)</w:t>
      </w:r>
    </w:p>
    <w:p w:rsidR="00397908" w:rsidRPr="00331B6D" w:rsidRDefault="00397908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6311C">
        <w:rPr>
          <w:sz w:val="24"/>
          <w:szCs w:val="24"/>
        </w:rPr>
        <w:t>būsto</w:t>
      </w:r>
      <w:r w:rsidR="00691CCA">
        <w:rPr>
          <w:sz w:val="24"/>
          <w:szCs w:val="24"/>
        </w:rPr>
        <w:t xml:space="preserve"> </w:t>
      </w:r>
      <w:r w:rsidR="0066311C">
        <w:rPr>
          <w:sz w:val="24"/>
          <w:szCs w:val="24"/>
        </w:rPr>
        <w:t xml:space="preserve">nuomininko ir neįrengtos pastogės bendraturčių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 xml:space="preserve">įsigyti </w:t>
      </w:r>
      <w:r w:rsidR="0066311C">
        <w:rPr>
          <w:sz w:val="24"/>
          <w:szCs w:val="24"/>
        </w:rPr>
        <w:t>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66311C">
        <w:rPr>
          <w:sz w:val="24"/>
          <w:szCs w:val="24"/>
        </w:rPr>
        <w:t>priklausantį</w:t>
      </w:r>
      <w:r w:rsidR="00F501F4">
        <w:rPr>
          <w:sz w:val="24"/>
          <w:szCs w:val="24"/>
        </w:rPr>
        <w:t xml:space="preserve"> b</w:t>
      </w:r>
      <w:r w:rsidR="0066311C">
        <w:rPr>
          <w:sz w:val="24"/>
          <w:szCs w:val="24"/>
        </w:rPr>
        <w:t>ūstą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 xml:space="preserve">ir </w:t>
      </w:r>
      <w:r w:rsidR="0066311C">
        <w:rPr>
          <w:sz w:val="24"/>
          <w:szCs w:val="24"/>
        </w:rPr>
        <w:t xml:space="preserve">neįrengtos pastogės dalis,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66311C">
        <w:rPr>
          <w:sz w:val="24"/>
          <w:szCs w:val="24"/>
        </w:rPr>
        <w:t>būsto</w:t>
      </w:r>
      <w:r w:rsidR="00A05351">
        <w:rPr>
          <w:sz w:val="24"/>
          <w:szCs w:val="24"/>
        </w:rPr>
        <w:t xml:space="preserve"> </w:t>
      </w:r>
      <w:r w:rsidR="0066311C">
        <w:rPr>
          <w:sz w:val="24"/>
          <w:szCs w:val="24"/>
        </w:rPr>
        <w:t>nuomininko</w:t>
      </w:r>
      <w:r w:rsidR="00252A48">
        <w:rPr>
          <w:sz w:val="24"/>
          <w:szCs w:val="24"/>
        </w:rPr>
        <w:t xml:space="preserve"> </w:t>
      </w:r>
      <w:r w:rsidR="00475126">
        <w:rPr>
          <w:sz w:val="24"/>
          <w:szCs w:val="24"/>
        </w:rPr>
        <w:t>G. L.</w:t>
      </w:r>
      <w:r w:rsidR="0066311C">
        <w:rPr>
          <w:sz w:val="24"/>
          <w:szCs w:val="24"/>
        </w:rPr>
        <w:t xml:space="preserve"> ir</w:t>
      </w:r>
      <w:r w:rsidR="001629D0">
        <w:rPr>
          <w:sz w:val="24"/>
          <w:szCs w:val="24"/>
        </w:rPr>
        <w:t xml:space="preserve"> </w:t>
      </w:r>
      <w:r w:rsidR="0066311C">
        <w:rPr>
          <w:sz w:val="24"/>
          <w:szCs w:val="24"/>
        </w:rPr>
        <w:t xml:space="preserve"> neįrengto</w:t>
      </w:r>
      <w:r w:rsidR="00475126">
        <w:rPr>
          <w:sz w:val="24"/>
          <w:szCs w:val="24"/>
        </w:rPr>
        <w:t>s pastogės bendraturčių P. G., S. G., A. V., V. V., G. S., N. T., S. U. ir V. P.</w:t>
      </w:r>
      <w:r w:rsidR="00CC0AA5">
        <w:rPr>
          <w:sz w:val="24"/>
          <w:szCs w:val="24"/>
        </w:rPr>
        <w:t xml:space="preserve"> </w:t>
      </w:r>
      <w:r w:rsidR="00E20452">
        <w:rPr>
          <w:sz w:val="24"/>
          <w:szCs w:val="24"/>
        </w:rPr>
        <w:t xml:space="preserve">prašymai </w:t>
      </w:r>
      <w:r w:rsidR="00CC0AA5">
        <w:rPr>
          <w:sz w:val="24"/>
          <w:szCs w:val="24"/>
        </w:rPr>
        <w:t>pirkti nuomojamą</w:t>
      </w:r>
      <w:r w:rsidR="00F9159E" w:rsidRPr="006E46B5">
        <w:rPr>
          <w:sz w:val="24"/>
          <w:szCs w:val="24"/>
        </w:rPr>
        <w:t xml:space="preserve"> savivaldybei nuosavybės teise prikl</w:t>
      </w:r>
      <w:r w:rsidR="00CC0AA5">
        <w:rPr>
          <w:sz w:val="24"/>
          <w:szCs w:val="24"/>
        </w:rPr>
        <w:t>ausantį būstą ir neįrengtos pastogės dalis</w:t>
      </w:r>
      <w:r w:rsidR="00F9159E">
        <w:rPr>
          <w:sz w:val="24"/>
          <w:szCs w:val="24"/>
        </w:rPr>
        <w:t xml:space="preserve">. </w:t>
      </w:r>
    </w:p>
    <w:p w:rsidR="00864ECC" w:rsidRPr="00941526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CC0AA5">
        <w:rPr>
          <w:sz w:val="24"/>
          <w:szCs w:val="24"/>
        </w:rPr>
        <w:t>Savival</w:t>
      </w:r>
      <w:r w:rsidR="00475126">
        <w:rPr>
          <w:sz w:val="24"/>
          <w:szCs w:val="24"/>
        </w:rPr>
        <w:t>dybės būsto nuomininkas G. L.</w:t>
      </w:r>
      <w:r w:rsidR="00CC0AA5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 w:rsidR="00CC0AA5">
        <w:rPr>
          <w:sz w:val="24"/>
          <w:szCs w:val="24"/>
        </w:rPr>
        <w:t xml:space="preserve">savybės teise priklausantį 56,82 </w:t>
      </w:r>
      <w:r w:rsidR="00C0123A">
        <w:rPr>
          <w:sz w:val="24"/>
          <w:szCs w:val="24"/>
        </w:rPr>
        <w:t xml:space="preserve">kv. m ploto būstą </w:t>
      </w:r>
      <w:r w:rsidR="00475126">
        <w:rPr>
          <w:sz w:val="24"/>
          <w:szCs w:val="24"/>
        </w:rPr>
        <w:t>Sausio 15-osios g. 20-</w:t>
      </w:r>
      <w:r w:rsidR="00475126" w:rsidRPr="00475126">
        <w:rPr>
          <w:i/>
          <w:sz w:val="24"/>
          <w:szCs w:val="24"/>
        </w:rPr>
        <w:t>(duomenys neskelbtini)</w:t>
      </w:r>
      <w:r w:rsidR="00BF1746">
        <w:rPr>
          <w:sz w:val="24"/>
          <w:szCs w:val="24"/>
        </w:rPr>
        <w:t>, Klaipėda.</w:t>
      </w:r>
      <w:r w:rsidR="005D6223" w:rsidRPr="005D6223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Būstas nuomojamas ne socialinio būsto nuomo</w:t>
      </w:r>
      <w:r w:rsidR="00CC0AA5">
        <w:rPr>
          <w:sz w:val="24"/>
          <w:szCs w:val="24"/>
        </w:rPr>
        <w:t>s sąlygomis, kuriame nuomininkas išgyvenęs</w:t>
      </w:r>
      <w:r w:rsidR="005D6223">
        <w:rPr>
          <w:sz w:val="24"/>
          <w:szCs w:val="24"/>
        </w:rPr>
        <w:t xml:space="preserve"> ne trumpiau kaip 5 metus.</w:t>
      </w:r>
      <w:r w:rsidR="00864ECC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CC0AA5">
        <w:rPr>
          <w:sz w:val="24"/>
          <w:szCs w:val="24"/>
        </w:rPr>
        <w:t>rinkos vertę – 60</w:t>
      </w:r>
      <w:r w:rsidR="00C314A2">
        <w:rPr>
          <w:sz w:val="24"/>
          <w:szCs w:val="24"/>
        </w:rPr>
        <w:t xml:space="preserve"> </w:t>
      </w:r>
      <w:r w:rsidR="001803B8">
        <w:rPr>
          <w:sz w:val="24"/>
          <w:szCs w:val="24"/>
        </w:rPr>
        <w:t>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  <w:r w:rsidR="009B4FE4">
        <w:rPr>
          <w:sz w:val="24"/>
          <w:szCs w:val="24"/>
        </w:rPr>
        <w:t>Nuomininku</w:t>
      </w:r>
      <w:r w:rsidR="000D3E59">
        <w:rPr>
          <w:sz w:val="24"/>
          <w:szCs w:val="24"/>
        </w:rPr>
        <w:t>i</w:t>
      </w:r>
      <w:r w:rsidR="007F282A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7F282A">
        <w:rPr>
          <w:sz w:val="24"/>
          <w:szCs w:val="24"/>
        </w:rPr>
        <w:t>užtikrina kredito davėjas</w:t>
      </w:r>
      <w:r w:rsidR="00457999">
        <w:rPr>
          <w:sz w:val="24"/>
          <w:szCs w:val="24"/>
        </w:rPr>
        <w:t xml:space="preserve"> –</w:t>
      </w:r>
      <w:r w:rsidR="007F282A">
        <w:rPr>
          <w:sz w:val="24"/>
          <w:szCs w:val="24"/>
        </w:rPr>
        <w:t xml:space="preserve"> </w:t>
      </w:r>
      <w:r w:rsidR="00CC0AA5" w:rsidRPr="00CC0AA5">
        <w:rPr>
          <w:sz w:val="24"/>
          <w:szCs w:val="24"/>
        </w:rPr>
        <w:t>AB SEB bankas (j. k. 112021238)</w:t>
      </w:r>
      <w:r w:rsidR="002D1DFB">
        <w:t>.</w:t>
      </w:r>
      <w:r w:rsidR="002D1DFB" w:rsidRPr="002D1DFB">
        <w:rPr>
          <w:sz w:val="24"/>
          <w:szCs w:val="24"/>
        </w:rPr>
        <w:t xml:space="preserve"> Pateiktas </w:t>
      </w:r>
      <w:r w:rsidR="00CC0AA5">
        <w:rPr>
          <w:sz w:val="24"/>
          <w:szCs w:val="24"/>
        </w:rPr>
        <w:t>2021-10-29</w:t>
      </w:r>
      <w:r w:rsidR="00DA04DE">
        <w:rPr>
          <w:sz w:val="24"/>
          <w:szCs w:val="24"/>
        </w:rPr>
        <w:t xml:space="preserve"> </w:t>
      </w:r>
      <w:r w:rsidR="002D1DFB">
        <w:rPr>
          <w:sz w:val="24"/>
          <w:szCs w:val="24"/>
        </w:rPr>
        <w:t>banko pranešimas.</w:t>
      </w:r>
    </w:p>
    <w:p w:rsidR="00E707DD" w:rsidRDefault="00563026" w:rsidP="00E707DD">
      <w:pPr>
        <w:ind w:left="-340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</w:t>
      </w:r>
      <w:r w:rsidR="00E707DD">
        <w:rPr>
          <w:sz w:val="24"/>
          <w:szCs w:val="24"/>
        </w:rPr>
        <w:t xml:space="preserve">        </w:t>
      </w:r>
      <w:r w:rsidR="00314C4C">
        <w:rPr>
          <w:sz w:val="24"/>
          <w:szCs w:val="24"/>
        </w:rPr>
        <w:t>Klaipėdos miesto savivaldybe</w:t>
      </w:r>
      <w:r w:rsidR="002D1DFB">
        <w:rPr>
          <w:sz w:val="24"/>
          <w:szCs w:val="24"/>
        </w:rPr>
        <w:t>i nuosavybės teise priklauso 1452/10000</w:t>
      </w:r>
      <w:r w:rsidR="00314C4C">
        <w:rPr>
          <w:sz w:val="24"/>
          <w:szCs w:val="24"/>
        </w:rPr>
        <w:t xml:space="preserve"> be</w:t>
      </w:r>
      <w:r w:rsidR="002D1DFB">
        <w:rPr>
          <w:sz w:val="24"/>
          <w:szCs w:val="24"/>
        </w:rPr>
        <w:t>ndrosios dalinės nuosavybės dalys 29,32</w:t>
      </w:r>
      <w:r w:rsidR="009D2EA5">
        <w:rPr>
          <w:sz w:val="24"/>
          <w:szCs w:val="24"/>
        </w:rPr>
        <w:t xml:space="preserve"> kv. m</w:t>
      </w:r>
      <w:r w:rsidR="00314C4C">
        <w:rPr>
          <w:sz w:val="24"/>
          <w:szCs w:val="24"/>
        </w:rPr>
        <w:t xml:space="preserve"> ploto, bendras plotas –</w:t>
      </w:r>
      <w:r w:rsidR="002D1DFB">
        <w:rPr>
          <w:sz w:val="24"/>
          <w:szCs w:val="24"/>
        </w:rPr>
        <w:t xml:space="preserve"> 201,90 </w:t>
      </w:r>
      <w:r w:rsidR="009D2EA5">
        <w:rPr>
          <w:sz w:val="24"/>
          <w:szCs w:val="24"/>
        </w:rPr>
        <w:t>kv. m</w:t>
      </w:r>
      <w:r w:rsidR="00314C4C">
        <w:rPr>
          <w:sz w:val="24"/>
          <w:szCs w:val="24"/>
        </w:rPr>
        <w:t xml:space="preserve"> neįrengtos p</w:t>
      </w:r>
      <w:r w:rsidR="009D2EA5">
        <w:rPr>
          <w:sz w:val="24"/>
          <w:szCs w:val="24"/>
        </w:rPr>
        <w:t>astogės gyvenamajame name Jūros g. 6, Klaipėda.</w:t>
      </w:r>
      <w:r w:rsidR="00314C4C">
        <w:rPr>
          <w:sz w:val="24"/>
          <w:szCs w:val="24"/>
        </w:rPr>
        <w:t xml:space="preserve"> Klaipėdos miesto savivaldybės a</w:t>
      </w:r>
      <w:r w:rsidR="009D2EA5">
        <w:rPr>
          <w:sz w:val="24"/>
          <w:szCs w:val="24"/>
        </w:rPr>
        <w:t>dministracijos direktoriaus 2021 m. rugsėjo 16 d. įsakymu Nr. AD2-1786</w:t>
      </w:r>
      <w:r w:rsidR="00314C4C">
        <w:rPr>
          <w:sz w:val="24"/>
          <w:szCs w:val="24"/>
        </w:rPr>
        <w:t xml:space="preserve"> „Dėl turto pripažinimo netinkamu (negalimu) naudoti“, savivaldybei priklausanti </w:t>
      </w:r>
      <w:r w:rsidR="009D2EA5">
        <w:rPr>
          <w:sz w:val="24"/>
          <w:szCs w:val="24"/>
        </w:rPr>
        <w:t xml:space="preserve">1452/10000 neįrengtos pastogės dalis Jūros g. </w:t>
      </w:r>
      <w:r w:rsidR="00314C4C">
        <w:rPr>
          <w:sz w:val="24"/>
          <w:szCs w:val="24"/>
        </w:rPr>
        <w:t>6, Klaipėdoje, pripažinta netinkama (negalima) naudoti reikmėms, susijusioms su savivaldybės butų ar kitų patalpų naudojimu ir pavesta Turto valdymo skyriui turtą parduoti bendraturčiams. Vadovaujantis teisės aktais d</w:t>
      </w:r>
      <w:r w:rsidR="00E707DD">
        <w:rPr>
          <w:sz w:val="24"/>
          <w:szCs w:val="24"/>
        </w:rPr>
        <w:t>ėl neįrengtos pastog</w:t>
      </w:r>
      <w:r w:rsidR="00314C4C">
        <w:rPr>
          <w:sz w:val="24"/>
          <w:szCs w:val="24"/>
        </w:rPr>
        <w:t>ės dalies pardavimo buvo išsiųsti pas</w:t>
      </w:r>
      <w:r w:rsidR="00E707DD">
        <w:rPr>
          <w:sz w:val="24"/>
          <w:szCs w:val="24"/>
        </w:rPr>
        <w:t>iūlymai visiems neįrengtos pastog</w:t>
      </w:r>
      <w:r w:rsidR="00314C4C">
        <w:rPr>
          <w:sz w:val="24"/>
          <w:szCs w:val="24"/>
        </w:rPr>
        <w:t xml:space="preserve">ės bendraturčiams. </w:t>
      </w:r>
      <w:r w:rsidR="00E707DD">
        <w:rPr>
          <w:sz w:val="24"/>
          <w:szCs w:val="24"/>
        </w:rPr>
        <w:t>P</w:t>
      </w:r>
      <w:r w:rsidR="00314C4C">
        <w:rPr>
          <w:sz w:val="24"/>
          <w:szCs w:val="24"/>
        </w:rPr>
        <w:t>age</w:t>
      </w:r>
      <w:r w:rsidR="008E4E82">
        <w:rPr>
          <w:sz w:val="24"/>
          <w:szCs w:val="24"/>
        </w:rPr>
        <w:t>idavimą įsigyti neįrengtos pastogės dalį pareiškė aštuoni</w:t>
      </w:r>
      <w:r w:rsidR="00E707DD">
        <w:rPr>
          <w:sz w:val="24"/>
          <w:szCs w:val="24"/>
        </w:rPr>
        <w:t xml:space="preserve"> bendraturčiai: </w:t>
      </w:r>
      <w:r w:rsidR="008E4E82">
        <w:rPr>
          <w:sz w:val="24"/>
          <w:szCs w:val="24"/>
        </w:rPr>
        <w:t>P. G</w:t>
      </w:r>
      <w:r w:rsidR="00470BB5">
        <w:rPr>
          <w:sz w:val="24"/>
          <w:szCs w:val="24"/>
        </w:rPr>
        <w:t>.</w:t>
      </w:r>
      <w:r w:rsidR="008E4E82">
        <w:rPr>
          <w:sz w:val="24"/>
          <w:szCs w:val="24"/>
        </w:rPr>
        <w:t>, S. G</w:t>
      </w:r>
      <w:r w:rsidR="00470BB5">
        <w:rPr>
          <w:sz w:val="24"/>
          <w:szCs w:val="24"/>
        </w:rPr>
        <w:t>., A. V.</w:t>
      </w:r>
      <w:r w:rsidR="008E4E82">
        <w:rPr>
          <w:sz w:val="24"/>
          <w:szCs w:val="24"/>
        </w:rPr>
        <w:t>, V. V</w:t>
      </w:r>
      <w:r w:rsidR="00470BB5">
        <w:rPr>
          <w:sz w:val="24"/>
          <w:szCs w:val="24"/>
        </w:rPr>
        <w:t>.</w:t>
      </w:r>
      <w:r w:rsidR="008E4E82">
        <w:rPr>
          <w:sz w:val="24"/>
          <w:szCs w:val="24"/>
        </w:rPr>
        <w:t>, G. S</w:t>
      </w:r>
      <w:r w:rsidR="00470BB5">
        <w:rPr>
          <w:sz w:val="24"/>
          <w:szCs w:val="24"/>
        </w:rPr>
        <w:t>., N. T.</w:t>
      </w:r>
      <w:r w:rsidR="008E4E82">
        <w:rPr>
          <w:sz w:val="24"/>
          <w:szCs w:val="24"/>
        </w:rPr>
        <w:t>, S. U</w:t>
      </w:r>
      <w:r w:rsidR="00470BB5">
        <w:rPr>
          <w:sz w:val="24"/>
          <w:szCs w:val="24"/>
        </w:rPr>
        <w:t>. ir V. P</w:t>
      </w:r>
      <w:r w:rsidR="008E4E82">
        <w:rPr>
          <w:sz w:val="24"/>
          <w:szCs w:val="24"/>
        </w:rPr>
        <w:t xml:space="preserve">. </w:t>
      </w:r>
      <w:r w:rsidR="00314C4C">
        <w:rPr>
          <w:sz w:val="24"/>
          <w:szCs w:val="24"/>
        </w:rPr>
        <w:t>Bendraturčiai susitarė neįrengtos pastogės dalį pirkti lygiomis dalimis. Turto vertintojai UAB „OBER-HAUS“ nekilnojamasis tu</w:t>
      </w:r>
      <w:r w:rsidR="008E4E82">
        <w:rPr>
          <w:sz w:val="24"/>
          <w:szCs w:val="24"/>
        </w:rPr>
        <w:t>rtas nustatė neįrengtos pastogės 1452/10000 dalių Jūros g. 6, Klaipėdoje, rinkos vertę – 6</w:t>
      </w:r>
      <w:r w:rsidR="00C314A2">
        <w:rPr>
          <w:sz w:val="24"/>
          <w:szCs w:val="24"/>
        </w:rPr>
        <w:t xml:space="preserve"> </w:t>
      </w:r>
      <w:r w:rsidR="008E4E82">
        <w:rPr>
          <w:sz w:val="24"/>
          <w:szCs w:val="24"/>
        </w:rPr>
        <w:t>070,00 Eur (iš jų 70</w:t>
      </w:r>
      <w:r w:rsidR="00314C4C">
        <w:rPr>
          <w:sz w:val="24"/>
          <w:szCs w:val="24"/>
        </w:rPr>
        <w:t>,00 Eur už turto vertės nustatymą), kuri atitinka palėpės dalies pardavimo kainą. Pirkėjai už perkamą tur</w:t>
      </w:r>
      <w:r w:rsidR="00D521A6">
        <w:rPr>
          <w:sz w:val="24"/>
          <w:szCs w:val="24"/>
        </w:rPr>
        <w:t>tą mokės lygiomis dalimis po 758,75 Eur (iš jų po 8,75</w:t>
      </w:r>
      <w:r w:rsidR="00314C4C">
        <w:rPr>
          <w:sz w:val="24"/>
          <w:szCs w:val="24"/>
        </w:rPr>
        <w:t xml:space="preserve"> Eur už turto vertės nustatymą).</w:t>
      </w:r>
    </w:p>
    <w:p w:rsidR="00837194" w:rsidRPr="00E707DD" w:rsidRDefault="00E707DD" w:rsidP="00E707DD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911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Sprendimo 1 punkte nurodytam </w:t>
      </w:r>
      <w:r w:rsidR="00D13B9A">
        <w:rPr>
          <w:sz w:val="24"/>
          <w:szCs w:val="24"/>
        </w:rPr>
        <w:t>pirkėjui G. L.</w:t>
      </w:r>
      <w:r w:rsidR="007E6DEC">
        <w:rPr>
          <w:sz w:val="24"/>
          <w:szCs w:val="24"/>
        </w:rPr>
        <w:t xml:space="preserve"> s</w:t>
      </w:r>
      <w:r w:rsidR="00837194">
        <w:rPr>
          <w:sz w:val="24"/>
          <w:szCs w:val="24"/>
        </w:rPr>
        <w:t xml:space="preserve">avivaldybės taryba savo sprendimu turi užtikrinti leidimą </w:t>
      </w:r>
      <w:r>
        <w:rPr>
          <w:sz w:val="24"/>
          <w:szCs w:val="24"/>
        </w:rPr>
        <w:t>įkeisti parduodamą būstą</w:t>
      </w:r>
      <w:r w:rsidR="00677CD7">
        <w:rPr>
          <w:sz w:val="24"/>
          <w:szCs w:val="24"/>
        </w:rPr>
        <w:t xml:space="preserve"> pirkėjo</w:t>
      </w:r>
      <w:r w:rsidR="002D01E3">
        <w:rPr>
          <w:sz w:val="24"/>
          <w:szCs w:val="24"/>
        </w:rPr>
        <w:t xml:space="preserve"> skolinio įsipareigojimo </w:t>
      </w:r>
      <w:r w:rsidR="0009113E">
        <w:rPr>
          <w:sz w:val="24"/>
          <w:szCs w:val="24"/>
        </w:rPr>
        <w:t>į</w:t>
      </w:r>
      <w:r w:rsidR="009556BF">
        <w:rPr>
          <w:sz w:val="24"/>
          <w:szCs w:val="24"/>
        </w:rPr>
        <w:t>vykdymui</w:t>
      </w:r>
      <w:r w:rsidR="002D01E3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>kredito davėjui AB SEB bankui, numatant, kad būsto</w:t>
      </w:r>
      <w:r w:rsidR="00837194">
        <w:rPr>
          <w:sz w:val="24"/>
          <w:szCs w:val="24"/>
        </w:rPr>
        <w:t xml:space="preserve"> hipoteka įsigalios, kai bus visiškai atsiskaityta </w:t>
      </w:r>
      <w:r w:rsidR="002D01E3">
        <w:rPr>
          <w:sz w:val="24"/>
          <w:szCs w:val="24"/>
        </w:rPr>
        <w:t>su savivaldybės administracija už perkamą būstą, sumokėta būsto</w:t>
      </w:r>
      <w:r w:rsidR="00837194">
        <w:rPr>
          <w:sz w:val="24"/>
          <w:szCs w:val="24"/>
        </w:rPr>
        <w:t xml:space="preserve"> kaina, netesybos ir įvykdytos kitos prievolės.</w:t>
      </w:r>
    </w:p>
    <w:p w:rsidR="0048591B" w:rsidRPr="00677CD7" w:rsidRDefault="00213FD1" w:rsidP="00677CD7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E20452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 xml:space="preserve">4 ir </w:t>
      </w:r>
      <w:r w:rsidR="00916F0C" w:rsidRPr="00FC1608">
        <w:rPr>
          <w:sz w:val="24"/>
          <w:szCs w:val="24"/>
        </w:rPr>
        <w:t>5</w:t>
      </w:r>
      <w:r w:rsidR="00677CD7">
        <w:rPr>
          <w:sz w:val="24"/>
          <w:szCs w:val="24"/>
        </w:rPr>
        <w:t xml:space="preserve">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677CD7">
        <w:rPr>
          <w:sz w:val="24"/>
          <w:szCs w:val="24"/>
        </w:rPr>
        <w:t xml:space="preserve"> straipsniu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777E4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>lapkričio</w:t>
      </w:r>
      <w:r w:rsidRPr="00CF474F">
        <w:rPr>
          <w:sz w:val="24"/>
          <w:szCs w:val="24"/>
        </w:rPr>
        <w:t xml:space="preserve"> </w:t>
      </w:r>
      <w:r w:rsidR="005677A0" w:rsidRPr="005677A0">
        <w:rPr>
          <w:sz w:val="24"/>
          <w:szCs w:val="24"/>
        </w:rPr>
        <w:t>8</w:t>
      </w:r>
      <w:r w:rsidR="00B66BF0" w:rsidRPr="005677A0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5677A0" w:rsidRPr="005677A0">
        <w:rPr>
          <w:sz w:val="24"/>
          <w:szCs w:val="24"/>
        </w:rPr>
        <w:t>2156</w:t>
      </w:r>
      <w:r w:rsidR="00942F37" w:rsidRPr="005677A0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677CD7">
        <w:rPr>
          <w:sz w:val="24"/>
          <w:szCs w:val="24"/>
        </w:rPr>
        <w:t>parduodamo savivaldybės būsto ir neįrengtos pastogės dalių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77CD7">
        <w:rPr>
          <w:sz w:val="24"/>
          <w:szCs w:val="24"/>
        </w:rPr>
        <w:t>būsto</w:t>
      </w:r>
      <w:r w:rsidR="00A82910" w:rsidRPr="00FC1608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>ir neįrengtos pastogės dalių</w:t>
      </w:r>
      <w:r w:rsidR="00677CD7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CD7">
        <w:rPr>
          <w:sz w:val="24"/>
          <w:szCs w:val="24"/>
        </w:rPr>
        <w:t xml:space="preserve">Savivaldybės nuomininkas ir turto bendraturčiai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B4FE4" w:rsidRPr="00470BB5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931BBD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677CD7">
        <w:rPr>
          <w:sz w:val="24"/>
          <w:szCs w:val="24"/>
        </w:rPr>
        <w:t xml:space="preserve"> lapkričio</w:t>
      </w:r>
      <w:r w:rsidR="0040068C" w:rsidRPr="00942F37">
        <w:rPr>
          <w:sz w:val="24"/>
          <w:szCs w:val="24"/>
        </w:rPr>
        <w:t xml:space="preserve"> </w:t>
      </w:r>
      <w:r w:rsidR="003301FD">
        <w:rPr>
          <w:sz w:val="24"/>
          <w:szCs w:val="24"/>
        </w:rPr>
        <w:t>8</w:t>
      </w:r>
      <w:r w:rsidR="00B66BF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3301FD" w:rsidRPr="003301FD">
        <w:rPr>
          <w:sz w:val="24"/>
          <w:szCs w:val="24"/>
        </w:rPr>
        <w:t>2156</w:t>
      </w:r>
      <w:r w:rsidR="005E0E36" w:rsidRPr="00EA23C1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>„Dėl parduodamo savivaldybės būsto ir neįrengtos pastogės dalių</w:t>
      </w:r>
      <w:r w:rsidR="00C97BA8" w:rsidRPr="00956F1D">
        <w:rPr>
          <w:sz w:val="24"/>
          <w:szCs w:val="24"/>
        </w:rPr>
        <w:t xml:space="preserve"> 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470BB5" w:rsidRDefault="00470BB5" w:rsidP="00241BE3">
      <w:pPr>
        <w:ind w:left="-340"/>
        <w:jc w:val="both"/>
        <w:rPr>
          <w:b/>
          <w:sz w:val="24"/>
          <w:szCs w:val="24"/>
        </w:rPr>
      </w:pPr>
    </w:p>
    <w:p w:rsidR="00470BB5" w:rsidRDefault="00470BB5" w:rsidP="00241BE3">
      <w:pPr>
        <w:ind w:left="-340"/>
        <w:jc w:val="both"/>
        <w:rPr>
          <w:b/>
          <w:sz w:val="24"/>
          <w:szCs w:val="24"/>
        </w:rPr>
      </w:pPr>
    </w:p>
    <w:p w:rsidR="00470BB5" w:rsidRPr="00470BB5" w:rsidRDefault="00470BB5" w:rsidP="00470BB5">
      <w:pPr>
        <w:ind w:left="-340"/>
        <w:jc w:val="center"/>
        <w:rPr>
          <w:sz w:val="24"/>
          <w:szCs w:val="24"/>
        </w:rPr>
      </w:pPr>
      <w:r w:rsidRPr="00470BB5">
        <w:rPr>
          <w:sz w:val="24"/>
          <w:szCs w:val="24"/>
        </w:rPr>
        <w:lastRenderedPageBreak/>
        <w:t>2</w:t>
      </w:r>
    </w:p>
    <w:p w:rsidR="00470BB5" w:rsidRDefault="00470BB5" w:rsidP="00241BE3">
      <w:pPr>
        <w:ind w:left="-340"/>
        <w:jc w:val="both"/>
        <w:rPr>
          <w:b/>
          <w:sz w:val="24"/>
          <w:szCs w:val="24"/>
        </w:rPr>
      </w:pP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5E1E07">
        <w:rPr>
          <w:sz w:val="24"/>
          <w:szCs w:val="24"/>
        </w:rPr>
        <w:t>66 150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5E1E07">
        <w:rPr>
          <w:sz w:val="24"/>
          <w:szCs w:val="24"/>
        </w:rPr>
        <w:t>150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5E1E07">
        <w:rPr>
          <w:sz w:val="24"/>
          <w:szCs w:val="24"/>
        </w:rPr>
        <w:t xml:space="preserve">ės nustatymo pažymų kopijos </w:t>
      </w:r>
      <w:r w:rsidR="00AC01C7">
        <w:rPr>
          <w:sz w:val="24"/>
          <w:szCs w:val="24"/>
        </w:rPr>
        <w:t xml:space="preserve">(N) </w:t>
      </w:r>
      <w:r w:rsidR="005E1E07">
        <w:rPr>
          <w:sz w:val="24"/>
          <w:szCs w:val="24"/>
        </w:rPr>
        <w:t>– 2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1E1E"/>
    <w:rsid w:val="00213FD1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1DFB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4C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01FD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0BB5"/>
    <w:rsid w:val="00472593"/>
    <w:rsid w:val="004731B7"/>
    <w:rsid w:val="00474670"/>
    <w:rsid w:val="00475126"/>
    <w:rsid w:val="00475FD6"/>
    <w:rsid w:val="00476A61"/>
    <w:rsid w:val="0047726A"/>
    <w:rsid w:val="004813EA"/>
    <w:rsid w:val="0048591B"/>
    <w:rsid w:val="00486F1D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107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677A0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E07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311C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77CD7"/>
    <w:rsid w:val="006800DE"/>
    <w:rsid w:val="006812D4"/>
    <w:rsid w:val="006824FB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4E8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4FE4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2EA5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01C7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14A2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0AA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D7C0B"/>
    <w:rsid w:val="00CE1C9F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9A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1A6"/>
    <w:rsid w:val="00D52DAB"/>
    <w:rsid w:val="00D60107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67BF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07DD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1902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5E4B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4626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2021-11-11T11:41:00Z</dcterms:created>
  <dcterms:modified xsi:type="dcterms:W3CDTF">2021-11-11T11:41:00Z</dcterms:modified>
</cp:coreProperties>
</file>