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Layout w:type="fixed"/>
        <w:tblLook w:val="04A0" w:firstRow="1" w:lastRow="0" w:firstColumn="1" w:lastColumn="0" w:noHBand="0" w:noVBand="1"/>
      </w:tblPr>
      <w:tblGrid>
        <w:gridCol w:w="3969"/>
      </w:tblGrid>
      <w:tr w:rsidR="00C7577B" w14:paraId="725E9D16" w14:textId="77777777">
        <w:tc>
          <w:tcPr>
            <w:tcW w:w="3969" w:type="dxa"/>
            <w:tcBorders>
              <w:top w:val="nil"/>
              <w:left w:val="nil"/>
              <w:bottom w:val="nil"/>
              <w:right w:val="nil"/>
            </w:tcBorders>
          </w:tcPr>
          <w:p w14:paraId="725E9D15" w14:textId="77777777" w:rsidR="00C7577B" w:rsidRDefault="001250EC">
            <w:pPr>
              <w:tabs>
                <w:tab w:val="left" w:pos="5070"/>
                <w:tab w:val="left" w:pos="5366"/>
                <w:tab w:val="left" w:pos="6771"/>
                <w:tab w:val="left" w:pos="7363"/>
              </w:tabs>
              <w:jc w:val="both"/>
            </w:pPr>
            <w:r>
              <w:t>PATVIRTINTA</w:t>
            </w:r>
          </w:p>
        </w:tc>
      </w:tr>
      <w:tr w:rsidR="00C7577B" w14:paraId="725E9D18" w14:textId="77777777">
        <w:tc>
          <w:tcPr>
            <w:tcW w:w="3969" w:type="dxa"/>
            <w:tcBorders>
              <w:top w:val="nil"/>
              <w:left w:val="nil"/>
              <w:bottom w:val="nil"/>
              <w:right w:val="nil"/>
            </w:tcBorders>
          </w:tcPr>
          <w:p w14:paraId="725E9D17" w14:textId="77777777" w:rsidR="00C7577B" w:rsidRDefault="001250EC">
            <w:r>
              <w:t>Klaipėdos miesto savivaldybės</w:t>
            </w:r>
          </w:p>
        </w:tc>
      </w:tr>
      <w:tr w:rsidR="00C7577B" w14:paraId="725E9D1A" w14:textId="77777777">
        <w:tc>
          <w:tcPr>
            <w:tcW w:w="3969" w:type="dxa"/>
            <w:tcBorders>
              <w:top w:val="nil"/>
              <w:left w:val="nil"/>
              <w:bottom w:val="nil"/>
              <w:right w:val="nil"/>
            </w:tcBorders>
          </w:tcPr>
          <w:p w14:paraId="725E9D19" w14:textId="3BD793F2" w:rsidR="00C7577B" w:rsidRDefault="001250EC" w:rsidP="001D2C9C">
            <w:r>
              <w:t xml:space="preserve">tarybos </w:t>
            </w:r>
            <w:r w:rsidR="001D2C9C">
              <w:t>2022 m. sausio 26 d.</w:t>
            </w:r>
            <w:bookmarkStart w:id="0" w:name="_GoBack"/>
            <w:bookmarkEnd w:id="0"/>
          </w:p>
        </w:tc>
      </w:tr>
      <w:tr w:rsidR="00C7577B" w14:paraId="725E9D1C" w14:textId="77777777">
        <w:tc>
          <w:tcPr>
            <w:tcW w:w="3969" w:type="dxa"/>
            <w:tcBorders>
              <w:top w:val="nil"/>
              <w:left w:val="nil"/>
              <w:bottom w:val="nil"/>
              <w:right w:val="nil"/>
            </w:tcBorders>
          </w:tcPr>
          <w:p w14:paraId="725E9D1B" w14:textId="77777777" w:rsidR="00C7577B" w:rsidRDefault="001250EC">
            <w:pPr>
              <w:tabs>
                <w:tab w:val="left" w:pos="5070"/>
                <w:tab w:val="left" w:pos="5366"/>
                <w:tab w:val="left" w:pos="6771"/>
                <w:tab w:val="left" w:pos="7363"/>
              </w:tabs>
            </w:pPr>
            <w:r>
              <w:t xml:space="preserve">sprendimu Nr. </w:t>
            </w:r>
            <w:bookmarkStart w:id="1" w:name="registravimoNr"/>
            <w:r>
              <w:t>T1-15</w:t>
            </w:r>
            <w:bookmarkEnd w:id="1"/>
          </w:p>
        </w:tc>
      </w:tr>
    </w:tbl>
    <w:p w14:paraId="725E9D1D" w14:textId="77777777" w:rsidR="00C7577B" w:rsidRDefault="00C7577B">
      <w:pPr>
        <w:jc w:val="center"/>
      </w:pPr>
    </w:p>
    <w:p w14:paraId="725E9D1E" w14:textId="77777777" w:rsidR="00C7577B" w:rsidRDefault="00C7577B">
      <w:pPr>
        <w:jc w:val="center"/>
      </w:pPr>
    </w:p>
    <w:p w14:paraId="725E9D1F" w14:textId="77777777" w:rsidR="00C7577B" w:rsidRDefault="001250EC">
      <w:pPr>
        <w:jc w:val="center"/>
        <w:rPr>
          <w:b/>
          <w:bCs/>
        </w:rPr>
      </w:pPr>
      <w:r>
        <w:rPr>
          <w:b/>
          <w:bCs/>
        </w:rPr>
        <w:t xml:space="preserve">FINANSAVIMO LĖŠŲ, SKIRTŲ KLAIPĖDOS MIESTO SAVIVALDYBĖS VIETINĖS REIKŠMĖS KELIAMS IR GATVĖMS, </w:t>
      </w:r>
      <w:bookmarkStart w:id="2" w:name="_Hlk93309994"/>
      <w:r>
        <w:rPr>
          <w:b/>
          <w:bCs/>
        </w:rPr>
        <w:t xml:space="preserve">DVIRAČIŲ IR PĖSČIŲJŲ TAKAMS, </w:t>
      </w:r>
      <w:r>
        <w:rPr>
          <w:b/>
          <w:caps/>
        </w:rPr>
        <w:t>DAUGIABUČIŲ NAMŲ KIEMŲ VIDAUS KELIAMS (GATVĖMS) IR JŲ AUTOMOBILIŲ STOVĖJIMO AIKŠTELĖMS ĮRENGTI,</w:t>
      </w:r>
      <w:r>
        <w:rPr>
          <w:b/>
          <w:bCs/>
        </w:rPr>
        <w:t xml:space="preserve"> </w:t>
      </w:r>
      <w:bookmarkEnd w:id="2"/>
      <w:r>
        <w:rPr>
          <w:b/>
          <w:bCs/>
        </w:rPr>
        <w:t xml:space="preserve">TIESTI, REKONSTRUOTI, TAISYTI (REMONTUOTI) NAUDOJIMO IR SKIRSTYMO, OBJEKTŲ EILIŠKUMO </w:t>
      </w:r>
    </w:p>
    <w:p w14:paraId="725E9D20" w14:textId="77777777" w:rsidR="00C7577B" w:rsidRDefault="001250EC">
      <w:pPr>
        <w:jc w:val="center"/>
        <w:rPr>
          <w:b/>
          <w:bCs/>
        </w:rPr>
      </w:pPr>
      <w:r>
        <w:rPr>
          <w:b/>
          <w:bCs/>
        </w:rPr>
        <w:t xml:space="preserve">NUSTATYMO TVARKOS APRAŠAS </w:t>
      </w:r>
    </w:p>
    <w:p w14:paraId="725E9D21" w14:textId="77777777" w:rsidR="00C7577B" w:rsidRDefault="00C7577B">
      <w:pPr>
        <w:jc w:val="center"/>
        <w:rPr>
          <w:b/>
          <w:bCs/>
        </w:rPr>
      </w:pPr>
    </w:p>
    <w:p w14:paraId="725E9D22" w14:textId="77777777" w:rsidR="00C7577B" w:rsidRDefault="001250EC">
      <w:pPr>
        <w:jc w:val="center"/>
        <w:rPr>
          <w:b/>
          <w:bCs/>
        </w:rPr>
      </w:pPr>
      <w:r>
        <w:rPr>
          <w:b/>
          <w:bCs/>
        </w:rPr>
        <w:t xml:space="preserve">I SKYRIUS </w:t>
      </w:r>
    </w:p>
    <w:p w14:paraId="725E9D23" w14:textId="77777777" w:rsidR="00C7577B" w:rsidRDefault="001250EC">
      <w:pPr>
        <w:jc w:val="center"/>
        <w:rPr>
          <w:b/>
          <w:bCs/>
        </w:rPr>
      </w:pPr>
      <w:r>
        <w:rPr>
          <w:b/>
          <w:bCs/>
        </w:rPr>
        <w:t xml:space="preserve">BENDROSIOS NUOSTATOS </w:t>
      </w:r>
    </w:p>
    <w:p w14:paraId="725E9D24" w14:textId="77777777" w:rsidR="00C7577B" w:rsidRDefault="00C7577B">
      <w:pPr>
        <w:jc w:val="center"/>
        <w:rPr>
          <w:b/>
          <w:bCs/>
        </w:rPr>
      </w:pPr>
    </w:p>
    <w:p w14:paraId="725E9D25" w14:textId="77777777" w:rsidR="00C7577B" w:rsidRDefault="001250EC" w:rsidP="00510678">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aprašas (toliau – Aprašas) nustato Kelių priežiūros ir plėtros programos, Europos Sąjungos (toliau – ES) fondų ir Klaipėdos miesto savivaldybės (toliau – Savivaldybė) biudžeto finansavimo lėšų, skirtų Savivaldybės vietinės reikšmės keliams ir gatvėms, dviračių ir pėsčiųjų takams ir daugiabučių namų kiemų vidaus keliams (gatvėms) ir jų automobilių stovėjimo aikštelėms, taisyti (remontuoti), skirstymo tvarką, panaudojimą ir atsiskaitymą už </w:t>
      </w:r>
      <w:proofErr w:type="spellStart"/>
      <w:r>
        <w:rPr>
          <w:rFonts w:ascii="Times New Roman" w:hAnsi="Times New Roman" w:cs="Times New Roman"/>
          <w:sz w:val="24"/>
          <w:szCs w:val="24"/>
        </w:rPr>
        <w:t>asignavimus</w:t>
      </w:r>
      <w:proofErr w:type="spellEnd"/>
      <w:r>
        <w:rPr>
          <w:rFonts w:ascii="Times New Roman" w:hAnsi="Times New Roman" w:cs="Times New Roman"/>
          <w:sz w:val="24"/>
          <w:szCs w:val="24"/>
        </w:rPr>
        <w:t>, planuojamų tiesti, rekonstruoti, taisyti (remontuoti) objektų eiliškumo nustatymo tvarką.</w:t>
      </w:r>
    </w:p>
    <w:p w14:paraId="725E9D26" w14:textId="77777777" w:rsidR="00C7577B" w:rsidRDefault="001250EC" w:rsidP="00510678">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Aprašas parengtas vadovaujantis Lietuvos Respublikos kelių įstatymu, Lietuvos Respublikos vietos savivaldos įstatymo 6 straipsnio 22 ir 32 punktais, Lietuvos Respublikos kelių priežiūros ir plėtros programos finansavimo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p>
    <w:p w14:paraId="725E9D27" w14:textId="77777777" w:rsidR="00C7577B" w:rsidRDefault="001250EC" w:rsidP="00510678">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Aprašu siekiama užtikrinti Savivaldybės vietinės reikšmės kelių ir gatvių, dviračių ir pėsčiųjų takų, daugiabučių namų kiemų vidaus kelių (gatvių) ir jų automobilių stovėjimo aikštelių gerą būklę ir tinkamą finansavimo lėšų, skirtų vietinės reikšmės keliams ir gatvėms, dviračių ir pėsčiųjų takams, daugiabučių namų kiemų vidaus keliams (gatvėms) ir jų automobilių stovėjimo aikštelėms įrengti, tiesti, rekonstruoti, taisyti (remontuoti), paskirstymą ir naudojimą. </w:t>
      </w:r>
    </w:p>
    <w:p w14:paraId="725E9D28" w14:textId="77777777" w:rsidR="00C7577B" w:rsidRDefault="001250EC" w:rsidP="00510678">
      <w:pPr>
        <w:pStyle w:val="Sraopastraipa"/>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Objektai, kurie yra įtraukti į Savivaldybės 2022–2024 m. strateginį veiklos planą, yra nereitinguojami ir pirmumo tvarka įtraukiami į prioritetinius sąrašus (toliau – Prioritetiniai sąrašai). </w:t>
      </w:r>
    </w:p>
    <w:p w14:paraId="725E9D29" w14:textId="77777777" w:rsidR="00C7577B" w:rsidRDefault="00C7577B">
      <w:pPr>
        <w:ind w:firstLine="1296"/>
        <w:jc w:val="both"/>
        <w:rPr>
          <w:b/>
          <w:bCs/>
        </w:rPr>
      </w:pPr>
    </w:p>
    <w:p w14:paraId="725E9D2A" w14:textId="77777777" w:rsidR="00C7577B" w:rsidRDefault="001250EC">
      <w:pPr>
        <w:jc w:val="center"/>
        <w:rPr>
          <w:b/>
          <w:bCs/>
        </w:rPr>
      </w:pPr>
      <w:r>
        <w:rPr>
          <w:b/>
          <w:bCs/>
        </w:rPr>
        <w:t xml:space="preserve">II SKYRIUS </w:t>
      </w:r>
    </w:p>
    <w:p w14:paraId="725E9D2B" w14:textId="77777777" w:rsidR="00C7577B" w:rsidRDefault="001250EC">
      <w:pPr>
        <w:jc w:val="center"/>
        <w:rPr>
          <w:b/>
          <w:bCs/>
        </w:rPr>
      </w:pPr>
      <w:r>
        <w:rPr>
          <w:b/>
          <w:bCs/>
        </w:rPr>
        <w:t xml:space="preserve">SĄRAŠŲ TEIKIMAS </w:t>
      </w:r>
    </w:p>
    <w:p w14:paraId="725E9D2C" w14:textId="77777777" w:rsidR="00C7577B" w:rsidRDefault="00C7577B">
      <w:pPr>
        <w:jc w:val="center"/>
        <w:rPr>
          <w:b/>
          <w:bCs/>
        </w:rPr>
      </w:pPr>
    </w:p>
    <w:p w14:paraId="725E9D2D" w14:textId="77777777" w:rsidR="00C7577B" w:rsidRDefault="001250EC" w:rsidP="00510678">
      <w:pPr>
        <w:pStyle w:val="Sraopastraipa"/>
        <w:numPr>
          <w:ilvl w:val="0"/>
          <w:numId w:val="1"/>
        </w:num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Iki einamųjų metų rugsėjo 15 d. Savivaldybės administracijos atsakingi padaliniai sudaro šiuos sąrašus:</w:t>
      </w:r>
    </w:p>
    <w:p w14:paraId="725E9D2E" w14:textId="77777777" w:rsidR="00C7577B" w:rsidRDefault="001250EC" w:rsidP="00510678">
      <w:pPr>
        <w:pStyle w:val="Sraopastraipa"/>
        <w:numPr>
          <w:ilvl w:val="1"/>
          <w:numId w:val="2"/>
        </w:numPr>
        <w:tabs>
          <w:tab w:val="left" w:pos="993"/>
          <w:tab w:val="left" w:pos="1134"/>
          <w:tab w:val="left" w:pos="1560"/>
          <w:tab w:val="left" w:pos="184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Planuojamų įrengti, statyti, rekonstruoti ar kapitališkai remontuoti vietinės reikšmės kelių ir gatvių, dviračių ir pėsčiųjų takų, daugiabučių namų kiemų vidaus kelių (gatvių) ir jų automobilių stovėjimo aikštelių sąrašus, kuriuose nurodoma planuojamų atlikti darbų apimtis, objekto schema, matmenys ar projektiniai pasiūlymai, atsižvelgiant į Savivaldybės strateginį veiklos planą; </w:t>
      </w:r>
    </w:p>
    <w:p w14:paraId="725E9D2F" w14:textId="77777777" w:rsidR="00C7577B" w:rsidRDefault="001250EC" w:rsidP="00510678">
      <w:pPr>
        <w:pStyle w:val="Sraopastraipa"/>
        <w:numPr>
          <w:ilvl w:val="1"/>
          <w:numId w:val="2"/>
        </w:numPr>
        <w:tabs>
          <w:tab w:val="left" w:pos="993"/>
          <w:tab w:val="left" w:pos="1134"/>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Vietinės reikšmės kelių ir gatvių, dviračių ir pėsčiųjų takų, daugiabučių namų kiemų vidaus kelių (gatvių) ir jų automobilių stovėjimo aikštelių (paprastojo remonto) sąrašus, kuriuose nurodomi darbai, kurie tinkami finansuoti pagal 2 punkte nurodytų teisės aktų nuostatas;</w:t>
      </w:r>
    </w:p>
    <w:p w14:paraId="725E9D30" w14:textId="77777777" w:rsidR="00C7577B" w:rsidRDefault="001250EC" w:rsidP="00510678">
      <w:pPr>
        <w:pStyle w:val="Sraopastraipa"/>
        <w:numPr>
          <w:ilvl w:val="1"/>
          <w:numId w:val="2"/>
        </w:numPr>
        <w:tabs>
          <w:tab w:val="left" w:pos="0"/>
          <w:tab w:val="left" w:pos="993"/>
          <w:tab w:val="left" w:pos="1134"/>
          <w:tab w:val="left" w:pos="1418"/>
          <w:tab w:val="left" w:pos="184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Planuojamų tiesti, rekonstruoti ar kapitališkai remontuoti vietinės reikšmės kelių (gatvių), prie kurių remonto pageidauja prisidėti fiziniai ir juridiniai asmenys, sąrašą. Sąrašas sudaromas vadovaujantis Savivaldybės tarybos 2017 m. kovo 30 d. sprendimu Nr. T2-75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(pakeista 2018 m. liepos 26 d. sprendimu Nr. T2-181) patvirtintu aprašu;</w:t>
      </w:r>
    </w:p>
    <w:p w14:paraId="725E9D31" w14:textId="77777777" w:rsidR="00C7577B" w:rsidRDefault="001250EC" w:rsidP="00510678">
      <w:pPr>
        <w:pStyle w:val="Sraopastraipa"/>
        <w:numPr>
          <w:ilvl w:val="1"/>
          <w:numId w:val="2"/>
        </w:numPr>
        <w:tabs>
          <w:tab w:val="left" w:pos="0"/>
          <w:tab w:val="left" w:pos="993"/>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Vietinės reikšmės kelių (gatvių) su žvyro danga remonto darbų eiliškumo sąrašą, sudarytą vadovaujantis </w:t>
      </w:r>
      <w:bookmarkStart w:id="3" w:name="_Hlk93318946"/>
      <w:r>
        <w:rPr>
          <w:rFonts w:ascii="Times New Roman" w:hAnsi="Times New Roman" w:cs="Times New Roman"/>
          <w:sz w:val="24"/>
          <w:szCs w:val="24"/>
        </w:rPr>
        <w:t xml:space="preserve">Savivaldybės tarybos 2019 m. spalio 24 d. sprendimu Nr. T2-313 </w:t>
      </w:r>
      <w:bookmarkEnd w:id="3"/>
      <w:r>
        <w:rPr>
          <w:rFonts w:ascii="Times New Roman" w:hAnsi="Times New Roman" w:cs="Times New Roman"/>
          <w:sz w:val="24"/>
          <w:szCs w:val="24"/>
        </w:rPr>
        <w:t>„Dėl Klaipėdos miesto savivaldybės vietinės reikšmės kelių ir gatvių su žvyro danga remonto darbų eiliškumo kriterijų nustatymo tvarkos</w:t>
      </w:r>
      <w:r>
        <w:rPr>
          <w:rFonts w:ascii="Times New Roman" w:hAnsi="Times New Roman" w:cs="Times New Roman"/>
          <w:b/>
          <w:sz w:val="24"/>
          <w:szCs w:val="24"/>
        </w:rPr>
        <w:t xml:space="preserve"> </w:t>
      </w:r>
      <w:r>
        <w:rPr>
          <w:rFonts w:ascii="Times New Roman" w:hAnsi="Times New Roman" w:cs="Times New Roman"/>
          <w:sz w:val="24"/>
          <w:szCs w:val="24"/>
        </w:rPr>
        <w:t>aprašo patvirtinimo“ patvirtintu aprašu;</w:t>
      </w:r>
    </w:p>
    <w:p w14:paraId="725E9D32" w14:textId="77777777" w:rsidR="00C7577B" w:rsidRDefault="001250EC" w:rsidP="00510678">
      <w:pPr>
        <w:pStyle w:val="Sraopastraipa"/>
        <w:numPr>
          <w:ilvl w:val="1"/>
          <w:numId w:val="2"/>
        </w:numPr>
        <w:tabs>
          <w:tab w:val="left" w:pos="0"/>
          <w:tab w:val="left" w:pos="993"/>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Daugiabučių namų kiemų rekonstrukcijos darbų eiliškumo sąrašą, sudarytą vadovaujantis Savivaldybės tarybos 2021 m. balandžio 29 d. sprendimu Nr. T2-107 „</w:t>
      </w:r>
      <w:r>
        <w:rPr>
          <w:rFonts w:ascii="Times New Roman" w:hAnsi="Times New Roman" w:cs="Times New Roman"/>
          <w:sz w:val="24"/>
          <w:szCs w:val="24"/>
          <w:shd w:val="clear" w:color="auto" w:fill="FFFFFF"/>
        </w:rPr>
        <w:t>Dėl 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patvirtinimo“ patvirtintu aprašu.</w:t>
      </w:r>
    </w:p>
    <w:p w14:paraId="725E9D33" w14:textId="77777777" w:rsidR="00C7577B" w:rsidRDefault="00C7577B">
      <w:pPr>
        <w:tabs>
          <w:tab w:val="left" w:pos="0"/>
          <w:tab w:val="left" w:pos="993"/>
          <w:tab w:val="left" w:pos="1134"/>
        </w:tabs>
        <w:ind w:firstLine="709"/>
        <w:jc w:val="center"/>
        <w:rPr>
          <w:b/>
          <w:bCs/>
        </w:rPr>
      </w:pPr>
    </w:p>
    <w:p w14:paraId="725E9D34" w14:textId="77777777" w:rsidR="00C7577B" w:rsidRDefault="001250EC">
      <w:pPr>
        <w:jc w:val="center"/>
        <w:rPr>
          <w:b/>
          <w:bCs/>
        </w:rPr>
      </w:pPr>
      <w:r>
        <w:rPr>
          <w:b/>
          <w:bCs/>
        </w:rPr>
        <w:t xml:space="preserve">III SKYRIUS </w:t>
      </w:r>
    </w:p>
    <w:p w14:paraId="725E9D35" w14:textId="77777777" w:rsidR="00C7577B" w:rsidRDefault="001250EC">
      <w:pPr>
        <w:jc w:val="center"/>
        <w:rPr>
          <w:b/>
          <w:bCs/>
        </w:rPr>
      </w:pPr>
      <w:r>
        <w:rPr>
          <w:b/>
          <w:bCs/>
        </w:rPr>
        <w:t xml:space="preserve">VIETINĖS REIKŠMĖS KELIŲ IR GATVIŲ, DVIRAČIŲ IR PĖSČIŲJŲ TAKŲ, </w:t>
      </w:r>
      <w:r>
        <w:rPr>
          <w:b/>
          <w:caps/>
        </w:rPr>
        <w:t>DAUGIABUČIŲ NAMŲ KIEMŲ VIDAUS KELIŲ (GATVIŲ) IR JŲ AUTOMOBILIŲ STOVĖJIMO AIKŠTELIŲ</w:t>
      </w:r>
      <w:r>
        <w:rPr>
          <w:b/>
          <w:bCs/>
        </w:rPr>
        <w:t xml:space="preserve"> PRIORITETINIŲ SĄRAŠŲ SUDARYMAS</w:t>
      </w:r>
    </w:p>
    <w:p w14:paraId="725E9D36" w14:textId="77777777" w:rsidR="00C7577B" w:rsidRDefault="00C7577B">
      <w:pPr>
        <w:jc w:val="center"/>
        <w:rPr>
          <w:b/>
          <w:bCs/>
        </w:rPr>
      </w:pPr>
    </w:p>
    <w:p w14:paraId="725E9D37" w14:textId="77777777" w:rsidR="00C7577B" w:rsidRDefault="001250EC">
      <w:pPr>
        <w:pStyle w:val="Sraopastraipa"/>
        <w:numPr>
          <w:ilvl w:val="0"/>
          <w:numId w:val="2"/>
        </w:numPr>
        <w:tabs>
          <w:tab w:val="left" w:pos="993"/>
          <w:tab w:val="left" w:pos="1134"/>
        </w:tabs>
        <w:ind w:left="0" w:firstLine="709"/>
        <w:jc w:val="both"/>
        <w:rPr>
          <w:rFonts w:ascii="Times New Roman" w:hAnsi="Times New Roman" w:cs="Times New Roman"/>
          <w:sz w:val="24"/>
          <w:szCs w:val="24"/>
          <w:lang w:eastAsia="lt-LT" w:bidi="lo-LA"/>
        </w:rPr>
      </w:pPr>
      <w:r>
        <w:rPr>
          <w:rFonts w:ascii="Times New Roman" w:hAnsi="Times New Roman" w:cs="Times New Roman"/>
          <w:sz w:val="24"/>
          <w:szCs w:val="24"/>
          <w:lang w:eastAsia="lt-LT" w:bidi="lo-LA"/>
        </w:rPr>
        <w:t>Visus sąrašus nagrinėja ir vertina Savivaldybės administracijos direktoriaus įsakymu sudaryta nuolatinė komisija (iš ne mažiau kaip 5 asmenų) (toliau – Komisija) vietinės reikšmės kelių ir g</w:t>
      </w:r>
      <w:r>
        <w:rPr>
          <w:rFonts w:ascii="Times New Roman" w:hAnsi="Times New Roman" w:cs="Times New Roman"/>
          <w:sz w:val="24"/>
          <w:szCs w:val="24"/>
        </w:rPr>
        <w:t xml:space="preserve">atvių, dviračių ir pėsčiųjų takų, daugiabučių namų kiemų vidaus kelių (gatvių) ir jų automobilių stovėjimo aikštelių įrengimo, tiesimo, rekonstravimo, taisymo (remonto) trejų metų laikotarpiui Prioritetiniams sąrašams </w:t>
      </w:r>
      <w:r>
        <w:rPr>
          <w:rFonts w:ascii="Times New Roman" w:hAnsi="Times New Roman" w:cs="Times New Roman"/>
          <w:sz w:val="24"/>
          <w:szCs w:val="24"/>
          <w:lang w:eastAsia="lt-LT" w:bidi="lo-LA"/>
        </w:rPr>
        <w:t>sudaryti.</w:t>
      </w:r>
    </w:p>
    <w:p w14:paraId="725E9D38" w14:textId="77777777" w:rsidR="00C7577B" w:rsidRDefault="001250EC">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Komisija vertina objektus balais pagal šiuos atrankos kriterijus (Aprašo 1 priedas): </w:t>
      </w:r>
    </w:p>
    <w:tbl>
      <w:tblPr>
        <w:tblStyle w:val="Lentelstinklelis"/>
        <w:tblW w:w="7366" w:type="dxa"/>
        <w:tblInd w:w="1413" w:type="dxa"/>
        <w:tblLayout w:type="fixed"/>
        <w:tblLook w:val="04A0" w:firstRow="1" w:lastRow="0" w:firstColumn="1" w:lastColumn="0" w:noHBand="0" w:noVBand="1"/>
      </w:tblPr>
      <w:tblGrid>
        <w:gridCol w:w="846"/>
        <w:gridCol w:w="6520"/>
      </w:tblGrid>
      <w:tr w:rsidR="00C7577B" w14:paraId="725E9D3B" w14:textId="77777777">
        <w:trPr>
          <w:trHeight w:val="608"/>
        </w:trPr>
        <w:tc>
          <w:tcPr>
            <w:tcW w:w="846" w:type="dxa"/>
          </w:tcPr>
          <w:p w14:paraId="725E9D39" w14:textId="77777777" w:rsidR="00C7577B" w:rsidRDefault="001250EC">
            <w:pPr>
              <w:jc w:val="center"/>
              <w:rPr>
                <w:b/>
                <w:bCs/>
              </w:rPr>
            </w:pPr>
            <w:r>
              <w:rPr>
                <w:rFonts w:eastAsia="Calibri"/>
                <w:b/>
                <w:bCs/>
              </w:rPr>
              <w:t>Eil. Nr.</w:t>
            </w:r>
          </w:p>
        </w:tc>
        <w:tc>
          <w:tcPr>
            <w:tcW w:w="6519" w:type="dxa"/>
          </w:tcPr>
          <w:p w14:paraId="725E9D3A" w14:textId="77777777" w:rsidR="00C7577B" w:rsidRDefault="001250EC">
            <w:pPr>
              <w:jc w:val="center"/>
              <w:rPr>
                <w:b/>
                <w:bCs/>
              </w:rPr>
            </w:pPr>
            <w:r>
              <w:rPr>
                <w:rFonts w:eastAsia="Calibri"/>
                <w:b/>
                <w:bCs/>
              </w:rPr>
              <w:t>Vietinės reikšmės kelių ir gatvių atrankos vertinimo kriterijai</w:t>
            </w:r>
          </w:p>
        </w:tc>
      </w:tr>
      <w:tr w:rsidR="00C7577B" w14:paraId="725E9D3E" w14:textId="77777777">
        <w:tc>
          <w:tcPr>
            <w:tcW w:w="846" w:type="dxa"/>
          </w:tcPr>
          <w:p w14:paraId="725E9D3C" w14:textId="77777777" w:rsidR="00C7577B" w:rsidRDefault="001250EC">
            <w:pPr>
              <w:jc w:val="center"/>
            </w:pPr>
            <w:r>
              <w:rPr>
                <w:rFonts w:eastAsia="Calibri"/>
              </w:rPr>
              <w:t>1.</w:t>
            </w:r>
          </w:p>
        </w:tc>
        <w:tc>
          <w:tcPr>
            <w:tcW w:w="6519" w:type="dxa"/>
          </w:tcPr>
          <w:p w14:paraId="725E9D3D" w14:textId="77777777" w:rsidR="00C7577B" w:rsidRDefault="001250EC">
            <w:pPr>
              <w:jc w:val="both"/>
            </w:pPr>
            <w:r>
              <w:rPr>
                <w:rFonts w:eastAsia="Calibri"/>
              </w:rPr>
              <w:t>Kelio (gatvės) kategorija</w:t>
            </w:r>
          </w:p>
        </w:tc>
      </w:tr>
      <w:tr w:rsidR="00C7577B" w14:paraId="725E9D41" w14:textId="77777777">
        <w:tc>
          <w:tcPr>
            <w:tcW w:w="846" w:type="dxa"/>
          </w:tcPr>
          <w:p w14:paraId="725E9D3F" w14:textId="77777777" w:rsidR="00C7577B" w:rsidRDefault="001250EC">
            <w:pPr>
              <w:jc w:val="center"/>
            </w:pPr>
            <w:r>
              <w:rPr>
                <w:rFonts w:eastAsia="Calibri"/>
              </w:rPr>
              <w:t>2.</w:t>
            </w:r>
          </w:p>
        </w:tc>
        <w:tc>
          <w:tcPr>
            <w:tcW w:w="6519" w:type="dxa"/>
          </w:tcPr>
          <w:p w14:paraId="725E9D40" w14:textId="77777777" w:rsidR="00C7577B" w:rsidRDefault="001250EC">
            <w:pPr>
              <w:jc w:val="both"/>
            </w:pPr>
            <w:r>
              <w:rPr>
                <w:rFonts w:eastAsia="Calibri"/>
              </w:rPr>
              <w:t>Susisiekimas</w:t>
            </w:r>
          </w:p>
        </w:tc>
      </w:tr>
      <w:tr w:rsidR="00C7577B" w14:paraId="725E9D44" w14:textId="77777777">
        <w:tc>
          <w:tcPr>
            <w:tcW w:w="846" w:type="dxa"/>
          </w:tcPr>
          <w:p w14:paraId="725E9D42" w14:textId="77777777" w:rsidR="00C7577B" w:rsidRDefault="001250EC">
            <w:pPr>
              <w:jc w:val="center"/>
            </w:pPr>
            <w:r>
              <w:rPr>
                <w:rFonts w:eastAsia="Calibri"/>
              </w:rPr>
              <w:t>3.</w:t>
            </w:r>
          </w:p>
        </w:tc>
        <w:tc>
          <w:tcPr>
            <w:tcW w:w="6519" w:type="dxa"/>
          </w:tcPr>
          <w:p w14:paraId="725E9D43" w14:textId="77777777" w:rsidR="00C7577B" w:rsidRDefault="001250EC">
            <w:pPr>
              <w:jc w:val="both"/>
              <w:rPr>
                <w:color w:val="00B050"/>
              </w:rPr>
            </w:pPr>
            <w:r>
              <w:rPr>
                <w:rFonts w:eastAsia="Calibri"/>
              </w:rPr>
              <w:t>Kelio (gatvės) fizinė būklė</w:t>
            </w:r>
          </w:p>
        </w:tc>
      </w:tr>
      <w:tr w:rsidR="00C7577B" w14:paraId="725E9D47" w14:textId="77777777">
        <w:tc>
          <w:tcPr>
            <w:tcW w:w="846" w:type="dxa"/>
          </w:tcPr>
          <w:p w14:paraId="725E9D45" w14:textId="77777777" w:rsidR="00C7577B" w:rsidRDefault="001250EC">
            <w:pPr>
              <w:jc w:val="center"/>
            </w:pPr>
            <w:r>
              <w:rPr>
                <w:rFonts w:eastAsia="Calibri"/>
              </w:rPr>
              <w:t>4.</w:t>
            </w:r>
          </w:p>
        </w:tc>
        <w:tc>
          <w:tcPr>
            <w:tcW w:w="6519" w:type="dxa"/>
          </w:tcPr>
          <w:p w14:paraId="725E9D46" w14:textId="77777777" w:rsidR="00C7577B" w:rsidRDefault="001250EC">
            <w:pPr>
              <w:jc w:val="both"/>
            </w:pPr>
            <w:r>
              <w:rPr>
                <w:rFonts w:eastAsia="Calibri"/>
              </w:rPr>
              <w:t>Darbų tęstinumas</w:t>
            </w:r>
          </w:p>
        </w:tc>
      </w:tr>
      <w:tr w:rsidR="00C7577B" w14:paraId="725E9D4A" w14:textId="77777777">
        <w:tc>
          <w:tcPr>
            <w:tcW w:w="846" w:type="dxa"/>
          </w:tcPr>
          <w:p w14:paraId="725E9D48" w14:textId="77777777" w:rsidR="00C7577B" w:rsidRDefault="001250EC">
            <w:pPr>
              <w:jc w:val="center"/>
            </w:pPr>
            <w:r>
              <w:rPr>
                <w:rFonts w:eastAsia="Calibri"/>
              </w:rPr>
              <w:t>5.</w:t>
            </w:r>
          </w:p>
        </w:tc>
        <w:tc>
          <w:tcPr>
            <w:tcW w:w="6519" w:type="dxa"/>
          </w:tcPr>
          <w:p w14:paraId="725E9D49" w14:textId="77777777" w:rsidR="00C7577B" w:rsidRDefault="001250EC">
            <w:pPr>
              <w:jc w:val="both"/>
            </w:pPr>
            <w:r>
              <w:rPr>
                <w:rFonts w:eastAsia="Calibri"/>
              </w:rPr>
              <w:t>Keliai (gatvės) įtraukti į strateginius ilgalaikius planus</w:t>
            </w:r>
          </w:p>
        </w:tc>
      </w:tr>
    </w:tbl>
    <w:p w14:paraId="725E9D4B" w14:textId="77777777" w:rsidR="00C7577B" w:rsidRDefault="001250EC">
      <w:pPr>
        <w:pStyle w:val="Sraopastraipa"/>
        <w:numPr>
          <w:ilvl w:val="0"/>
          <w:numId w:val="2"/>
        </w:numPr>
        <w:tabs>
          <w:tab w:val="left" w:pos="0"/>
          <w:tab w:val="left" w:pos="993"/>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Jei keli objektai surenka vienodą balų skaičių, pirmenybė teikiama tiems objektams, kurių planuojama remontuoti apimtis didesnė. </w:t>
      </w:r>
    </w:p>
    <w:p w14:paraId="725E9D4C" w14:textId="77777777" w:rsidR="00C7577B" w:rsidRDefault="001250EC">
      <w:pPr>
        <w:pStyle w:val="Sraopastraipa"/>
        <w:numPr>
          <w:ilvl w:val="0"/>
          <w:numId w:val="2"/>
        </w:numPr>
        <w:tabs>
          <w:tab w:val="left" w:pos="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Komisija vertina objektus balais pagal šiuos atrankos kriterijus (Aprašo 2 priedas): </w:t>
      </w:r>
    </w:p>
    <w:tbl>
      <w:tblPr>
        <w:tblStyle w:val="Lentelstinklelis"/>
        <w:tblW w:w="7371" w:type="dxa"/>
        <w:tblInd w:w="1413" w:type="dxa"/>
        <w:tblLayout w:type="fixed"/>
        <w:tblLook w:val="04A0" w:firstRow="1" w:lastRow="0" w:firstColumn="1" w:lastColumn="0" w:noHBand="0" w:noVBand="1"/>
      </w:tblPr>
      <w:tblGrid>
        <w:gridCol w:w="849"/>
        <w:gridCol w:w="6522"/>
      </w:tblGrid>
      <w:tr w:rsidR="00C7577B" w14:paraId="725E9D4F" w14:textId="77777777">
        <w:trPr>
          <w:trHeight w:val="310"/>
        </w:trPr>
        <w:tc>
          <w:tcPr>
            <w:tcW w:w="849" w:type="dxa"/>
          </w:tcPr>
          <w:p w14:paraId="725E9D4D" w14:textId="77777777" w:rsidR="00C7577B" w:rsidRDefault="001250EC">
            <w:pPr>
              <w:jc w:val="center"/>
              <w:rPr>
                <w:b/>
                <w:bCs/>
              </w:rPr>
            </w:pPr>
            <w:r>
              <w:rPr>
                <w:rFonts w:eastAsia="Calibri"/>
                <w:b/>
                <w:bCs/>
              </w:rPr>
              <w:t>Eil. Nr.</w:t>
            </w:r>
          </w:p>
        </w:tc>
        <w:tc>
          <w:tcPr>
            <w:tcW w:w="6521" w:type="dxa"/>
            <w:vAlign w:val="center"/>
          </w:tcPr>
          <w:p w14:paraId="725E9D4E" w14:textId="77777777" w:rsidR="00C7577B" w:rsidRDefault="001250EC">
            <w:pPr>
              <w:jc w:val="center"/>
              <w:rPr>
                <w:b/>
                <w:bCs/>
              </w:rPr>
            </w:pPr>
            <w:r>
              <w:rPr>
                <w:b/>
              </w:rPr>
              <w:t>Daugiabučių namų kiemų vidaus kelių (gatvių) ir jų automobilių stovėjimo aikštelių</w:t>
            </w:r>
            <w:r>
              <w:rPr>
                <w:rFonts w:eastAsia="Calibri"/>
                <w:b/>
                <w:bCs/>
              </w:rPr>
              <w:t xml:space="preserve"> atrankos vertinimo kriterijai</w:t>
            </w:r>
          </w:p>
        </w:tc>
      </w:tr>
      <w:tr w:rsidR="00C7577B" w14:paraId="725E9D52" w14:textId="77777777">
        <w:tc>
          <w:tcPr>
            <w:tcW w:w="849" w:type="dxa"/>
          </w:tcPr>
          <w:p w14:paraId="725E9D50" w14:textId="77777777" w:rsidR="00C7577B" w:rsidRDefault="001250EC">
            <w:pPr>
              <w:jc w:val="center"/>
            </w:pPr>
            <w:r>
              <w:rPr>
                <w:rFonts w:eastAsia="Calibri"/>
              </w:rPr>
              <w:t>1.</w:t>
            </w:r>
          </w:p>
        </w:tc>
        <w:tc>
          <w:tcPr>
            <w:tcW w:w="6521" w:type="dxa"/>
          </w:tcPr>
          <w:p w14:paraId="725E9D51" w14:textId="77777777" w:rsidR="00C7577B" w:rsidRDefault="001250EC">
            <w:pPr>
              <w:jc w:val="both"/>
            </w:pPr>
            <w:r>
              <w:rPr>
                <w:rFonts w:eastAsia="Calibri"/>
              </w:rPr>
              <w:t>Darbų tęstinumas</w:t>
            </w:r>
          </w:p>
        </w:tc>
      </w:tr>
      <w:tr w:rsidR="00C7577B" w14:paraId="725E9D55" w14:textId="77777777">
        <w:tc>
          <w:tcPr>
            <w:tcW w:w="849" w:type="dxa"/>
          </w:tcPr>
          <w:p w14:paraId="725E9D53" w14:textId="77777777" w:rsidR="00C7577B" w:rsidRDefault="001250EC">
            <w:pPr>
              <w:jc w:val="center"/>
            </w:pPr>
            <w:r>
              <w:rPr>
                <w:rFonts w:eastAsia="Calibri"/>
              </w:rPr>
              <w:t>2.</w:t>
            </w:r>
          </w:p>
        </w:tc>
        <w:tc>
          <w:tcPr>
            <w:tcW w:w="6521" w:type="dxa"/>
          </w:tcPr>
          <w:p w14:paraId="725E9D54" w14:textId="77777777" w:rsidR="00C7577B" w:rsidRDefault="001250EC">
            <w:pPr>
              <w:jc w:val="both"/>
            </w:pPr>
            <w:r>
              <w:rPr>
                <w:rFonts w:eastAsia="Calibri"/>
              </w:rPr>
              <w:t>Kiemo (-ų) dangos būklė</w:t>
            </w:r>
          </w:p>
        </w:tc>
      </w:tr>
      <w:tr w:rsidR="00C7577B" w14:paraId="725E9D58" w14:textId="77777777">
        <w:tc>
          <w:tcPr>
            <w:tcW w:w="849" w:type="dxa"/>
          </w:tcPr>
          <w:p w14:paraId="725E9D56" w14:textId="77777777" w:rsidR="00C7577B" w:rsidRDefault="001250EC">
            <w:pPr>
              <w:jc w:val="center"/>
            </w:pPr>
            <w:r>
              <w:rPr>
                <w:rFonts w:eastAsia="Calibri"/>
              </w:rPr>
              <w:t>3.</w:t>
            </w:r>
          </w:p>
        </w:tc>
        <w:tc>
          <w:tcPr>
            <w:tcW w:w="6521" w:type="dxa"/>
          </w:tcPr>
          <w:p w14:paraId="725E9D57" w14:textId="77777777" w:rsidR="00C7577B" w:rsidRDefault="001250EC">
            <w:pPr>
              <w:jc w:val="both"/>
              <w:rPr>
                <w:color w:val="00B050"/>
              </w:rPr>
            </w:pPr>
            <w:r>
              <w:rPr>
                <w:rFonts w:eastAsia="Calibri"/>
              </w:rPr>
              <w:t>Bendra kiemo (-ų) būklė</w:t>
            </w:r>
          </w:p>
        </w:tc>
      </w:tr>
      <w:tr w:rsidR="00C7577B" w14:paraId="725E9D5B" w14:textId="77777777">
        <w:tc>
          <w:tcPr>
            <w:tcW w:w="849" w:type="dxa"/>
          </w:tcPr>
          <w:p w14:paraId="725E9D59" w14:textId="77777777" w:rsidR="00C7577B" w:rsidRDefault="001250EC">
            <w:pPr>
              <w:jc w:val="center"/>
            </w:pPr>
            <w:r>
              <w:rPr>
                <w:rFonts w:eastAsia="Calibri"/>
              </w:rPr>
              <w:t>4.</w:t>
            </w:r>
          </w:p>
        </w:tc>
        <w:tc>
          <w:tcPr>
            <w:tcW w:w="6521" w:type="dxa"/>
          </w:tcPr>
          <w:p w14:paraId="725E9D5A" w14:textId="77777777" w:rsidR="00C7577B" w:rsidRDefault="001250EC">
            <w:pPr>
              <w:jc w:val="both"/>
            </w:pPr>
            <w:r>
              <w:rPr>
                <w:rFonts w:eastAsia="Calibri"/>
              </w:rPr>
              <w:t>Daugiabučių namų dalyvavimas modernizavimo programoje</w:t>
            </w:r>
          </w:p>
        </w:tc>
      </w:tr>
      <w:tr w:rsidR="00C7577B" w14:paraId="725E9D5E" w14:textId="77777777">
        <w:tc>
          <w:tcPr>
            <w:tcW w:w="849" w:type="dxa"/>
          </w:tcPr>
          <w:p w14:paraId="725E9D5C" w14:textId="77777777" w:rsidR="00C7577B" w:rsidRDefault="001250EC">
            <w:pPr>
              <w:jc w:val="center"/>
            </w:pPr>
            <w:r>
              <w:rPr>
                <w:rFonts w:eastAsia="Calibri"/>
              </w:rPr>
              <w:t>5.</w:t>
            </w:r>
          </w:p>
        </w:tc>
        <w:tc>
          <w:tcPr>
            <w:tcW w:w="6521" w:type="dxa"/>
          </w:tcPr>
          <w:p w14:paraId="725E9D5D" w14:textId="77777777" w:rsidR="00C7577B" w:rsidRDefault="001250EC">
            <w:pPr>
              <w:jc w:val="both"/>
            </w:pPr>
            <w:r>
              <w:rPr>
                <w:rFonts w:eastAsia="Calibri"/>
              </w:rPr>
              <w:t>Susisiekimas</w:t>
            </w:r>
          </w:p>
        </w:tc>
      </w:tr>
    </w:tbl>
    <w:p w14:paraId="725E9D5F" w14:textId="77777777" w:rsidR="00C7577B" w:rsidRDefault="001250EC">
      <w:pPr>
        <w:pStyle w:val="Sraopastraipa"/>
        <w:numPr>
          <w:ilvl w:val="0"/>
          <w:numId w:val="2"/>
        </w:numPr>
        <w:tabs>
          <w:tab w:val="left" w:pos="1134"/>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Jei keli objektai surenka vienodą balų skaičių, pirmenybė teikiama tiems objektams, kuriuose planuojama įrengti daugiau naujų automobilių statymo vietų.</w:t>
      </w:r>
    </w:p>
    <w:p w14:paraId="725E9D60" w14:textId="77777777" w:rsidR="00C7577B" w:rsidRDefault="001250EC">
      <w:pPr>
        <w:pStyle w:val="Sraopastraipa"/>
        <w:numPr>
          <w:ilvl w:val="0"/>
          <w:numId w:val="2"/>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Komisija vertina objektus balais pagal šiuos atrankos kriterijus (Aprašo 3 priedas): </w:t>
      </w:r>
    </w:p>
    <w:tbl>
      <w:tblPr>
        <w:tblStyle w:val="Lentelstinklelis"/>
        <w:tblW w:w="7371" w:type="dxa"/>
        <w:tblInd w:w="1413" w:type="dxa"/>
        <w:tblLayout w:type="fixed"/>
        <w:tblLook w:val="04A0" w:firstRow="1" w:lastRow="0" w:firstColumn="1" w:lastColumn="0" w:noHBand="0" w:noVBand="1"/>
      </w:tblPr>
      <w:tblGrid>
        <w:gridCol w:w="849"/>
        <w:gridCol w:w="6522"/>
      </w:tblGrid>
      <w:tr w:rsidR="00C7577B" w14:paraId="725E9D63" w14:textId="77777777">
        <w:trPr>
          <w:trHeight w:val="306"/>
        </w:trPr>
        <w:tc>
          <w:tcPr>
            <w:tcW w:w="849" w:type="dxa"/>
          </w:tcPr>
          <w:p w14:paraId="725E9D61" w14:textId="77777777" w:rsidR="00C7577B" w:rsidRDefault="001250EC">
            <w:pPr>
              <w:jc w:val="center"/>
              <w:rPr>
                <w:b/>
                <w:bCs/>
              </w:rPr>
            </w:pPr>
            <w:r>
              <w:rPr>
                <w:rFonts w:eastAsia="Calibri"/>
                <w:b/>
                <w:bCs/>
              </w:rPr>
              <w:t>Eil. Nr.</w:t>
            </w:r>
          </w:p>
        </w:tc>
        <w:tc>
          <w:tcPr>
            <w:tcW w:w="6521" w:type="dxa"/>
            <w:vAlign w:val="center"/>
          </w:tcPr>
          <w:p w14:paraId="725E9D62" w14:textId="77777777" w:rsidR="00C7577B" w:rsidRDefault="001250EC">
            <w:pPr>
              <w:jc w:val="center"/>
              <w:rPr>
                <w:b/>
                <w:bCs/>
              </w:rPr>
            </w:pPr>
            <w:r>
              <w:rPr>
                <w:rFonts w:eastAsia="Calibri"/>
                <w:b/>
                <w:bCs/>
              </w:rPr>
              <w:t>Dviračių ir pėsčiųjų takų atrankos vertinimo kriterijai</w:t>
            </w:r>
          </w:p>
        </w:tc>
      </w:tr>
      <w:tr w:rsidR="00C7577B" w14:paraId="725E9D66" w14:textId="77777777">
        <w:tc>
          <w:tcPr>
            <w:tcW w:w="849" w:type="dxa"/>
          </w:tcPr>
          <w:p w14:paraId="725E9D64" w14:textId="77777777" w:rsidR="00C7577B" w:rsidRDefault="001250EC">
            <w:pPr>
              <w:jc w:val="center"/>
            </w:pPr>
            <w:r>
              <w:rPr>
                <w:rFonts w:eastAsia="Calibri"/>
              </w:rPr>
              <w:t>1.</w:t>
            </w:r>
          </w:p>
        </w:tc>
        <w:tc>
          <w:tcPr>
            <w:tcW w:w="6521" w:type="dxa"/>
          </w:tcPr>
          <w:p w14:paraId="725E9D65" w14:textId="77777777" w:rsidR="00C7577B" w:rsidRDefault="001250EC">
            <w:pPr>
              <w:jc w:val="both"/>
            </w:pPr>
            <w:r>
              <w:rPr>
                <w:rFonts w:eastAsia="Calibri"/>
              </w:rPr>
              <w:t>Darbų tęstinumas ir rišlumas</w:t>
            </w:r>
          </w:p>
        </w:tc>
      </w:tr>
      <w:tr w:rsidR="00C7577B" w14:paraId="725E9D69" w14:textId="77777777">
        <w:tc>
          <w:tcPr>
            <w:tcW w:w="849" w:type="dxa"/>
          </w:tcPr>
          <w:p w14:paraId="725E9D67" w14:textId="77777777" w:rsidR="00C7577B" w:rsidRDefault="001250EC">
            <w:pPr>
              <w:jc w:val="center"/>
            </w:pPr>
            <w:r>
              <w:rPr>
                <w:rFonts w:eastAsia="Calibri"/>
              </w:rPr>
              <w:lastRenderedPageBreak/>
              <w:t>2.</w:t>
            </w:r>
          </w:p>
        </w:tc>
        <w:tc>
          <w:tcPr>
            <w:tcW w:w="6521" w:type="dxa"/>
          </w:tcPr>
          <w:p w14:paraId="725E9D68" w14:textId="77777777" w:rsidR="00C7577B" w:rsidRDefault="001250EC">
            <w:pPr>
              <w:jc w:val="both"/>
            </w:pPr>
            <w:r>
              <w:rPr>
                <w:rFonts w:eastAsia="Calibri"/>
              </w:rPr>
              <w:t>Dangos būklė</w:t>
            </w:r>
          </w:p>
        </w:tc>
      </w:tr>
      <w:tr w:rsidR="00C7577B" w14:paraId="725E9D6C" w14:textId="77777777">
        <w:tc>
          <w:tcPr>
            <w:tcW w:w="849" w:type="dxa"/>
          </w:tcPr>
          <w:p w14:paraId="725E9D6A" w14:textId="77777777" w:rsidR="00C7577B" w:rsidRDefault="001250EC">
            <w:pPr>
              <w:jc w:val="center"/>
            </w:pPr>
            <w:r>
              <w:rPr>
                <w:rFonts w:eastAsia="Calibri"/>
              </w:rPr>
              <w:t>3.</w:t>
            </w:r>
          </w:p>
        </w:tc>
        <w:tc>
          <w:tcPr>
            <w:tcW w:w="6521" w:type="dxa"/>
          </w:tcPr>
          <w:p w14:paraId="725E9D6B" w14:textId="77777777" w:rsidR="00C7577B" w:rsidRDefault="001250EC">
            <w:pPr>
              <w:jc w:val="both"/>
              <w:rPr>
                <w:color w:val="00B050"/>
              </w:rPr>
            </w:pPr>
            <w:r>
              <w:rPr>
                <w:rFonts w:eastAsia="Calibri"/>
              </w:rPr>
              <w:t>Susiekimas su viešosiomis įstaigomis</w:t>
            </w:r>
          </w:p>
        </w:tc>
      </w:tr>
      <w:tr w:rsidR="00C7577B" w14:paraId="725E9D6F" w14:textId="77777777">
        <w:tc>
          <w:tcPr>
            <w:tcW w:w="849" w:type="dxa"/>
          </w:tcPr>
          <w:p w14:paraId="725E9D6D" w14:textId="77777777" w:rsidR="00C7577B" w:rsidRDefault="001250EC">
            <w:pPr>
              <w:jc w:val="center"/>
            </w:pPr>
            <w:r>
              <w:rPr>
                <w:rFonts w:eastAsia="Calibri"/>
              </w:rPr>
              <w:t>4.</w:t>
            </w:r>
          </w:p>
        </w:tc>
        <w:tc>
          <w:tcPr>
            <w:tcW w:w="6521" w:type="dxa"/>
          </w:tcPr>
          <w:p w14:paraId="725E9D6E" w14:textId="77777777" w:rsidR="00C7577B" w:rsidRDefault="001250EC">
            <w:pPr>
              <w:ind w:firstLine="12"/>
              <w:jc w:val="both"/>
            </w:pPr>
            <w:r>
              <w:rPr>
                <w:rFonts w:eastAsia="Calibri"/>
              </w:rPr>
              <w:t>Dviračių ir pėsčiųjų takai įtraukti į ilgalaikius planus</w:t>
            </w:r>
          </w:p>
        </w:tc>
      </w:tr>
    </w:tbl>
    <w:p w14:paraId="725E9D70" w14:textId="77777777" w:rsidR="00C7577B" w:rsidRDefault="001250EC">
      <w:pPr>
        <w:pStyle w:val="Sraopastraipa"/>
        <w:numPr>
          <w:ilvl w:val="0"/>
          <w:numId w:val="2"/>
        </w:numPr>
        <w:tabs>
          <w:tab w:val="left" w:pos="1134"/>
          <w:tab w:val="left" w:pos="1418"/>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Jei keli objektai surenka vienodą balų skaičių, pirmenybė teikiama tiems objektams, kurių planuojama remontuoti apimtis didesnė.</w:t>
      </w:r>
    </w:p>
    <w:p w14:paraId="725E9D71"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Komisija, vadovaudamasi 7, 9, 11 punktuose nustatytais kriterijais, balų sumos mažėjimo tvarka sudaro vietinės reikšmės kelių ir gatvių, dviračių ir pėsčiųjų takų, daugiabučių namų kiemų vidaus kelių (gatvių) ir jų automobilių stovėjimo aikštelių įrengimo, tiesimo, rekonstravimo, taisymo (remonto) darbų trejų metų laikotarpiui Prioritetinius sąrašus. Pagal poreikį į Prioritetinius sąrašus įtraukiami objektai, atrinkti pagal kitus patvirtintus aprašus, nurodytus 5.3, 5.4 ir 5.5 papunkčiuose. </w:t>
      </w:r>
    </w:p>
    <w:p w14:paraId="725E9D72"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Sudaryti Prioritetiniai sąrašai teikiami tvirtinti Savivaldybės administracijos direktoriui. </w:t>
      </w:r>
    </w:p>
    <w:p w14:paraId="725E9D73"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Kiekvienais metais Prioritetiniai sąrašai Komisijos posėdžio metu tikslinami, papildomi ir iki einamųjų metų spalio 1 d. teikiami tvirtinti Savivaldybės administracijos direktoriui. </w:t>
      </w:r>
    </w:p>
    <w:p w14:paraId="725E9D74" w14:textId="77777777" w:rsidR="00C7577B" w:rsidRDefault="001250EC">
      <w:pPr>
        <w:pStyle w:val="Sraopastraipa"/>
        <w:numPr>
          <w:ilvl w:val="0"/>
          <w:numId w:val="2"/>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Sudarant kito laikotarpio Prioritetinius sąrašus, pirmumo tvarka įtraukiami tie objektai, kurie jau buvo finansuojami praėjusių Prioritetinių sąrašų įgyvendinimo laikotarpiu, tačiau darbai nebuvo užbaigti. </w:t>
      </w:r>
    </w:p>
    <w:p w14:paraId="725E9D75"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Prioritetiniai sąrašai viešai skelbiami Savivaldybės interneto svetainėje. </w:t>
      </w:r>
    </w:p>
    <w:p w14:paraId="725E9D76" w14:textId="77777777" w:rsidR="00C7577B" w:rsidRDefault="00C7577B">
      <w:pPr>
        <w:ind w:firstLine="1296"/>
        <w:jc w:val="both"/>
      </w:pPr>
    </w:p>
    <w:p w14:paraId="725E9D77" w14:textId="77777777" w:rsidR="00C7577B" w:rsidRDefault="001250EC">
      <w:pPr>
        <w:jc w:val="center"/>
        <w:rPr>
          <w:b/>
          <w:bCs/>
        </w:rPr>
      </w:pPr>
      <w:r>
        <w:rPr>
          <w:b/>
          <w:bCs/>
        </w:rPr>
        <w:t xml:space="preserve">IV SKYRIUS </w:t>
      </w:r>
    </w:p>
    <w:p w14:paraId="725E9D78" w14:textId="77777777" w:rsidR="00C7577B" w:rsidRDefault="001250EC">
      <w:pPr>
        <w:jc w:val="center"/>
        <w:rPr>
          <w:b/>
          <w:bCs/>
        </w:rPr>
      </w:pPr>
      <w:r>
        <w:rPr>
          <w:b/>
          <w:bCs/>
        </w:rPr>
        <w:t xml:space="preserve">EINAMŲJŲ METŲ OBJEKTŲ SĄRAŠO SUDARYMAS </w:t>
      </w:r>
    </w:p>
    <w:p w14:paraId="725E9D79" w14:textId="77777777" w:rsidR="00C7577B" w:rsidRDefault="00C7577B">
      <w:pPr>
        <w:ind w:firstLine="709"/>
        <w:jc w:val="both"/>
        <w:rPr>
          <w:b/>
          <w:bCs/>
        </w:rPr>
      </w:pPr>
    </w:p>
    <w:p w14:paraId="725E9D7A"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Vadovaudamiesi Savivaldybės administracijos direktoriaus patvirtintais Prioritetiniais sąrašais, Savivaldybės administracijos atsakingi padaliniai sudaro Kelių priežiūros ir plėtros programos lėšomis finansuojamų vietinės reikšmės kelių ir gatvių, dviračių ir pėsčiųjų takų, daugiabučių namų kiemų vidaus kelių (gatvių) ir jų automobilių stovėjimo aikštelių įrengimo, tiesimo, rekonstravimo, taisymo (remonto) einamaisiais metais objektų sąrašus (toliau – Objektų sąrašai) ir pateikia juos tvirtinti Savivaldybės administracijos direktoriui. Savivaldybės administracija Objektų sąrašus suderina su VĮ Lietuvos automobilių kelių direkcija (toliau – LAKD). </w:t>
      </w:r>
    </w:p>
    <w:p w14:paraId="725E9D7B"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Pasirašiusi finansavimo sutartį, Savivaldybės administracija atlieka darbų ir paslaugų viešuosius pirkimus Lietuvos Respublikos viešųjų pirkimų įstatymo nustatyta tvarka. Objektų sąrašai, esant poreikiui, tikslinami Savivaldybės administracijos direktoriaus įsakymu, atlikus paslaugų ir darbų viešųjų pirkimų procedūras. </w:t>
      </w:r>
    </w:p>
    <w:p w14:paraId="725E9D7C"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Objektams, esantiems Prioritetiniuose sąrašuose, tačiau nefinansuojamiems Kelių priežiūros ir plėtros programos lėšomis, lėšos skiriamos atsižvelgiant į trimečiame Savivaldybės strateginiame veiklos plane einamaisiais metais numatytas lėšas. </w:t>
      </w:r>
    </w:p>
    <w:p w14:paraId="725E9D7D"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Eismo saugumo priemonėms užtikrinti lėšų skiriama ne mažiau nei numatyta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w:t>
      </w:r>
    </w:p>
    <w:p w14:paraId="725E9D7E" w14:textId="77777777" w:rsidR="00C7577B" w:rsidRDefault="00C7577B">
      <w:pPr>
        <w:jc w:val="center"/>
        <w:rPr>
          <w:b/>
          <w:bCs/>
        </w:rPr>
      </w:pPr>
    </w:p>
    <w:p w14:paraId="725E9D7F" w14:textId="77777777" w:rsidR="00C7577B" w:rsidRDefault="001250EC">
      <w:pPr>
        <w:jc w:val="center"/>
        <w:rPr>
          <w:b/>
          <w:bCs/>
        </w:rPr>
      </w:pPr>
      <w:r>
        <w:rPr>
          <w:b/>
          <w:bCs/>
        </w:rPr>
        <w:t>V SKYRIUS</w:t>
      </w:r>
    </w:p>
    <w:p w14:paraId="725E9D80" w14:textId="77777777" w:rsidR="00C7577B" w:rsidRDefault="001250EC">
      <w:pPr>
        <w:jc w:val="center"/>
        <w:rPr>
          <w:b/>
          <w:bCs/>
        </w:rPr>
      </w:pPr>
      <w:r>
        <w:rPr>
          <w:b/>
          <w:bCs/>
        </w:rPr>
        <w:t>DARBŲ ATLIKIMO IR ATSISKAITYMO TVARKA</w:t>
      </w:r>
    </w:p>
    <w:p w14:paraId="725E9D81" w14:textId="77777777" w:rsidR="00C7577B" w:rsidRDefault="00C7577B">
      <w:pPr>
        <w:jc w:val="center"/>
        <w:rPr>
          <w:b/>
          <w:bCs/>
        </w:rPr>
      </w:pPr>
    </w:p>
    <w:p w14:paraId="725E9D82"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Darbams atlikti ir paslaugoms teikti Savivaldybės administracija pasirašo rangos darbų ir paslaugų sutartis su viešųjų pirkimų laimėtojais. </w:t>
      </w:r>
    </w:p>
    <w:p w14:paraId="725E9D83"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Darbai ir paslaugos atliekami Lietuvos Respublikos statybos įstatymo ir kitų teisės aktų nustatyta tvarka per sutartyje nustatytą terminą. </w:t>
      </w:r>
    </w:p>
    <w:p w14:paraId="725E9D84" w14:textId="77777777" w:rsidR="00C7577B" w:rsidRDefault="001250EC">
      <w:pPr>
        <w:jc w:val="center"/>
        <w:rPr>
          <w:b/>
          <w:bCs/>
        </w:rPr>
      </w:pPr>
      <w:r>
        <w:rPr>
          <w:b/>
          <w:bCs/>
        </w:rPr>
        <w:t xml:space="preserve">VI SKYRIUS </w:t>
      </w:r>
    </w:p>
    <w:p w14:paraId="725E9D85" w14:textId="77777777" w:rsidR="00C7577B" w:rsidRDefault="001250EC">
      <w:pPr>
        <w:jc w:val="center"/>
        <w:rPr>
          <w:b/>
          <w:bCs/>
        </w:rPr>
      </w:pPr>
      <w:r>
        <w:rPr>
          <w:b/>
          <w:bCs/>
        </w:rPr>
        <w:t xml:space="preserve">BAIGIAMOSIOS NUOSTATOS </w:t>
      </w:r>
    </w:p>
    <w:p w14:paraId="725E9D86" w14:textId="77777777" w:rsidR="00C7577B" w:rsidRDefault="00C7577B">
      <w:pPr>
        <w:jc w:val="center"/>
        <w:rPr>
          <w:b/>
          <w:bCs/>
        </w:rPr>
      </w:pPr>
    </w:p>
    <w:p w14:paraId="725E9D87"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padalinių, atsakingų už kelių ir gatvių, dviračių ir pėsčiųjų takų, daugiabučių namų kiemų vidaus kelių (gatvių) ir jų automobilių stovėjimo aikštelių tvarkymą, </w:t>
      </w:r>
      <w:r>
        <w:rPr>
          <w:rFonts w:ascii="Times New Roman" w:hAnsi="Times New Roman" w:cs="Times New Roman"/>
          <w:sz w:val="24"/>
          <w:szCs w:val="24"/>
        </w:rPr>
        <w:lastRenderedPageBreak/>
        <w:t>specialistai kartu su specialistais, atsakingais už viešųjų pirkimų vykdymą, organizuoja projektinės dokumentacijos parengimą, viešuosius pirkimus, sutarčių sudarymą su rangovais (tiekėjais), statybos darbų techninę priežiūrą, atliktų darbų priėmimą, statybos užbaigimo procedūras, teikia ataskaitas apie lėšų panaudojimą ir atliktus darbus LAKD.</w:t>
      </w:r>
    </w:p>
    <w:p w14:paraId="725E9D88"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Apskaitos skyrius, vadovaudamasis sutartyse numatytomis sąlygomis ir terminais, taip pat rangovų (tiekėjų) atsiskaitymo dokumentais, atsiskaito su rangovais (tiekėjais) pagal sutartis, tvarko Kelių priežiūros ir plėtros programos ir Savivaldybės biudžeto lėšų apskaitą pagal Lietuvos Respublikos buhalterinės apskaitos įstatymą ir kitus teisės aktus, teikia LAKD Kelių priežiūros ir plėtros programos lėšų išlaidų sąmatą ir išlaidų sąmatos įvykdymo ataskaitas. </w:t>
      </w:r>
    </w:p>
    <w:p w14:paraId="725E9D89"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Kelių priežiūros ir plėtros programos, ES fondų ir Savivaldybės biudžeto lėšų panaudojimo pagal paskirtį kontrolė atliekama teisės aktų nustatyta tvarka. </w:t>
      </w:r>
    </w:p>
    <w:p w14:paraId="725E9D8A" w14:textId="77777777" w:rsidR="00C7577B" w:rsidRDefault="001250EC">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Aprašas keičiamas ir pripažįstamas netekusiu galios Savivaldybės tarybos sprendimu. </w:t>
      </w:r>
    </w:p>
    <w:p w14:paraId="725E9D8B" w14:textId="77777777" w:rsidR="00C7577B" w:rsidRDefault="001250EC">
      <w:pPr>
        <w:jc w:val="center"/>
      </w:pPr>
      <w:r>
        <w:t>_____________________</w:t>
      </w:r>
    </w:p>
    <w:sectPr w:rsidR="00C7577B">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9CA14" w14:textId="77777777" w:rsidR="004F486D" w:rsidRDefault="004F486D">
      <w:r>
        <w:separator/>
      </w:r>
    </w:p>
  </w:endnote>
  <w:endnote w:type="continuationSeparator" w:id="0">
    <w:p w14:paraId="50439A22" w14:textId="77777777" w:rsidR="004F486D" w:rsidRDefault="004F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437ED" w14:textId="77777777" w:rsidR="004F486D" w:rsidRDefault="004F486D">
      <w:r>
        <w:separator/>
      </w:r>
    </w:p>
  </w:footnote>
  <w:footnote w:type="continuationSeparator" w:id="0">
    <w:p w14:paraId="323E7421" w14:textId="77777777" w:rsidR="004F486D" w:rsidRDefault="004F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552657"/>
      <w:docPartObj>
        <w:docPartGallery w:val="Page Numbers (Top of Page)"/>
        <w:docPartUnique/>
      </w:docPartObj>
    </w:sdtPr>
    <w:sdtEndPr/>
    <w:sdtContent>
      <w:p w14:paraId="725E9D90" w14:textId="26416B2D" w:rsidR="00C7577B" w:rsidRDefault="001250EC">
        <w:pPr>
          <w:pStyle w:val="Antrats"/>
          <w:jc w:val="center"/>
        </w:pPr>
        <w:r>
          <w:fldChar w:fldCharType="begin"/>
        </w:r>
        <w:r>
          <w:instrText>PAGE</w:instrText>
        </w:r>
        <w:r>
          <w:fldChar w:fldCharType="separate"/>
        </w:r>
        <w:r w:rsidR="001D2C9C">
          <w:rPr>
            <w:noProof/>
          </w:rPr>
          <w:t>4</w:t>
        </w:r>
        <w:r>
          <w:fldChar w:fldCharType="end"/>
        </w:r>
      </w:p>
    </w:sdtContent>
  </w:sdt>
  <w:p w14:paraId="725E9D91" w14:textId="77777777" w:rsidR="00C7577B" w:rsidRDefault="00C757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4107C"/>
    <w:multiLevelType w:val="multilevel"/>
    <w:tmpl w:val="12C2FA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380338"/>
    <w:multiLevelType w:val="multilevel"/>
    <w:tmpl w:val="7652A986"/>
    <w:lvl w:ilvl="0">
      <w:start w:val="1"/>
      <w:numFmt w:val="decimal"/>
      <w:lvlText w:val="%1."/>
      <w:lvlJc w:val="left"/>
      <w:pPr>
        <w:tabs>
          <w:tab w:val="num" w:pos="0"/>
        </w:tabs>
        <w:ind w:left="0" w:firstLine="0"/>
      </w:pPr>
    </w:lvl>
    <w:lvl w:ilvl="1">
      <w:start w:val="1"/>
      <w:numFmt w:val="lowerLetter"/>
      <w:lvlText w:val="%2."/>
      <w:lvlJc w:val="left"/>
      <w:pPr>
        <w:tabs>
          <w:tab w:val="num" w:pos="0"/>
        </w:tabs>
        <w:ind w:left="2376" w:hanging="360"/>
      </w:pPr>
    </w:lvl>
    <w:lvl w:ilvl="2">
      <w:start w:val="1"/>
      <w:numFmt w:val="lowerRoman"/>
      <w:lvlText w:val="%3."/>
      <w:lvlJc w:val="right"/>
      <w:pPr>
        <w:tabs>
          <w:tab w:val="num" w:pos="0"/>
        </w:tabs>
        <w:ind w:left="3096" w:hanging="180"/>
      </w:pPr>
    </w:lvl>
    <w:lvl w:ilvl="3">
      <w:start w:val="1"/>
      <w:numFmt w:val="decimal"/>
      <w:lvlText w:val="%4."/>
      <w:lvlJc w:val="left"/>
      <w:pPr>
        <w:tabs>
          <w:tab w:val="num" w:pos="0"/>
        </w:tabs>
        <w:ind w:left="3816" w:hanging="360"/>
      </w:pPr>
    </w:lvl>
    <w:lvl w:ilvl="4">
      <w:start w:val="1"/>
      <w:numFmt w:val="lowerLetter"/>
      <w:lvlText w:val="%5."/>
      <w:lvlJc w:val="left"/>
      <w:pPr>
        <w:tabs>
          <w:tab w:val="num" w:pos="0"/>
        </w:tabs>
        <w:ind w:left="4536" w:hanging="360"/>
      </w:pPr>
    </w:lvl>
    <w:lvl w:ilvl="5">
      <w:start w:val="1"/>
      <w:numFmt w:val="lowerRoman"/>
      <w:lvlText w:val="%6."/>
      <w:lvlJc w:val="right"/>
      <w:pPr>
        <w:tabs>
          <w:tab w:val="num" w:pos="0"/>
        </w:tabs>
        <w:ind w:left="5256" w:hanging="180"/>
      </w:pPr>
    </w:lvl>
    <w:lvl w:ilvl="6">
      <w:start w:val="1"/>
      <w:numFmt w:val="decimal"/>
      <w:lvlText w:val="%7."/>
      <w:lvlJc w:val="left"/>
      <w:pPr>
        <w:tabs>
          <w:tab w:val="num" w:pos="0"/>
        </w:tabs>
        <w:ind w:left="5976" w:hanging="360"/>
      </w:pPr>
    </w:lvl>
    <w:lvl w:ilvl="7">
      <w:start w:val="1"/>
      <w:numFmt w:val="lowerLetter"/>
      <w:lvlText w:val="%8."/>
      <w:lvlJc w:val="left"/>
      <w:pPr>
        <w:tabs>
          <w:tab w:val="num" w:pos="0"/>
        </w:tabs>
        <w:ind w:left="6696" w:hanging="360"/>
      </w:pPr>
    </w:lvl>
    <w:lvl w:ilvl="8">
      <w:start w:val="1"/>
      <w:numFmt w:val="lowerRoman"/>
      <w:lvlText w:val="%9."/>
      <w:lvlJc w:val="right"/>
      <w:pPr>
        <w:tabs>
          <w:tab w:val="num" w:pos="0"/>
        </w:tabs>
        <w:ind w:left="7416" w:hanging="180"/>
      </w:pPr>
    </w:lvl>
  </w:abstractNum>
  <w:abstractNum w:abstractNumId="2" w15:restartNumberingAfterBreak="0">
    <w:nsid w:val="783E378D"/>
    <w:multiLevelType w:val="multilevel"/>
    <w:tmpl w:val="A330D4BA"/>
    <w:lvl w:ilvl="0">
      <w:start w:val="5"/>
      <w:numFmt w:val="decimal"/>
      <w:lvlText w:val="%1."/>
      <w:lvlJc w:val="left"/>
      <w:pPr>
        <w:tabs>
          <w:tab w:val="num" w:pos="0"/>
        </w:tabs>
        <w:ind w:left="360" w:hanging="360"/>
      </w:pPr>
      <w:rPr>
        <w:b w:val="0"/>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2706" w:hanging="720"/>
      </w:pPr>
      <w:rPr>
        <w:b w:val="0"/>
      </w:rPr>
    </w:lvl>
    <w:lvl w:ilvl="3">
      <w:start w:val="1"/>
      <w:numFmt w:val="decimal"/>
      <w:lvlText w:val="%1.%2.%3.%4."/>
      <w:lvlJc w:val="left"/>
      <w:pPr>
        <w:tabs>
          <w:tab w:val="num" w:pos="0"/>
        </w:tabs>
        <w:ind w:left="3699" w:hanging="720"/>
      </w:pPr>
      <w:rPr>
        <w:b w:val="0"/>
      </w:rPr>
    </w:lvl>
    <w:lvl w:ilvl="4">
      <w:start w:val="1"/>
      <w:numFmt w:val="decimal"/>
      <w:lvlText w:val="%1.%2.%3.%4.%5."/>
      <w:lvlJc w:val="left"/>
      <w:pPr>
        <w:tabs>
          <w:tab w:val="num" w:pos="0"/>
        </w:tabs>
        <w:ind w:left="5052" w:hanging="1080"/>
      </w:pPr>
      <w:rPr>
        <w:b w:val="0"/>
      </w:rPr>
    </w:lvl>
    <w:lvl w:ilvl="5">
      <w:start w:val="1"/>
      <w:numFmt w:val="decimal"/>
      <w:lvlText w:val="%1.%2.%3.%4.%5.%6."/>
      <w:lvlJc w:val="left"/>
      <w:pPr>
        <w:tabs>
          <w:tab w:val="num" w:pos="0"/>
        </w:tabs>
        <w:ind w:left="6045" w:hanging="1080"/>
      </w:pPr>
      <w:rPr>
        <w:b w:val="0"/>
      </w:rPr>
    </w:lvl>
    <w:lvl w:ilvl="6">
      <w:start w:val="1"/>
      <w:numFmt w:val="decimal"/>
      <w:lvlText w:val="%1.%2.%3.%4.%5.%6.%7."/>
      <w:lvlJc w:val="left"/>
      <w:pPr>
        <w:tabs>
          <w:tab w:val="num" w:pos="0"/>
        </w:tabs>
        <w:ind w:left="7398" w:hanging="1440"/>
      </w:pPr>
      <w:rPr>
        <w:b w:val="0"/>
      </w:rPr>
    </w:lvl>
    <w:lvl w:ilvl="7">
      <w:start w:val="1"/>
      <w:numFmt w:val="decimal"/>
      <w:lvlText w:val="%1.%2.%3.%4.%5.%6.%7.%8."/>
      <w:lvlJc w:val="left"/>
      <w:pPr>
        <w:tabs>
          <w:tab w:val="num" w:pos="0"/>
        </w:tabs>
        <w:ind w:left="8391" w:hanging="1440"/>
      </w:pPr>
      <w:rPr>
        <w:b w:val="0"/>
      </w:rPr>
    </w:lvl>
    <w:lvl w:ilvl="8">
      <w:start w:val="1"/>
      <w:numFmt w:val="decimal"/>
      <w:lvlText w:val="%1.%2.%3.%4.%5.%6.%7.%8.%9."/>
      <w:lvlJc w:val="left"/>
      <w:pPr>
        <w:tabs>
          <w:tab w:val="num" w:pos="0"/>
        </w:tabs>
        <w:ind w:left="9744" w:hanging="1800"/>
      </w:pPr>
      <w:rPr>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7B"/>
    <w:rsid w:val="001250EC"/>
    <w:rsid w:val="001D2C9C"/>
    <w:rsid w:val="00361860"/>
    <w:rsid w:val="004F486D"/>
    <w:rsid w:val="00510678"/>
    <w:rsid w:val="00721ABA"/>
    <w:rsid w:val="00C7577B"/>
    <w:rsid w:val="00F73D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9D15"/>
  <w15:docId w15:val="{9D6D79B4-490B-4BDD-B518-99B28632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Sraopastraipa">
    <w:name w:val="List Paragraph"/>
    <w:basedOn w:val="prastasis"/>
    <w:uiPriority w:val="34"/>
    <w:qFormat/>
    <w:rsid w:val="00CE3241"/>
    <w:pPr>
      <w:spacing w:after="160" w:line="259"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B239-2ACA-4969-A087-A00603E3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7016</Words>
  <Characters>4000</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2022-01-26T12:53:00Z</dcterms:created>
  <dcterms:modified xsi:type="dcterms:W3CDTF">2022-01-26T12:55:00Z</dcterms:modified>
  <dc:language>en-US</dc:language>
</cp:coreProperties>
</file>