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D3F82" w14:textId="6BE4030E" w:rsidR="009B0151" w:rsidRPr="00B80328" w:rsidRDefault="009B0151" w:rsidP="009B01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</w:pPr>
      <w:r w:rsidRPr="00B80328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Nekilnojamojo kultūros paveldo vertinimo tarybos (I) 2022-0</w:t>
      </w:r>
      <w:r w:rsidR="007A23D5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3-</w:t>
      </w:r>
      <w:r w:rsidR="0042149F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15</w:t>
      </w:r>
      <w:r w:rsidRPr="00B80328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 xml:space="preserve"> nuotolinis posėdis</w:t>
      </w:r>
    </w:p>
    <w:p w14:paraId="3ABA22DD" w14:textId="21B82C44" w:rsidR="009B0151" w:rsidRPr="00B80328" w:rsidRDefault="009B0151" w:rsidP="009B01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8032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2022 m. </w:t>
      </w:r>
      <w:r w:rsidR="007A23D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kovo </w:t>
      </w:r>
      <w:r w:rsidR="003A2DE6">
        <w:rPr>
          <w:rFonts w:ascii="Times New Roman" w:eastAsia="Times New Roman" w:hAnsi="Times New Roman" w:cs="Times New Roman"/>
          <w:sz w:val="24"/>
          <w:szCs w:val="24"/>
          <w:lang w:val="lt-LT"/>
        </w:rPr>
        <w:t>15</w:t>
      </w:r>
      <w:r w:rsidR="006B291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B80328">
        <w:rPr>
          <w:rFonts w:ascii="Times New Roman" w:eastAsia="Times New Roman" w:hAnsi="Times New Roman" w:cs="Times New Roman"/>
          <w:sz w:val="24"/>
          <w:szCs w:val="24"/>
          <w:lang w:val="lt-LT"/>
        </w:rPr>
        <w:t>d. 9 val. vyks nuotolinis Kultūros paveldo departamento prie Kultūros ministerijos pirmosios nekilnojamojo kultūros paveldo vertinimo tarybos posėdis.</w:t>
      </w:r>
    </w:p>
    <w:p w14:paraId="6F0D66B6" w14:textId="315F9B97" w:rsidR="00A52BCC" w:rsidRDefault="009B0151" w:rsidP="002577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80328">
        <w:rPr>
          <w:rFonts w:ascii="Times New Roman" w:eastAsia="Times New Roman" w:hAnsi="Times New Roman" w:cs="Times New Roman"/>
          <w:sz w:val="24"/>
          <w:szCs w:val="24"/>
          <w:lang w:val="lt-LT"/>
        </w:rPr>
        <w:t>Planuojama svarstyti:</w:t>
      </w:r>
    </w:p>
    <w:p w14:paraId="54CAD540" w14:textId="6D64AB08" w:rsidR="00277F18" w:rsidRDefault="00277F18" w:rsidP="008B13AE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Klausimas dėl architektūrinių struktūrų, atidengtų archeologinių tyrimų metu Klaipėdoje, Tomo</w:t>
      </w:r>
      <w:r w:rsidR="00E26D41">
        <w:rPr>
          <w:rFonts w:ascii="Times New Roman" w:eastAsia="Times New Roman" w:hAnsi="Times New Roman" w:cs="Times New Roman"/>
          <w:sz w:val="24"/>
          <w:szCs w:val="24"/>
          <w:lang w:val="lt-LT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g.</w:t>
      </w:r>
      <w:r w:rsidR="00737C6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 2A,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2B, </w:t>
      </w:r>
      <w:r w:rsidR="00737C6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4,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6, vertinimo ir tikslingumo rengti nekilnojamojo kultūros paveldo vertinimo tarybos akto projektą dėl jų nustatymo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Klaipėdos senamiesčio (u. k. 16075)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vertingosiomis savybėmis.</w:t>
      </w:r>
    </w:p>
    <w:p w14:paraId="45B81A60" w14:textId="77777777" w:rsidR="00175A35" w:rsidRDefault="00175A35" w:rsidP="008B13AE">
      <w:pPr>
        <w:pStyle w:val="ListParagraph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AB81A03" w14:textId="3C4013E0" w:rsidR="00175A35" w:rsidRDefault="00175A35" w:rsidP="008B13AE">
      <w:pPr>
        <w:pStyle w:val="ListParagraph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Papildoma informacija:</w:t>
      </w:r>
    </w:p>
    <w:p w14:paraId="01473A04" w14:textId="21675A90" w:rsidR="00175A35" w:rsidRDefault="00175A35" w:rsidP="008B13AE">
      <w:pPr>
        <w:pStyle w:val="ListParagraph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Statusas (u. k. 16075) – </w:t>
      </w:r>
      <w:r w:rsidR="005531DA">
        <w:rPr>
          <w:rFonts w:ascii="Times New Roman" w:eastAsia="Times New Roman" w:hAnsi="Times New Roman" w:cs="Times New Roman"/>
          <w:sz w:val="24"/>
          <w:szCs w:val="24"/>
          <w:lang w:val="lt-LT"/>
        </w:rPr>
        <w:t>valstybės saugomas.</w:t>
      </w:r>
    </w:p>
    <w:p w14:paraId="0FFD1D38" w14:textId="643C5782" w:rsidR="005531DA" w:rsidRPr="00E26D41" w:rsidRDefault="005531DA" w:rsidP="008B13AE">
      <w:pPr>
        <w:pStyle w:val="ListParagraph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Svarstymo pagrindas – gautas VšĮ „Architektūros tyrimų centras“ kreipimasis dėl archeologinių tyrimų metu Klaipėdoje,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Tomo g. 2A, 2B, 4, 6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atidengtų architektūrinių struktūrų, datuojamų XVIII a. II p. – XX a. I p., vertinimo. </w:t>
      </w:r>
      <w:r w:rsidR="00A33867">
        <w:rPr>
          <w:rFonts w:ascii="Times New Roman" w:eastAsia="Times New Roman" w:hAnsi="Times New Roman" w:cs="Times New Roman"/>
          <w:sz w:val="24"/>
          <w:szCs w:val="24"/>
          <w:lang w:val="lt-LT"/>
        </w:rPr>
        <w:t>Pa</w:t>
      </w:r>
      <w:r w:rsidR="00F844AD">
        <w:rPr>
          <w:rFonts w:ascii="Times New Roman" w:eastAsia="Times New Roman" w:hAnsi="Times New Roman" w:cs="Times New Roman"/>
          <w:sz w:val="24"/>
          <w:szCs w:val="24"/>
          <w:lang w:val="lt-LT"/>
        </w:rPr>
        <w:t>teiktos</w:t>
      </w:r>
      <w:r w:rsidR="00D553E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archeologini</w:t>
      </w:r>
      <w:r w:rsidR="00A3386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="00D553E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ir architektūrini</w:t>
      </w:r>
      <w:r w:rsidR="00A3386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="00D553E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tyrim</w:t>
      </w:r>
      <w:r w:rsidR="00A33867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="00D553E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pažymos. </w:t>
      </w:r>
    </w:p>
    <w:p w14:paraId="2B1BA89E" w14:textId="77777777" w:rsidR="005531DA" w:rsidRDefault="005531DA" w:rsidP="008B13AE">
      <w:pPr>
        <w:pStyle w:val="ListParagraph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7F2BE52" w14:textId="4A02315D" w:rsidR="00C51359" w:rsidRDefault="00C51359" w:rsidP="008B13AE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Klausimas dėl tikslingumo rengti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nekilnojamojo kultūros paveldo vertinimo tarybos akto projektą dėl Klaipėdos </w:t>
      </w:r>
      <w:r w:rsidR="00F3717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miesto istorinės dalies, vad. Naujamiesčiu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(u. k. </w:t>
      </w:r>
      <w:r w:rsidR="00F37177">
        <w:rPr>
          <w:rFonts w:ascii="Times New Roman" w:eastAsia="Times New Roman" w:hAnsi="Times New Roman" w:cs="Times New Roman"/>
          <w:sz w:val="24"/>
          <w:szCs w:val="24"/>
          <w:lang w:val="lt-LT"/>
        </w:rPr>
        <w:t>22012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)</w:t>
      </w:r>
      <w:r w:rsidR="00F3717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duomenų Kultūros vertybių registre tikslinimo</w:t>
      </w:r>
      <w:r w:rsidR="00F3717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(dėl buv. pastato sklype Klaipėdoje, Liepų g. 41A statuso keitimo). </w:t>
      </w:r>
    </w:p>
    <w:p w14:paraId="512CA682" w14:textId="38FCAE61" w:rsidR="00E26D41" w:rsidRDefault="00E26D41" w:rsidP="008B13AE">
      <w:pPr>
        <w:pStyle w:val="ListParagraph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E14DBF8" w14:textId="77777777" w:rsidR="00E26D41" w:rsidRDefault="00E26D41" w:rsidP="008B13AE">
      <w:pPr>
        <w:pStyle w:val="ListParagraph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Papildoma informacija:</w:t>
      </w:r>
    </w:p>
    <w:p w14:paraId="61479FF9" w14:textId="7EA08A07" w:rsidR="00E26D41" w:rsidRDefault="00E26D41" w:rsidP="008B13AE">
      <w:pPr>
        <w:pStyle w:val="ListParagraph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Statusas (u. k.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22012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) – valstybės saugomas.</w:t>
      </w:r>
    </w:p>
    <w:p w14:paraId="50BAA152" w14:textId="035F0521" w:rsidR="00E26D41" w:rsidRDefault="00E26D41" w:rsidP="008B13AE">
      <w:pPr>
        <w:pStyle w:val="ListParagraph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Svarstymo pagrindas – gautas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A3386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UAB „Ekogruntas“ kreipimasis dėl </w:t>
      </w:r>
      <w:r w:rsidR="00A33867">
        <w:rPr>
          <w:rFonts w:ascii="Times New Roman" w:eastAsia="Times New Roman" w:hAnsi="Times New Roman" w:cs="Times New Roman"/>
          <w:sz w:val="24"/>
          <w:szCs w:val="24"/>
          <w:lang w:val="lt-LT"/>
        </w:rPr>
        <w:t>buv. pastato sklype Klaipėdoje, Liepų g. 41A statuso keitimo</w:t>
      </w:r>
      <w:r w:rsidR="00A33867">
        <w:rPr>
          <w:rFonts w:ascii="Times New Roman" w:eastAsia="Times New Roman" w:hAnsi="Times New Roman" w:cs="Times New Roman"/>
          <w:sz w:val="24"/>
          <w:szCs w:val="24"/>
          <w:lang w:val="lt-LT"/>
        </w:rPr>
        <w:t>, remiantis istoriniais-urbanistiniais tyrimais. Pa</w:t>
      </w:r>
      <w:r w:rsidR="00F844A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teikta Sklypo Klaipėdoje, Liepų g. 41A užstatymo istorinės raidos tyrimų medžiaga. </w:t>
      </w:r>
    </w:p>
    <w:p w14:paraId="72AA51FB" w14:textId="77777777" w:rsidR="00E26D41" w:rsidRPr="00644373" w:rsidRDefault="00E26D41" w:rsidP="008B13AE">
      <w:pPr>
        <w:pStyle w:val="ListParagraph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BE0C666" w14:textId="6F54654E" w:rsidR="00257709" w:rsidRDefault="00EC256A" w:rsidP="008B13AE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Klausimas dėl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ūkinės / sandėliavimo paskirties statinio ir kuro sandėlio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vertinimo ir tikslingumo rengti </w:t>
      </w:r>
      <w:r w:rsidR="0053784E">
        <w:rPr>
          <w:rFonts w:ascii="Times New Roman" w:eastAsia="Times New Roman" w:hAnsi="Times New Roman" w:cs="Times New Roman"/>
          <w:sz w:val="24"/>
          <w:szCs w:val="24"/>
          <w:lang w:val="lt-LT"/>
        </w:rPr>
        <w:t>Nidos švyturio statinių komplekso</w:t>
      </w:r>
      <w:r w:rsidR="00E9171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(u. k. 41559)</w:t>
      </w:r>
      <w:r w:rsidR="0053784E">
        <w:rPr>
          <w:rFonts w:ascii="Times New Roman" w:eastAsia="Times New Roman" w:hAnsi="Times New Roman" w:cs="Times New Roman"/>
          <w:sz w:val="24"/>
          <w:szCs w:val="24"/>
          <w:lang w:val="lt-LT"/>
        </w:rPr>
        <w:t>, esančio Neringos sav., Neringos m., Taikos</w:t>
      </w:r>
      <w:r w:rsidR="00E9171D">
        <w:rPr>
          <w:rFonts w:ascii="Times New Roman" w:eastAsia="Times New Roman" w:hAnsi="Times New Roman" w:cs="Times New Roman"/>
          <w:sz w:val="24"/>
          <w:szCs w:val="24"/>
          <w:lang w:val="lt-LT"/>
        </w:rPr>
        <w:t> </w:t>
      </w:r>
      <w:r w:rsidR="0053784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g. 10A, 10B, 10C, 36A, </w:t>
      </w:r>
      <w:r w:rsidRPr="00E9171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nekilnojamojo kultūros paveldo vertinimo tarybos akto projektą </w:t>
      </w:r>
      <w:r w:rsidR="008C11E5" w:rsidRPr="00E9171D">
        <w:rPr>
          <w:rFonts w:ascii="Times New Roman" w:eastAsia="Times New Roman" w:hAnsi="Times New Roman" w:cs="Times New Roman"/>
          <w:sz w:val="24"/>
          <w:szCs w:val="24"/>
          <w:lang w:val="lt-LT"/>
        </w:rPr>
        <w:t>dėl apsaugos</w:t>
      </w:r>
      <w:r w:rsidR="00E9171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8C11E5" w:rsidRPr="00E9171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jiems </w:t>
      </w:r>
      <w:r w:rsidR="00B3323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(kaip į kompleksą įeinančioms dalims) </w:t>
      </w:r>
      <w:r w:rsidR="008C11E5" w:rsidRPr="00E9171D">
        <w:rPr>
          <w:rFonts w:ascii="Times New Roman" w:eastAsia="Times New Roman" w:hAnsi="Times New Roman" w:cs="Times New Roman"/>
          <w:sz w:val="24"/>
          <w:szCs w:val="24"/>
          <w:lang w:val="lt-LT"/>
        </w:rPr>
        <w:t>suteikimo.</w:t>
      </w:r>
    </w:p>
    <w:p w14:paraId="13BF4E05" w14:textId="2D20C09A" w:rsidR="00F844AD" w:rsidRDefault="00F844AD" w:rsidP="008B13AE">
      <w:pPr>
        <w:pStyle w:val="ListParagraph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C89A2EB" w14:textId="3CB76ED9" w:rsidR="00F844AD" w:rsidRDefault="00F844AD" w:rsidP="008B13AE">
      <w:pPr>
        <w:pStyle w:val="ListParagraph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Papildoma informacija:</w:t>
      </w:r>
    </w:p>
    <w:p w14:paraId="64244396" w14:textId="0D32C529" w:rsidR="00F844AD" w:rsidRDefault="00F844AD" w:rsidP="008B13AE">
      <w:pPr>
        <w:pStyle w:val="ListParagraph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Statusas (u. k. 41559) – registrinis.</w:t>
      </w:r>
    </w:p>
    <w:p w14:paraId="6FC26193" w14:textId="6DABC23F" w:rsidR="00F844AD" w:rsidRDefault="00F844AD" w:rsidP="008B13AE">
      <w:pPr>
        <w:pStyle w:val="ListParagraph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Svarstymo pagrindas – gauta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Kultūros paveldo centro parengta medžiaga (</w:t>
      </w:r>
      <w:r w:rsidR="0050023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statinių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fotofiksacija ir brėžiniai)</w:t>
      </w:r>
      <w:r w:rsidR="0050023F">
        <w:rPr>
          <w:rFonts w:ascii="Times New Roman" w:eastAsia="Times New Roman" w:hAnsi="Times New Roman" w:cs="Times New Roman"/>
          <w:sz w:val="24"/>
          <w:szCs w:val="24"/>
          <w:lang w:val="lt-LT"/>
        </w:rPr>
        <w:t>. A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tsižvelgus į Kultūros paveldo departamento prie Kultūros ministerijos pirmosios nekilnojamojo kultūros paveldo vertinimo tarybos </w:t>
      </w:r>
      <w:r w:rsidR="0050023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2022-02-01 protokolinį sprendimą (Nr. VT-4) klausimas teikiamas pakartotiniam svarstymui. </w:t>
      </w:r>
    </w:p>
    <w:p w14:paraId="01558020" w14:textId="77777777" w:rsidR="00F844AD" w:rsidRPr="00E9171D" w:rsidRDefault="00F844AD" w:rsidP="008B13AE">
      <w:pPr>
        <w:pStyle w:val="ListParagraph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AD66772" w14:textId="063B3737" w:rsidR="0053784E" w:rsidRDefault="00162C1F" w:rsidP="008B13AE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Klausimas dėl tikslingumo rengti nekilnojamojo kultūros paveldo vertinimo tarybos akto projektą dėl Kauno senamiesčio (u. k. 20171) duomenų Kultūros vertybių registre tikslinimo (</w:t>
      </w:r>
      <w:r w:rsidR="00BC7A6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dėl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pastatų, esančių Kaune, Kurpių g. 17 ir Kurpių g. 19 statusų keitimo).</w:t>
      </w:r>
    </w:p>
    <w:p w14:paraId="6B96EBB4" w14:textId="77777777" w:rsidR="00644373" w:rsidRDefault="00644373" w:rsidP="008B13AE">
      <w:pPr>
        <w:pStyle w:val="ListParagraph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FECF71C" w14:textId="77777777" w:rsidR="0050023F" w:rsidRDefault="0050023F" w:rsidP="008B13AE">
      <w:pPr>
        <w:pStyle w:val="ListParagraph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Papildoma informacija:</w:t>
      </w:r>
    </w:p>
    <w:p w14:paraId="0900ED6A" w14:textId="491192EE" w:rsidR="0050023F" w:rsidRDefault="0050023F" w:rsidP="008B13AE">
      <w:pPr>
        <w:pStyle w:val="ListParagraph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Statusas (u. k.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20171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) –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valstybės saugomas.</w:t>
      </w:r>
    </w:p>
    <w:p w14:paraId="312EDD77" w14:textId="0115A69C" w:rsidR="0052064C" w:rsidRPr="00C51359" w:rsidRDefault="0050023F" w:rsidP="008B13AE">
      <w:pPr>
        <w:pStyle w:val="ListParagraph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lastRenderedPageBreak/>
        <w:t>Svarstymo pagrindas –</w:t>
      </w:r>
      <w:r w:rsidR="004D182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BC7A6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gautas kreipimasis dėl </w:t>
      </w:r>
      <w:r w:rsidR="00BC7A63">
        <w:rPr>
          <w:rFonts w:ascii="Times New Roman" w:eastAsia="Times New Roman" w:hAnsi="Times New Roman" w:cs="Times New Roman"/>
          <w:sz w:val="24"/>
          <w:szCs w:val="24"/>
          <w:lang w:val="lt-LT"/>
        </w:rPr>
        <w:t>Kauno senamiesčio (u. k. 20171) duomenų Kultūros vertybių registre tikslinimo</w:t>
      </w:r>
      <w:r w:rsidR="00BC7A6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keičiant </w:t>
      </w:r>
      <w:r w:rsidR="00BC7A63">
        <w:rPr>
          <w:rFonts w:ascii="Times New Roman" w:eastAsia="Times New Roman" w:hAnsi="Times New Roman" w:cs="Times New Roman"/>
          <w:sz w:val="24"/>
          <w:szCs w:val="24"/>
          <w:lang w:val="lt-LT"/>
        </w:rPr>
        <w:t>pastatų, esančių Kaune, Kurpių g. 17 ir Kurpių g. 19</w:t>
      </w:r>
      <w:r w:rsidR="00BC7A6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urbanistinės struktūros statinių statusą urbanistinėje kultūros paveldo vietovėje. Pateikta ikonografinė medžiaga, fotofiksacijos. </w:t>
      </w:r>
    </w:p>
    <w:p w14:paraId="68D8A424" w14:textId="77777777" w:rsidR="0052064C" w:rsidRPr="00257709" w:rsidRDefault="0052064C" w:rsidP="0052064C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sectPr w:rsidR="0052064C" w:rsidRPr="00257709" w:rsidSect="00514511">
      <w:pgSz w:w="12240" w:h="15840"/>
      <w:pgMar w:top="108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7A8F"/>
    <w:multiLevelType w:val="hybridMultilevel"/>
    <w:tmpl w:val="44A4B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F57C7"/>
    <w:multiLevelType w:val="hybridMultilevel"/>
    <w:tmpl w:val="8DBE3784"/>
    <w:lvl w:ilvl="0" w:tplc="D096B19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560C9"/>
    <w:multiLevelType w:val="hybridMultilevel"/>
    <w:tmpl w:val="1CAC5DB8"/>
    <w:lvl w:ilvl="0" w:tplc="CA0CD61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47521"/>
    <w:multiLevelType w:val="hybridMultilevel"/>
    <w:tmpl w:val="5B926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D2290"/>
    <w:multiLevelType w:val="hybridMultilevel"/>
    <w:tmpl w:val="96001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B5B56"/>
    <w:multiLevelType w:val="hybridMultilevel"/>
    <w:tmpl w:val="D9809F52"/>
    <w:lvl w:ilvl="0" w:tplc="5E1E32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89"/>
    <w:rsid w:val="00003010"/>
    <w:rsid w:val="00012F24"/>
    <w:rsid w:val="000133AC"/>
    <w:rsid w:val="00022FA0"/>
    <w:rsid w:val="00032C34"/>
    <w:rsid w:val="00032CE7"/>
    <w:rsid w:val="000573A6"/>
    <w:rsid w:val="00074896"/>
    <w:rsid w:val="00075BAB"/>
    <w:rsid w:val="000900FE"/>
    <w:rsid w:val="000A6DF6"/>
    <w:rsid w:val="000B14DC"/>
    <w:rsid w:val="000D18AC"/>
    <w:rsid w:val="000D3495"/>
    <w:rsid w:val="000D6D61"/>
    <w:rsid w:val="000D6E26"/>
    <w:rsid w:val="000D78D9"/>
    <w:rsid w:val="000E46EE"/>
    <w:rsid w:val="000E7A4A"/>
    <w:rsid w:val="000F223F"/>
    <w:rsid w:val="000F62BA"/>
    <w:rsid w:val="00103576"/>
    <w:rsid w:val="001041AE"/>
    <w:rsid w:val="00111AE4"/>
    <w:rsid w:val="00130B2D"/>
    <w:rsid w:val="0013678C"/>
    <w:rsid w:val="001371B3"/>
    <w:rsid w:val="0014196E"/>
    <w:rsid w:val="00147749"/>
    <w:rsid w:val="001622F7"/>
    <w:rsid w:val="00162C1F"/>
    <w:rsid w:val="00175A35"/>
    <w:rsid w:val="0017733D"/>
    <w:rsid w:val="00177D23"/>
    <w:rsid w:val="00181222"/>
    <w:rsid w:val="00184438"/>
    <w:rsid w:val="00184ABD"/>
    <w:rsid w:val="001A1672"/>
    <w:rsid w:val="001A3EDE"/>
    <w:rsid w:val="001A4C3D"/>
    <w:rsid w:val="001B3B4D"/>
    <w:rsid w:val="001E12AF"/>
    <w:rsid w:val="001E556D"/>
    <w:rsid w:val="001F2DEB"/>
    <w:rsid w:val="00207AC3"/>
    <w:rsid w:val="00216A1E"/>
    <w:rsid w:val="002172A3"/>
    <w:rsid w:val="00223B11"/>
    <w:rsid w:val="00225BA1"/>
    <w:rsid w:val="00257709"/>
    <w:rsid w:val="00261FD4"/>
    <w:rsid w:val="00277F18"/>
    <w:rsid w:val="00293F75"/>
    <w:rsid w:val="002A314D"/>
    <w:rsid w:val="002A45A4"/>
    <w:rsid w:val="002B475C"/>
    <w:rsid w:val="002C010E"/>
    <w:rsid w:val="002E7E3C"/>
    <w:rsid w:val="0030503D"/>
    <w:rsid w:val="0031122F"/>
    <w:rsid w:val="003219B9"/>
    <w:rsid w:val="00321B96"/>
    <w:rsid w:val="0033233C"/>
    <w:rsid w:val="00337CC9"/>
    <w:rsid w:val="00346298"/>
    <w:rsid w:val="00352B9C"/>
    <w:rsid w:val="00363973"/>
    <w:rsid w:val="003649E1"/>
    <w:rsid w:val="00373760"/>
    <w:rsid w:val="00374E09"/>
    <w:rsid w:val="00393313"/>
    <w:rsid w:val="00397307"/>
    <w:rsid w:val="003A2AC8"/>
    <w:rsid w:val="003A2DE6"/>
    <w:rsid w:val="003B5C11"/>
    <w:rsid w:val="003C5657"/>
    <w:rsid w:val="003D31B5"/>
    <w:rsid w:val="003D445A"/>
    <w:rsid w:val="00400D0B"/>
    <w:rsid w:val="0040117D"/>
    <w:rsid w:val="00401D9C"/>
    <w:rsid w:val="00407695"/>
    <w:rsid w:val="004211B1"/>
    <w:rsid w:val="0042149F"/>
    <w:rsid w:val="00422E12"/>
    <w:rsid w:val="00425140"/>
    <w:rsid w:val="00446E1E"/>
    <w:rsid w:val="004478A6"/>
    <w:rsid w:val="00461ED6"/>
    <w:rsid w:val="00465E9A"/>
    <w:rsid w:val="00465EE3"/>
    <w:rsid w:val="00476B06"/>
    <w:rsid w:val="00485910"/>
    <w:rsid w:val="00495882"/>
    <w:rsid w:val="00495911"/>
    <w:rsid w:val="004B1631"/>
    <w:rsid w:val="004B5546"/>
    <w:rsid w:val="004C7B8A"/>
    <w:rsid w:val="004D0455"/>
    <w:rsid w:val="004D0EB6"/>
    <w:rsid w:val="004D1821"/>
    <w:rsid w:val="004D7D14"/>
    <w:rsid w:val="004D7DCC"/>
    <w:rsid w:val="004E0BF8"/>
    <w:rsid w:val="004E1CDA"/>
    <w:rsid w:val="004F3D0C"/>
    <w:rsid w:val="0050023F"/>
    <w:rsid w:val="00507F9C"/>
    <w:rsid w:val="00514511"/>
    <w:rsid w:val="005201F8"/>
    <w:rsid w:val="0052064C"/>
    <w:rsid w:val="00523C10"/>
    <w:rsid w:val="0053784E"/>
    <w:rsid w:val="005452BE"/>
    <w:rsid w:val="00546AD1"/>
    <w:rsid w:val="005531DA"/>
    <w:rsid w:val="00557646"/>
    <w:rsid w:val="0056175F"/>
    <w:rsid w:val="00561F6E"/>
    <w:rsid w:val="0056353C"/>
    <w:rsid w:val="00576F43"/>
    <w:rsid w:val="0059095D"/>
    <w:rsid w:val="00591914"/>
    <w:rsid w:val="00593037"/>
    <w:rsid w:val="005A2606"/>
    <w:rsid w:val="005A4BAD"/>
    <w:rsid w:val="005B250B"/>
    <w:rsid w:val="005B58CA"/>
    <w:rsid w:val="005C03A9"/>
    <w:rsid w:val="005D2CCB"/>
    <w:rsid w:val="005D6159"/>
    <w:rsid w:val="005E1256"/>
    <w:rsid w:val="005E2148"/>
    <w:rsid w:val="005F23B8"/>
    <w:rsid w:val="005F5041"/>
    <w:rsid w:val="005F76B8"/>
    <w:rsid w:val="0060265B"/>
    <w:rsid w:val="00612950"/>
    <w:rsid w:val="006271CA"/>
    <w:rsid w:val="00627D48"/>
    <w:rsid w:val="00632094"/>
    <w:rsid w:val="00633328"/>
    <w:rsid w:val="00644373"/>
    <w:rsid w:val="006505AE"/>
    <w:rsid w:val="00653495"/>
    <w:rsid w:val="0066198B"/>
    <w:rsid w:val="00663B31"/>
    <w:rsid w:val="006677E6"/>
    <w:rsid w:val="00667951"/>
    <w:rsid w:val="00667F3E"/>
    <w:rsid w:val="006714C3"/>
    <w:rsid w:val="00674977"/>
    <w:rsid w:val="0068131A"/>
    <w:rsid w:val="006847E5"/>
    <w:rsid w:val="00686558"/>
    <w:rsid w:val="00690B08"/>
    <w:rsid w:val="00694F28"/>
    <w:rsid w:val="006A7BDC"/>
    <w:rsid w:val="006B2910"/>
    <w:rsid w:val="006B7D4F"/>
    <w:rsid w:val="006D47C0"/>
    <w:rsid w:val="006E66A3"/>
    <w:rsid w:val="006F0738"/>
    <w:rsid w:val="006F349F"/>
    <w:rsid w:val="00705715"/>
    <w:rsid w:val="00722019"/>
    <w:rsid w:val="00724258"/>
    <w:rsid w:val="00732FA9"/>
    <w:rsid w:val="00737C39"/>
    <w:rsid w:val="00737C6B"/>
    <w:rsid w:val="007438D4"/>
    <w:rsid w:val="00744F5A"/>
    <w:rsid w:val="00744FE7"/>
    <w:rsid w:val="007468D6"/>
    <w:rsid w:val="007469AF"/>
    <w:rsid w:val="0075118A"/>
    <w:rsid w:val="00754A12"/>
    <w:rsid w:val="00760002"/>
    <w:rsid w:val="00767576"/>
    <w:rsid w:val="00767AC6"/>
    <w:rsid w:val="007746A9"/>
    <w:rsid w:val="00777AD4"/>
    <w:rsid w:val="00787066"/>
    <w:rsid w:val="007949F1"/>
    <w:rsid w:val="007A23D5"/>
    <w:rsid w:val="007A3FAE"/>
    <w:rsid w:val="007C759B"/>
    <w:rsid w:val="007D1EC9"/>
    <w:rsid w:val="007D5488"/>
    <w:rsid w:val="007E6022"/>
    <w:rsid w:val="007F2787"/>
    <w:rsid w:val="007F27F2"/>
    <w:rsid w:val="007F4F68"/>
    <w:rsid w:val="00802764"/>
    <w:rsid w:val="00804A56"/>
    <w:rsid w:val="008067B1"/>
    <w:rsid w:val="00815C21"/>
    <w:rsid w:val="00816B43"/>
    <w:rsid w:val="00816BAB"/>
    <w:rsid w:val="008204EF"/>
    <w:rsid w:val="00841629"/>
    <w:rsid w:val="00854FF6"/>
    <w:rsid w:val="00855DBF"/>
    <w:rsid w:val="008579BB"/>
    <w:rsid w:val="00857B25"/>
    <w:rsid w:val="0088034C"/>
    <w:rsid w:val="008840DE"/>
    <w:rsid w:val="00897274"/>
    <w:rsid w:val="008A01B5"/>
    <w:rsid w:val="008A4AD2"/>
    <w:rsid w:val="008A52DA"/>
    <w:rsid w:val="008B13AE"/>
    <w:rsid w:val="008C11E5"/>
    <w:rsid w:val="008C3F18"/>
    <w:rsid w:val="008F45BE"/>
    <w:rsid w:val="00903539"/>
    <w:rsid w:val="00910C64"/>
    <w:rsid w:val="00950901"/>
    <w:rsid w:val="009651A6"/>
    <w:rsid w:val="00970CDB"/>
    <w:rsid w:val="0097486F"/>
    <w:rsid w:val="00974B53"/>
    <w:rsid w:val="009802E8"/>
    <w:rsid w:val="00987369"/>
    <w:rsid w:val="00994518"/>
    <w:rsid w:val="00995D20"/>
    <w:rsid w:val="009A5A29"/>
    <w:rsid w:val="009A7A2F"/>
    <w:rsid w:val="009B0151"/>
    <w:rsid w:val="009B3831"/>
    <w:rsid w:val="009B7DF3"/>
    <w:rsid w:val="009C1AD7"/>
    <w:rsid w:val="009C36D6"/>
    <w:rsid w:val="009D1884"/>
    <w:rsid w:val="009D21A4"/>
    <w:rsid w:val="009D6349"/>
    <w:rsid w:val="009F3E49"/>
    <w:rsid w:val="00A01FC3"/>
    <w:rsid w:val="00A059C5"/>
    <w:rsid w:val="00A10620"/>
    <w:rsid w:val="00A20ED7"/>
    <w:rsid w:val="00A22370"/>
    <w:rsid w:val="00A33867"/>
    <w:rsid w:val="00A40E82"/>
    <w:rsid w:val="00A52BCC"/>
    <w:rsid w:val="00A52EBF"/>
    <w:rsid w:val="00A53B0C"/>
    <w:rsid w:val="00A75BD2"/>
    <w:rsid w:val="00A85338"/>
    <w:rsid w:val="00A85782"/>
    <w:rsid w:val="00A959D6"/>
    <w:rsid w:val="00AA3632"/>
    <w:rsid w:val="00AA5258"/>
    <w:rsid w:val="00AA534F"/>
    <w:rsid w:val="00AB51A4"/>
    <w:rsid w:val="00AB6F37"/>
    <w:rsid w:val="00AC0328"/>
    <w:rsid w:val="00AC1FE4"/>
    <w:rsid w:val="00AC73D8"/>
    <w:rsid w:val="00AD645F"/>
    <w:rsid w:val="00AD713E"/>
    <w:rsid w:val="00AD7E3C"/>
    <w:rsid w:val="00AE0E41"/>
    <w:rsid w:val="00AE5BDB"/>
    <w:rsid w:val="00AE6CA7"/>
    <w:rsid w:val="00AF49CC"/>
    <w:rsid w:val="00AF58EF"/>
    <w:rsid w:val="00AF7144"/>
    <w:rsid w:val="00B01D30"/>
    <w:rsid w:val="00B02A00"/>
    <w:rsid w:val="00B04F83"/>
    <w:rsid w:val="00B110E6"/>
    <w:rsid w:val="00B2661B"/>
    <w:rsid w:val="00B33234"/>
    <w:rsid w:val="00B347F9"/>
    <w:rsid w:val="00B40BD4"/>
    <w:rsid w:val="00B64E33"/>
    <w:rsid w:val="00B6716D"/>
    <w:rsid w:val="00B736A1"/>
    <w:rsid w:val="00B75ADE"/>
    <w:rsid w:val="00B80328"/>
    <w:rsid w:val="00B810CF"/>
    <w:rsid w:val="00B831F3"/>
    <w:rsid w:val="00B941ED"/>
    <w:rsid w:val="00B9562F"/>
    <w:rsid w:val="00BA4BD3"/>
    <w:rsid w:val="00BB2681"/>
    <w:rsid w:val="00BC0A67"/>
    <w:rsid w:val="00BC4B48"/>
    <w:rsid w:val="00BC7A63"/>
    <w:rsid w:val="00BD0EBB"/>
    <w:rsid w:val="00BD4A73"/>
    <w:rsid w:val="00BD570F"/>
    <w:rsid w:val="00BD6425"/>
    <w:rsid w:val="00BF146A"/>
    <w:rsid w:val="00BF2E10"/>
    <w:rsid w:val="00BF3147"/>
    <w:rsid w:val="00C02F78"/>
    <w:rsid w:val="00C0797F"/>
    <w:rsid w:val="00C14D9E"/>
    <w:rsid w:val="00C21879"/>
    <w:rsid w:val="00C22B3D"/>
    <w:rsid w:val="00C34150"/>
    <w:rsid w:val="00C50335"/>
    <w:rsid w:val="00C51359"/>
    <w:rsid w:val="00C55A70"/>
    <w:rsid w:val="00C635B0"/>
    <w:rsid w:val="00C66C22"/>
    <w:rsid w:val="00C74ED1"/>
    <w:rsid w:val="00C752B0"/>
    <w:rsid w:val="00C831ED"/>
    <w:rsid w:val="00C870E9"/>
    <w:rsid w:val="00C95C45"/>
    <w:rsid w:val="00CA4970"/>
    <w:rsid w:val="00CA4E24"/>
    <w:rsid w:val="00CB04FC"/>
    <w:rsid w:val="00CB0591"/>
    <w:rsid w:val="00CB1961"/>
    <w:rsid w:val="00CB797E"/>
    <w:rsid w:val="00CC76A7"/>
    <w:rsid w:val="00CD5225"/>
    <w:rsid w:val="00CD5596"/>
    <w:rsid w:val="00CE0BAF"/>
    <w:rsid w:val="00CE2AC1"/>
    <w:rsid w:val="00CF3087"/>
    <w:rsid w:val="00D007D8"/>
    <w:rsid w:val="00D05CFB"/>
    <w:rsid w:val="00D1263F"/>
    <w:rsid w:val="00D127A4"/>
    <w:rsid w:val="00D127BD"/>
    <w:rsid w:val="00D1485F"/>
    <w:rsid w:val="00D1715D"/>
    <w:rsid w:val="00D226AF"/>
    <w:rsid w:val="00D3622C"/>
    <w:rsid w:val="00D37C61"/>
    <w:rsid w:val="00D44D54"/>
    <w:rsid w:val="00D53A4E"/>
    <w:rsid w:val="00D53B4D"/>
    <w:rsid w:val="00D553EA"/>
    <w:rsid w:val="00D63C4E"/>
    <w:rsid w:val="00D6493E"/>
    <w:rsid w:val="00D72910"/>
    <w:rsid w:val="00D86A01"/>
    <w:rsid w:val="00D91403"/>
    <w:rsid w:val="00D94AC4"/>
    <w:rsid w:val="00D977B1"/>
    <w:rsid w:val="00DA099E"/>
    <w:rsid w:val="00DD5C72"/>
    <w:rsid w:val="00DD5D11"/>
    <w:rsid w:val="00DE586D"/>
    <w:rsid w:val="00DE787A"/>
    <w:rsid w:val="00E0215E"/>
    <w:rsid w:val="00E141EC"/>
    <w:rsid w:val="00E20EE7"/>
    <w:rsid w:val="00E238FB"/>
    <w:rsid w:val="00E26AA4"/>
    <w:rsid w:val="00E26D41"/>
    <w:rsid w:val="00E30BE7"/>
    <w:rsid w:val="00E31A66"/>
    <w:rsid w:val="00E32CE7"/>
    <w:rsid w:val="00E33EB1"/>
    <w:rsid w:val="00E3609C"/>
    <w:rsid w:val="00E539D4"/>
    <w:rsid w:val="00E57E04"/>
    <w:rsid w:val="00E71CFB"/>
    <w:rsid w:val="00E74E75"/>
    <w:rsid w:val="00E775B9"/>
    <w:rsid w:val="00E834FC"/>
    <w:rsid w:val="00E84F90"/>
    <w:rsid w:val="00E863F8"/>
    <w:rsid w:val="00E9171D"/>
    <w:rsid w:val="00EB039B"/>
    <w:rsid w:val="00EB23F0"/>
    <w:rsid w:val="00EC256A"/>
    <w:rsid w:val="00EC463B"/>
    <w:rsid w:val="00EC49C1"/>
    <w:rsid w:val="00ED2C44"/>
    <w:rsid w:val="00EE5718"/>
    <w:rsid w:val="00EE67E3"/>
    <w:rsid w:val="00F02A9B"/>
    <w:rsid w:val="00F04994"/>
    <w:rsid w:val="00F07D89"/>
    <w:rsid w:val="00F225D1"/>
    <w:rsid w:val="00F37177"/>
    <w:rsid w:val="00F5283D"/>
    <w:rsid w:val="00F6404E"/>
    <w:rsid w:val="00F719C3"/>
    <w:rsid w:val="00F72016"/>
    <w:rsid w:val="00F7713B"/>
    <w:rsid w:val="00F81A6A"/>
    <w:rsid w:val="00F844AD"/>
    <w:rsid w:val="00F86A69"/>
    <w:rsid w:val="00F918AF"/>
    <w:rsid w:val="00F94A73"/>
    <w:rsid w:val="00FB17E6"/>
    <w:rsid w:val="00FB268C"/>
    <w:rsid w:val="00FD1DEC"/>
    <w:rsid w:val="00FD5C28"/>
    <w:rsid w:val="00FE5A70"/>
    <w:rsid w:val="00FF116E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9BA8C"/>
  <w15:chartTrackingRefBased/>
  <w15:docId w15:val="{56A63454-5CE5-4844-B462-7582040D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E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A4E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78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78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A4E2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CA4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A4E2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A4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CA4E2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478A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478A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337C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CC9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5F76B8"/>
  </w:style>
  <w:style w:type="paragraph" w:styleId="ListParagraph">
    <w:name w:val="List Paragraph"/>
    <w:basedOn w:val="Normal"/>
    <w:uiPriority w:val="34"/>
    <w:qFormat/>
    <w:rsid w:val="00653495"/>
    <w:pPr>
      <w:ind w:left="720"/>
      <w:contextualSpacing/>
    </w:pPr>
  </w:style>
  <w:style w:type="paragraph" w:customStyle="1" w:styleId="default">
    <w:name w:val="default"/>
    <w:basedOn w:val="Normal"/>
    <w:rsid w:val="000A6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15F60-2F5D-471A-975F-465938AEB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Vyginta Abušovienė</cp:lastModifiedBy>
  <cp:revision>33</cp:revision>
  <dcterms:created xsi:type="dcterms:W3CDTF">2022-03-07T14:19:00Z</dcterms:created>
  <dcterms:modified xsi:type="dcterms:W3CDTF">2022-03-09T11:16:00Z</dcterms:modified>
</cp:coreProperties>
</file>