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E4B1A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51ABFD" wp14:editId="333FC946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3E6D5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DEB50AB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782A16A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9772B8F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6BCEF4CC" w14:textId="54BED9B5" w:rsidR="008D73CF" w:rsidRDefault="008D73CF" w:rsidP="008D73C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DĖL SAVIVALDYBĖS BIUDŽETO LĖŠŲ KVOTŲ PASKI</w:t>
      </w:r>
      <w:r w:rsidR="00FD4918">
        <w:rPr>
          <w:b/>
          <w:caps/>
          <w:sz w:val="24"/>
          <w:szCs w:val="24"/>
        </w:rPr>
        <w:t>RSTYMO KULTŪROS IR MENO SRIČIŲ</w:t>
      </w:r>
      <w:r>
        <w:rPr>
          <w:b/>
          <w:caps/>
          <w:sz w:val="24"/>
          <w:szCs w:val="24"/>
        </w:rPr>
        <w:t xml:space="preserve"> PROJEKTAMS IŠ DALIES FINANSUOTI 202</w:t>
      </w:r>
      <w:r>
        <w:rPr>
          <w:b/>
          <w:caps/>
          <w:sz w:val="24"/>
          <w:szCs w:val="24"/>
          <w:lang w:val="en-US"/>
        </w:rPr>
        <w:t>2</w:t>
      </w:r>
      <w:r>
        <w:rPr>
          <w:b/>
          <w:caps/>
          <w:sz w:val="24"/>
          <w:szCs w:val="24"/>
        </w:rPr>
        <w:t xml:space="preserve"> M.</w:t>
      </w:r>
    </w:p>
    <w:p w14:paraId="7D922D04" w14:textId="77777777" w:rsidR="00445CA9" w:rsidRPr="003C09F9" w:rsidRDefault="00445CA9" w:rsidP="00F41647">
      <w:pPr>
        <w:rPr>
          <w:sz w:val="24"/>
          <w:szCs w:val="24"/>
        </w:rPr>
      </w:pPr>
    </w:p>
    <w:p w14:paraId="6BD5FCD8" w14:textId="47F6DAD3" w:rsidR="00445CA9" w:rsidRPr="003C09F9" w:rsidRDefault="0028174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81748">
        <w:rPr>
          <w:sz w:val="24"/>
          <w:szCs w:val="24"/>
        </w:rPr>
        <w:t xml:space="preserve">2022-01-27 </w:t>
      </w:r>
      <w:r>
        <w:rPr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 w:rsidRPr="00281748">
        <w:rPr>
          <w:sz w:val="24"/>
          <w:szCs w:val="24"/>
        </w:rPr>
        <w:t>AD1-133</w:t>
      </w:r>
    </w:p>
    <w:p w14:paraId="0B51D731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DB93BDB" w14:textId="77777777" w:rsidR="00163473" w:rsidRDefault="00163473" w:rsidP="00AD2EE1">
      <w:pPr>
        <w:pStyle w:val="Pagrindinistekstas"/>
        <w:rPr>
          <w:szCs w:val="24"/>
        </w:rPr>
      </w:pPr>
    </w:p>
    <w:p w14:paraId="263A1E3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1EA62622" w14:textId="799037D0" w:rsidR="008D73CF" w:rsidRDefault="008D73CF" w:rsidP="006F75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29 straipsnio 8 dalies 5 punktu, Kultūros bei meno projektų finansavimo Klaipėdos miesto savivaldybės biudžeto lėšomis tvarkos aprašo, patvirtinto Klaipėdos miesto savivaldybės tarybos 2017 m. liepos 27 d. sprendimu Nr. T2-187 „Dėl kultūros bei meno projektų finansavimo Klaipėdos miesto savivaldybės biudžeto lėšomis tvarkos nustatymo“, 37 punktu ir atsižvelgdamas</w:t>
      </w:r>
      <w:r w:rsidR="006F7589">
        <w:rPr>
          <w:sz w:val="24"/>
          <w:szCs w:val="24"/>
        </w:rPr>
        <w:t xml:space="preserve"> į Kultūros ir meno tarybos 20</w:t>
      </w:r>
      <w:r w:rsidR="006F7589">
        <w:rPr>
          <w:sz w:val="24"/>
          <w:szCs w:val="24"/>
          <w:lang w:val="en-US"/>
        </w:rPr>
        <w:t>22</w:t>
      </w:r>
      <w:r w:rsidR="006F7589">
        <w:rPr>
          <w:sz w:val="24"/>
          <w:szCs w:val="24"/>
        </w:rPr>
        <w:t xml:space="preserve"> m. sausio 12 d. posėdžio (2022</w:t>
      </w:r>
      <w:r>
        <w:rPr>
          <w:sz w:val="24"/>
          <w:szCs w:val="24"/>
        </w:rPr>
        <w:t xml:space="preserve"> m. sau</w:t>
      </w:r>
      <w:r w:rsidR="00F16D3E">
        <w:rPr>
          <w:sz w:val="24"/>
          <w:szCs w:val="24"/>
        </w:rPr>
        <w:t>sio 20 d. protokolas Nr. TAR1-</w:t>
      </w:r>
      <w:r w:rsidR="00F16D3E"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) nutarimą:</w:t>
      </w:r>
    </w:p>
    <w:p w14:paraId="6711AD62" w14:textId="7D4F0CCD" w:rsidR="008D73CF" w:rsidRDefault="008D73CF" w:rsidP="008D73CF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0"/>
          <w:sz w:val="24"/>
          <w:szCs w:val="24"/>
        </w:rPr>
        <w:t> </w:t>
      </w:r>
      <w:r>
        <w:rPr>
          <w:spacing w:val="60"/>
          <w:sz w:val="24"/>
          <w:szCs w:val="24"/>
        </w:rPr>
        <w:t>Tvirtin</w:t>
      </w:r>
      <w:r>
        <w:rPr>
          <w:spacing w:val="40"/>
          <w:sz w:val="24"/>
          <w:szCs w:val="24"/>
        </w:rPr>
        <w:t>u</w:t>
      </w:r>
      <w:r>
        <w:rPr>
          <w:sz w:val="24"/>
          <w:szCs w:val="24"/>
        </w:rPr>
        <w:t xml:space="preserve"> Kultūros plėtros programos (Nr. 08) priemonėje „Kultūros ir meno sričių ir programų projektų dalinis finansavimas“ (kodas 08.01.01.01) numatytų savivaldybės biudžeto lėšų kvotų paski</w:t>
      </w:r>
      <w:r w:rsidR="00FD4918">
        <w:rPr>
          <w:sz w:val="24"/>
          <w:szCs w:val="24"/>
        </w:rPr>
        <w:t>rstymą kultūros ir meno sričių</w:t>
      </w:r>
      <w:r>
        <w:rPr>
          <w:sz w:val="24"/>
          <w:szCs w:val="24"/>
        </w:rPr>
        <w:t xml:space="preserve"> projektams 202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m. iš dalies finansuoti (pridedama). </w:t>
      </w:r>
    </w:p>
    <w:p w14:paraId="2C3569EF" w14:textId="77777777" w:rsidR="008D73CF" w:rsidRDefault="008D73CF" w:rsidP="008D73CF">
      <w:pPr>
        <w:tabs>
          <w:tab w:val="left" w:pos="720"/>
          <w:tab w:val="left" w:pos="1134"/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spacing w:val="60"/>
          <w:sz w:val="24"/>
          <w:szCs w:val="24"/>
        </w:rPr>
        <w:t>Nustata</w:t>
      </w:r>
      <w:r>
        <w:rPr>
          <w:sz w:val="24"/>
          <w:szCs w:val="24"/>
        </w:rPr>
        <w:t>u, kad šis įsakymas skelbiamas Klaipėdos miesto savivaldybės interneto svetainėje.</w:t>
      </w:r>
    </w:p>
    <w:p w14:paraId="182DCDCB" w14:textId="77777777" w:rsidR="003A3546" w:rsidRPr="003A3546" w:rsidRDefault="008D73CF" w:rsidP="008D73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3CA1AA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60D33643" w14:textId="77777777" w:rsidTr="003A3546">
        <w:tc>
          <w:tcPr>
            <w:tcW w:w="4927" w:type="dxa"/>
          </w:tcPr>
          <w:p w14:paraId="2112C416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67F944D9" w14:textId="77777777" w:rsidR="003A3546" w:rsidRPr="003A3546" w:rsidRDefault="008D73CF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1D584BB" w14:textId="0C03AB66" w:rsidR="00E7342D" w:rsidRDefault="00E7342D" w:rsidP="00071EBB">
      <w:pPr>
        <w:jc w:val="both"/>
        <w:rPr>
          <w:sz w:val="24"/>
          <w:szCs w:val="24"/>
        </w:rPr>
      </w:pPr>
    </w:p>
    <w:p w14:paraId="03D3134B" w14:textId="5397D04E" w:rsidR="00281748" w:rsidRDefault="00281748" w:rsidP="00071EBB">
      <w:pPr>
        <w:jc w:val="both"/>
        <w:rPr>
          <w:sz w:val="24"/>
          <w:szCs w:val="24"/>
        </w:rPr>
      </w:pPr>
    </w:p>
    <w:p w14:paraId="021F12B0" w14:textId="7D1C8EF3" w:rsidR="00281748" w:rsidRDefault="00281748" w:rsidP="00071EBB">
      <w:pPr>
        <w:jc w:val="both"/>
        <w:rPr>
          <w:sz w:val="24"/>
          <w:szCs w:val="24"/>
        </w:rPr>
      </w:pPr>
    </w:p>
    <w:p w14:paraId="4BA4F624" w14:textId="1283A935" w:rsidR="00281748" w:rsidRDefault="00281748" w:rsidP="00071EBB">
      <w:pPr>
        <w:jc w:val="both"/>
        <w:rPr>
          <w:sz w:val="24"/>
          <w:szCs w:val="24"/>
        </w:rPr>
      </w:pPr>
    </w:p>
    <w:p w14:paraId="5FFF1FD5" w14:textId="59751674" w:rsidR="00281748" w:rsidRDefault="00281748" w:rsidP="00071EBB">
      <w:pPr>
        <w:jc w:val="both"/>
        <w:rPr>
          <w:sz w:val="24"/>
          <w:szCs w:val="24"/>
        </w:rPr>
      </w:pPr>
    </w:p>
    <w:p w14:paraId="7BEB4571" w14:textId="0BD3F012" w:rsidR="00281748" w:rsidRDefault="00281748" w:rsidP="00071EBB">
      <w:pPr>
        <w:jc w:val="both"/>
        <w:rPr>
          <w:sz w:val="24"/>
          <w:szCs w:val="24"/>
        </w:rPr>
      </w:pPr>
    </w:p>
    <w:p w14:paraId="5CADAB4B" w14:textId="0D914466" w:rsidR="00281748" w:rsidRDefault="00281748" w:rsidP="00071EBB">
      <w:pPr>
        <w:jc w:val="both"/>
        <w:rPr>
          <w:sz w:val="24"/>
          <w:szCs w:val="24"/>
        </w:rPr>
      </w:pPr>
    </w:p>
    <w:p w14:paraId="18F9C2F7" w14:textId="40B94344" w:rsidR="00281748" w:rsidRDefault="00281748" w:rsidP="00071EBB">
      <w:pPr>
        <w:jc w:val="both"/>
        <w:rPr>
          <w:sz w:val="24"/>
          <w:szCs w:val="24"/>
        </w:rPr>
      </w:pPr>
    </w:p>
    <w:p w14:paraId="1E5650C3" w14:textId="70650022" w:rsidR="00281748" w:rsidRDefault="00281748" w:rsidP="00071EBB">
      <w:pPr>
        <w:jc w:val="both"/>
        <w:rPr>
          <w:sz w:val="24"/>
          <w:szCs w:val="24"/>
        </w:rPr>
      </w:pPr>
    </w:p>
    <w:p w14:paraId="6DC31A80" w14:textId="70DC8DF8" w:rsidR="00281748" w:rsidRDefault="00281748" w:rsidP="00071EBB">
      <w:pPr>
        <w:jc w:val="both"/>
        <w:rPr>
          <w:sz w:val="24"/>
          <w:szCs w:val="24"/>
        </w:rPr>
      </w:pPr>
    </w:p>
    <w:p w14:paraId="583F4B78" w14:textId="0F3F157C" w:rsidR="00281748" w:rsidRDefault="00281748" w:rsidP="00071EBB">
      <w:pPr>
        <w:jc w:val="both"/>
        <w:rPr>
          <w:sz w:val="24"/>
          <w:szCs w:val="24"/>
        </w:rPr>
      </w:pPr>
    </w:p>
    <w:p w14:paraId="0227F631" w14:textId="521C557F" w:rsidR="00281748" w:rsidRDefault="00281748" w:rsidP="00071EBB">
      <w:pPr>
        <w:jc w:val="both"/>
        <w:rPr>
          <w:sz w:val="24"/>
          <w:szCs w:val="24"/>
        </w:rPr>
      </w:pPr>
    </w:p>
    <w:p w14:paraId="2408BC9C" w14:textId="7E38847C" w:rsidR="00281748" w:rsidRDefault="00281748" w:rsidP="00071EBB">
      <w:pPr>
        <w:jc w:val="both"/>
        <w:rPr>
          <w:sz w:val="24"/>
          <w:szCs w:val="24"/>
        </w:rPr>
      </w:pPr>
    </w:p>
    <w:p w14:paraId="593F84C1" w14:textId="74D4B5C1" w:rsidR="00281748" w:rsidRDefault="00281748" w:rsidP="00071EBB">
      <w:pPr>
        <w:jc w:val="both"/>
        <w:rPr>
          <w:sz w:val="24"/>
          <w:szCs w:val="24"/>
        </w:rPr>
      </w:pPr>
    </w:p>
    <w:p w14:paraId="1F4D9E8F" w14:textId="7FC887B9" w:rsidR="00281748" w:rsidRDefault="00281748" w:rsidP="00071EBB">
      <w:pPr>
        <w:jc w:val="both"/>
        <w:rPr>
          <w:sz w:val="24"/>
          <w:szCs w:val="24"/>
        </w:rPr>
      </w:pPr>
    </w:p>
    <w:p w14:paraId="4B0BB1C0" w14:textId="1AAF022C" w:rsidR="00281748" w:rsidRDefault="00281748" w:rsidP="00071EBB">
      <w:pPr>
        <w:jc w:val="both"/>
        <w:rPr>
          <w:sz w:val="24"/>
          <w:szCs w:val="24"/>
        </w:rPr>
      </w:pPr>
    </w:p>
    <w:p w14:paraId="46F30948" w14:textId="74B7EAF1" w:rsidR="00281748" w:rsidRDefault="00281748" w:rsidP="00071EBB">
      <w:pPr>
        <w:jc w:val="both"/>
        <w:rPr>
          <w:sz w:val="24"/>
          <w:szCs w:val="24"/>
        </w:rPr>
      </w:pPr>
    </w:p>
    <w:p w14:paraId="4EBD0CF2" w14:textId="45A6813F" w:rsidR="00281748" w:rsidRDefault="00281748" w:rsidP="00071EBB">
      <w:pPr>
        <w:jc w:val="both"/>
        <w:rPr>
          <w:sz w:val="24"/>
          <w:szCs w:val="24"/>
        </w:rPr>
      </w:pPr>
    </w:p>
    <w:p w14:paraId="1FB925DB" w14:textId="1CEDFF7A" w:rsidR="00281748" w:rsidRDefault="00281748" w:rsidP="00071EBB">
      <w:pPr>
        <w:jc w:val="both"/>
        <w:rPr>
          <w:sz w:val="24"/>
          <w:szCs w:val="24"/>
        </w:rPr>
      </w:pPr>
    </w:p>
    <w:p w14:paraId="716EB8A5" w14:textId="3FAE7D2A" w:rsidR="00281748" w:rsidRDefault="00281748" w:rsidP="00071EBB">
      <w:pPr>
        <w:jc w:val="both"/>
        <w:rPr>
          <w:sz w:val="24"/>
          <w:szCs w:val="24"/>
        </w:rPr>
      </w:pPr>
    </w:p>
    <w:p w14:paraId="24048B67" w14:textId="5D64AB68" w:rsidR="00281748" w:rsidRDefault="00281748" w:rsidP="00071EBB">
      <w:pPr>
        <w:jc w:val="both"/>
        <w:rPr>
          <w:sz w:val="24"/>
          <w:szCs w:val="24"/>
        </w:rPr>
      </w:pPr>
    </w:p>
    <w:p w14:paraId="7A10AF70" w14:textId="6D2742C9" w:rsidR="00281748" w:rsidRDefault="00281748" w:rsidP="00071EBB">
      <w:pPr>
        <w:jc w:val="both"/>
        <w:rPr>
          <w:sz w:val="24"/>
          <w:szCs w:val="24"/>
        </w:rPr>
      </w:pPr>
    </w:p>
    <w:p w14:paraId="163A16D4" w14:textId="3341A523" w:rsidR="00281748" w:rsidRDefault="00281748" w:rsidP="00071EBB">
      <w:pPr>
        <w:jc w:val="both"/>
        <w:rPr>
          <w:sz w:val="24"/>
          <w:szCs w:val="24"/>
        </w:rPr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81748" w14:paraId="4C507F12" w14:textId="77777777" w:rsidTr="00027C43">
        <w:tc>
          <w:tcPr>
            <w:tcW w:w="4819" w:type="dxa"/>
          </w:tcPr>
          <w:p w14:paraId="7E5CE1D4" w14:textId="77777777" w:rsidR="00281748" w:rsidRDefault="00281748" w:rsidP="00027C4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281748" w14:paraId="596BA34E" w14:textId="77777777" w:rsidTr="00027C43">
        <w:tc>
          <w:tcPr>
            <w:tcW w:w="4819" w:type="dxa"/>
          </w:tcPr>
          <w:p w14:paraId="4727B586" w14:textId="77777777" w:rsidR="00281748" w:rsidRDefault="00281748" w:rsidP="00027C43">
            <w:r>
              <w:t>Klaipėdos miesto savivaldybės administracijos</w:t>
            </w:r>
          </w:p>
        </w:tc>
      </w:tr>
      <w:tr w:rsidR="00281748" w14:paraId="625C211F" w14:textId="77777777" w:rsidTr="00027C43">
        <w:tc>
          <w:tcPr>
            <w:tcW w:w="4819" w:type="dxa"/>
          </w:tcPr>
          <w:p w14:paraId="1164C812" w14:textId="236C4F1B" w:rsidR="00281748" w:rsidRDefault="00281748" w:rsidP="00027C43">
            <w:r>
              <w:t xml:space="preserve">direktoriaus </w:t>
            </w:r>
            <w:r>
              <w:t xml:space="preserve">2022 m. sausio 27 d. </w:t>
            </w:r>
          </w:p>
        </w:tc>
      </w:tr>
      <w:tr w:rsidR="00281748" w14:paraId="6793FC22" w14:textId="77777777" w:rsidTr="00027C43">
        <w:tc>
          <w:tcPr>
            <w:tcW w:w="4819" w:type="dxa"/>
          </w:tcPr>
          <w:p w14:paraId="036F8027" w14:textId="22A89E8F" w:rsidR="00281748" w:rsidRDefault="00281748" w:rsidP="00027C4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įsakymu Nr. </w:t>
            </w:r>
            <w:r w:rsidRPr="00281748">
              <w:t>AD1-133</w:t>
            </w:r>
            <w:bookmarkStart w:id="0" w:name="_GoBack"/>
            <w:bookmarkEnd w:id="0"/>
          </w:p>
        </w:tc>
      </w:tr>
    </w:tbl>
    <w:p w14:paraId="333C8563" w14:textId="77777777" w:rsidR="00281748" w:rsidRDefault="00281748" w:rsidP="00281748">
      <w:pPr>
        <w:jc w:val="center"/>
      </w:pPr>
    </w:p>
    <w:p w14:paraId="33D5E30F" w14:textId="77777777" w:rsidR="00281748" w:rsidRDefault="00281748" w:rsidP="00281748">
      <w:pPr>
        <w:jc w:val="center"/>
      </w:pPr>
    </w:p>
    <w:p w14:paraId="2F7483DA" w14:textId="77777777" w:rsidR="00281748" w:rsidRDefault="00281748" w:rsidP="00281748">
      <w:pPr>
        <w:jc w:val="center"/>
        <w:rPr>
          <w:b/>
        </w:rPr>
      </w:pPr>
      <w:r w:rsidRPr="00302B62">
        <w:rPr>
          <w:b/>
        </w:rPr>
        <w:t>SAVIVALDYBĖS BIUDŽETO LĖŠŲ KVOTŲ PASKIRSTYM</w:t>
      </w:r>
      <w:r>
        <w:rPr>
          <w:b/>
        </w:rPr>
        <w:t>AS</w:t>
      </w:r>
      <w:r w:rsidRPr="00302B62">
        <w:rPr>
          <w:b/>
        </w:rPr>
        <w:t xml:space="preserve"> KULTŪRO</w:t>
      </w:r>
      <w:r>
        <w:rPr>
          <w:b/>
        </w:rPr>
        <w:t>S IR MENO SRIČIŲ PROJEKTAMS 2022</w:t>
      </w:r>
      <w:r w:rsidRPr="00302B62">
        <w:rPr>
          <w:b/>
        </w:rPr>
        <w:t xml:space="preserve"> M. IŠ DALIES FINANSUOTI</w:t>
      </w:r>
    </w:p>
    <w:p w14:paraId="23F30E06" w14:textId="77777777" w:rsidR="00281748" w:rsidRPr="00302B62" w:rsidRDefault="00281748" w:rsidP="00281748">
      <w:pPr>
        <w:jc w:val="center"/>
        <w:rPr>
          <w:b/>
        </w:rPr>
      </w:pPr>
    </w:p>
    <w:p w14:paraId="3E6DCF20" w14:textId="77777777" w:rsidR="00281748" w:rsidRDefault="00281748" w:rsidP="00281748">
      <w:pPr>
        <w:jc w:val="center"/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710"/>
        <w:gridCol w:w="6265"/>
        <w:gridCol w:w="2523"/>
      </w:tblGrid>
      <w:tr w:rsidR="00281748" w:rsidRPr="00631653" w14:paraId="7394F085" w14:textId="77777777" w:rsidTr="00027C43">
        <w:trPr>
          <w:trHeight w:val="733"/>
        </w:trPr>
        <w:tc>
          <w:tcPr>
            <w:tcW w:w="710" w:type="dxa"/>
          </w:tcPr>
          <w:p w14:paraId="15AFDB64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Eil.</w:t>
            </w:r>
            <w:r w:rsidRPr="00631653">
              <w:rPr>
                <w:b/>
              </w:rPr>
              <w:t xml:space="preserve"> Nr. </w:t>
            </w:r>
          </w:p>
        </w:tc>
        <w:tc>
          <w:tcPr>
            <w:tcW w:w="6265" w:type="dxa"/>
          </w:tcPr>
          <w:p w14:paraId="168039DD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631653">
              <w:rPr>
                <w:b/>
              </w:rPr>
              <w:t xml:space="preserve"> </w:t>
            </w:r>
          </w:p>
          <w:p w14:paraId="50387F0B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31653">
              <w:rPr>
                <w:b/>
              </w:rPr>
              <w:t xml:space="preserve">Kultūros ir meno srities pavadinimas </w:t>
            </w:r>
          </w:p>
        </w:tc>
        <w:tc>
          <w:tcPr>
            <w:tcW w:w="2523" w:type="dxa"/>
          </w:tcPr>
          <w:p w14:paraId="226EA5D6" w14:textId="77777777" w:rsidR="00281748" w:rsidRPr="00302B62" w:rsidRDefault="00281748" w:rsidP="00027C4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2B62">
              <w:rPr>
                <w:b/>
              </w:rPr>
              <w:t>Kvota</w:t>
            </w:r>
          </w:p>
          <w:p w14:paraId="09DCB83F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1653">
              <w:rPr>
                <w:b/>
              </w:rPr>
              <w:t>(</w:t>
            </w:r>
            <w:proofErr w:type="spellStart"/>
            <w:r w:rsidRPr="00631653">
              <w:rPr>
                <w:b/>
              </w:rPr>
              <w:t>Eur</w:t>
            </w:r>
            <w:proofErr w:type="spellEnd"/>
            <w:r w:rsidRPr="00631653">
              <w:rPr>
                <w:b/>
              </w:rPr>
              <w:t>)</w:t>
            </w:r>
          </w:p>
        </w:tc>
      </w:tr>
      <w:tr w:rsidR="00281748" w:rsidRPr="00631653" w14:paraId="495AD552" w14:textId="77777777" w:rsidTr="00027C43">
        <w:tc>
          <w:tcPr>
            <w:tcW w:w="710" w:type="dxa"/>
          </w:tcPr>
          <w:p w14:paraId="33DC21E4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1.</w:t>
            </w:r>
          </w:p>
        </w:tc>
        <w:tc>
          <w:tcPr>
            <w:tcW w:w="6265" w:type="dxa"/>
          </w:tcPr>
          <w:p w14:paraId="1F0D002C" w14:textId="77777777" w:rsidR="00281748" w:rsidRPr="00631653" w:rsidRDefault="00281748" w:rsidP="00027C43">
            <w:r w:rsidRPr="00AF49DB">
              <w:t>Vizualieji menai (dailė, fotografija, tarpd</w:t>
            </w:r>
            <w:r>
              <w:t>isciplininis menas) ir dizainas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5161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30 155</w:t>
            </w:r>
          </w:p>
        </w:tc>
      </w:tr>
      <w:tr w:rsidR="00281748" w:rsidRPr="00631653" w14:paraId="49AB1EDB" w14:textId="77777777" w:rsidTr="00027C43">
        <w:tc>
          <w:tcPr>
            <w:tcW w:w="710" w:type="dxa"/>
          </w:tcPr>
          <w:p w14:paraId="3CB697E3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2.</w:t>
            </w:r>
          </w:p>
        </w:tc>
        <w:tc>
          <w:tcPr>
            <w:tcW w:w="6265" w:type="dxa"/>
          </w:tcPr>
          <w:p w14:paraId="43EDA4EC" w14:textId="77777777" w:rsidR="00281748" w:rsidRPr="00631653" w:rsidRDefault="00281748" w:rsidP="00027C43">
            <w:r w:rsidRPr="00AF49DB">
              <w:t>Scenos menai ir muzika (teatras, lėlių teatras, opera, mu</w:t>
            </w:r>
            <w:r>
              <w:t>zikinis teatras, šokis, cirkas)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DA30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42 191</w:t>
            </w:r>
          </w:p>
        </w:tc>
      </w:tr>
      <w:tr w:rsidR="00281748" w:rsidRPr="00631653" w14:paraId="1C1356DA" w14:textId="77777777" w:rsidTr="00027C43">
        <w:tc>
          <w:tcPr>
            <w:tcW w:w="710" w:type="dxa"/>
          </w:tcPr>
          <w:p w14:paraId="44CB92F9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3.</w:t>
            </w:r>
          </w:p>
        </w:tc>
        <w:tc>
          <w:tcPr>
            <w:tcW w:w="6265" w:type="dxa"/>
          </w:tcPr>
          <w:p w14:paraId="50D22503" w14:textId="77777777" w:rsidR="00281748" w:rsidRPr="00631653" w:rsidRDefault="00281748" w:rsidP="00027C43">
            <w:r w:rsidRPr="00AF49DB">
              <w:t>Istorinė atm</w:t>
            </w:r>
            <w:r>
              <w:t>intis, paveldas, etninė kultūra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B3AA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50 376</w:t>
            </w:r>
          </w:p>
        </w:tc>
      </w:tr>
      <w:tr w:rsidR="00281748" w:rsidRPr="00631653" w14:paraId="01CAC42A" w14:textId="77777777" w:rsidTr="00027C43">
        <w:tc>
          <w:tcPr>
            <w:tcW w:w="710" w:type="dxa"/>
          </w:tcPr>
          <w:p w14:paraId="2CF7B7B9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4.</w:t>
            </w:r>
          </w:p>
        </w:tc>
        <w:tc>
          <w:tcPr>
            <w:tcW w:w="6265" w:type="dxa"/>
          </w:tcPr>
          <w:p w14:paraId="364FF578" w14:textId="77777777" w:rsidR="00281748" w:rsidRPr="00631653" w:rsidRDefault="00281748" w:rsidP="00027C43">
            <w:r w:rsidRPr="00631653">
              <w:t>Jūrinė kultūra ir edukacija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DE73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36 377</w:t>
            </w:r>
          </w:p>
        </w:tc>
      </w:tr>
      <w:tr w:rsidR="00281748" w:rsidRPr="00631653" w14:paraId="32266D0E" w14:textId="77777777" w:rsidTr="00027C43">
        <w:tc>
          <w:tcPr>
            <w:tcW w:w="710" w:type="dxa"/>
          </w:tcPr>
          <w:p w14:paraId="5AD41F53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5.</w:t>
            </w:r>
          </w:p>
        </w:tc>
        <w:tc>
          <w:tcPr>
            <w:tcW w:w="6265" w:type="dxa"/>
          </w:tcPr>
          <w:p w14:paraId="16C2A978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</w:pPr>
            <w:r w:rsidRPr="00631653">
              <w:t>Bendruomeniškumą skatinantys projektai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23CE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80 777</w:t>
            </w:r>
          </w:p>
        </w:tc>
      </w:tr>
      <w:tr w:rsidR="00281748" w:rsidRPr="00631653" w14:paraId="24C6A406" w14:textId="77777777" w:rsidTr="00027C43">
        <w:tc>
          <w:tcPr>
            <w:tcW w:w="710" w:type="dxa"/>
          </w:tcPr>
          <w:p w14:paraId="0732760D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6.</w:t>
            </w:r>
          </w:p>
        </w:tc>
        <w:tc>
          <w:tcPr>
            <w:tcW w:w="6265" w:type="dxa"/>
          </w:tcPr>
          <w:p w14:paraId="35E77A89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</w:pPr>
            <w:r w:rsidRPr="00631653">
              <w:t>Kultūros edukacija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9AE3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52 189</w:t>
            </w:r>
          </w:p>
        </w:tc>
      </w:tr>
      <w:tr w:rsidR="00281748" w:rsidRPr="00631653" w14:paraId="57E84D0B" w14:textId="77777777" w:rsidTr="00027C43">
        <w:tc>
          <w:tcPr>
            <w:tcW w:w="710" w:type="dxa"/>
          </w:tcPr>
          <w:p w14:paraId="738F3E70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7.</w:t>
            </w:r>
          </w:p>
        </w:tc>
        <w:tc>
          <w:tcPr>
            <w:tcW w:w="6265" w:type="dxa"/>
          </w:tcPr>
          <w:p w14:paraId="595B3ABC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</w:pPr>
            <w:r w:rsidRPr="00631653">
              <w:t>Menininkų rezidencijos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1571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12 516</w:t>
            </w:r>
          </w:p>
        </w:tc>
      </w:tr>
      <w:tr w:rsidR="00281748" w:rsidRPr="00631653" w14:paraId="7E4998C6" w14:textId="77777777" w:rsidTr="00027C43">
        <w:tc>
          <w:tcPr>
            <w:tcW w:w="710" w:type="dxa"/>
          </w:tcPr>
          <w:p w14:paraId="05E0734B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 w:rsidRPr="00631653">
              <w:t>8.</w:t>
            </w:r>
          </w:p>
        </w:tc>
        <w:tc>
          <w:tcPr>
            <w:tcW w:w="6265" w:type="dxa"/>
          </w:tcPr>
          <w:p w14:paraId="0EB3C4FD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</w:pPr>
            <w:r w:rsidRPr="00AF49DB">
              <w:t>Kultūros ir kūrybinių indus</w:t>
            </w:r>
            <w:r>
              <w:t>trijų plėtra, kino meno sklaida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CEFE" w14:textId="77777777" w:rsidR="00281748" w:rsidRPr="00631653" w:rsidRDefault="00281748" w:rsidP="00027C43">
            <w:pPr>
              <w:jc w:val="center"/>
              <w:rPr>
                <w:color w:val="000000"/>
              </w:rPr>
            </w:pPr>
            <w:r w:rsidRPr="004570BF">
              <w:t>15 401</w:t>
            </w:r>
          </w:p>
        </w:tc>
      </w:tr>
      <w:tr w:rsidR="00281748" w:rsidRPr="00631653" w14:paraId="07628E8C" w14:textId="77777777" w:rsidTr="00027C43">
        <w:tc>
          <w:tcPr>
            <w:tcW w:w="710" w:type="dxa"/>
          </w:tcPr>
          <w:p w14:paraId="6876CE1A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  <w:r>
              <w:t>9.</w:t>
            </w:r>
          </w:p>
        </w:tc>
        <w:tc>
          <w:tcPr>
            <w:tcW w:w="6265" w:type="dxa"/>
          </w:tcPr>
          <w:p w14:paraId="30CDA41F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</w:pPr>
            <w:r>
              <w:t xml:space="preserve">Klaipėdos 770-asis gimtadienis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0995" w14:textId="77777777" w:rsidR="00281748" w:rsidRDefault="00281748" w:rsidP="00027C43">
            <w:pPr>
              <w:jc w:val="center"/>
              <w:rPr>
                <w:color w:val="000000"/>
              </w:rPr>
            </w:pPr>
            <w:r w:rsidRPr="004570BF">
              <w:t>100 000</w:t>
            </w:r>
          </w:p>
        </w:tc>
      </w:tr>
      <w:tr w:rsidR="00281748" w:rsidRPr="00631653" w14:paraId="662E6AE7" w14:textId="77777777" w:rsidTr="00027C43">
        <w:tc>
          <w:tcPr>
            <w:tcW w:w="710" w:type="dxa"/>
          </w:tcPr>
          <w:p w14:paraId="6B03362C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ind w:left="36"/>
              <w:jc w:val="both"/>
            </w:pPr>
          </w:p>
        </w:tc>
        <w:tc>
          <w:tcPr>
            <w:tcW w:w="6265" w:type="dxa"/>
          </w:tcPr>
          <w:p w14:paraId="7542215B" w14:textId="77777777" w:rsidR="00281748" w:rsidRPr="00631653" w:rsidRDefault="00281748" w:rsidP="00027C43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631653">
              <w:rPr>
                <w:b/>
              </w:rPr>
              <w:t>Iš viso:</w:t>
            </w:r>
          </w:p>
        </w:tc>
        <w:tc>
          <w:tcPr>
            <w:tcW w:w="2523" w:type="dxa"/>
          </w:tcPr>
          <w:p w14:paraId="05068524" w14:textId="77777777" w:rsidR="00281748" w:rsidRPr="00631653" w:rsidRDefault="00281748" w:rsidP="00027C43">
            <w:pPr>
              <w:jc w:val="center"/>
              <w:rPr>
                <w:b/>
              </w:rPr>
            </w:pPr>
            <w:r w:rsidRPr="00631653">
              <w:rPr>
                <w:b/>
              </w:rPr>
              <w:fldChar w:fldCharType="begin"/>
            </w:r>
            <w:r w:rsidRPr="00631653">
              <w:rPr>
                <w:b/>
              </w:rPr>
              <w:instrText xml:space="preserve"> =SUM(ABOVE) </w:instrText>
            </w:r>
            <w:r w:rsidRPr="00631653">
              <w:rPr>
                <w:b/>
              </w:rPr>
              <w:fldChar w:fldCharType="separate"/>
            </w:r>
            <w:r>
              <w:rPr>
                <w:b/>
              </w:rPr>
              <w:t>419</w:t>
            </w:r>
            <w:r>
              <w:rPr>
                <w:b/>
                <w:noProof/>
              </w:rPr>
              <w:t xml:space="preserve"> </w:t>
            </w:r>
            <w:r w:rsidRPr="00631653">
              <w:rPr>
                <w:b/>
              </w:rPr>
              <w:fldChar w:fldCharType="end"/>
            </w:r>
            <w:r>
              <w:rPr>
                <w:b/>
              </w:rPr>
              <w:t>982</w:t>
            </w:r>
          </w:p>
        </w:tc>
      </w:tr>
    </w:tbl>
    <w:p w14:paraId="1DC7FBEF" w14:textId="77777777" w:rsidR="00281748" w:rsidRDefault="00281748" w:rsidP="00281748">
      <w:pPr>
        <w:ind w:firstLine="709"/>
        <w:jc w:val="center"/>
      </w:pPr>
      <w:r>
        <w:t>_________________________</w:t>
      </w:r>
    </w:p>
    <w:p w14:paraId="1E60C58A" w14:textId="77777777" w:rsidR="00281748" w:rsidRPr="003A3546" w:rsidRDefault="00281748" w:rsidP="00071EBB">
      <w:pPr>
        <w:jc w:val="both"/>
        <w:rPr>
          <w:sz w:val="24"/>
          <w:szCs w:val="24"/>
        </w:rPr>
      </w:pPr>
    </w:p>
    <w:sectPr w:rsidR="00281748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CF87A" w14:textId="77777777" w:rsidR="00D74EA5" w:rsidRDefault="00D74EA5" w:rsidP="00F41647">
      <w:r>
        <w:separator/>
      </w:r>
    </w:p>
  </w:endnote>
  <w:endnote w:type="continuationSeparator" w:id="0">
    <w:p w14:paraId="49EC0BDC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0B2CD" w14:textId="77777777" w:rsidR="00D74EA5" w:rsidRDefault="00D74EA5" w:rsidP="00F41647">
      <w:r>
        <w:separator/>
      </w:r>
    </w:p>
  </w:footnote>
  <w:footnote w:type="continuationSeparator" w:id="0">
    <w:p w14:paraId="1619A3FE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740F97" w14:textId="413CC255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281748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48700E1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008E1"/>
    <w:rsid w:val="001444C8"/>
    <w:rsid w:val="001456CE"/>
    <w:rsid w:val="00163473"/>
    <w:rsid w:val="00197B16"/>
    <w:rsid w:val="001B01B1"/>
    <w:rsid w:val="001D1AE7"/>
    <w:rsid w:val="001E4672"/>
    <w:rsid w:val="00237B69"/>
    <w:rsid w:val="002424E8"/>
    <w:rsid w:val="00242B88"/>
    <w:rsid w:val="00276B28"/>
    <w:rsid w:val="00281748"/>
    <w:rsid w:val="00291226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6F7589"/>
    <w:rsid w:val="00710820"/>
    <w:rsid w:val="00727F11"/>
    <w:rsid w:val="00743CFE"/>
    <w:rsid w:val="007775F7"/>
    <w:rsid w:val="00784D98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D73CF"/>
    <w:rsid w:val="008E411C"/>
    <w:rsid w:val="008F665C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28EF"/>
    <w:rsid w:val="00CB3E22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16D3E"/>
    <w:rsid w:val="00F41647"/>
    <w:rsid w:val="00F60107"/>
    <w:rsid w:val="00F71567"/>
    <w:rsid w:val="00F838C0"/>
    <w:rsid w:val="00FA1DE3"/>
    <w:rsid w:val="00FD4918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597A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2</cp:revision>
  <dcterms:created xsi:type="dcterms:W3CDTF">2022-03-30T13:03:00Z</dcterms:created>
  <dcterms:modified xsi:type="dcterms:W3CDTF">2022-03-30T13:03:00Z</dcterms:modified>
</cp:coreProperties>
</file>