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605" w:rsidRPr="00332F6D" w:rsidRDefault="004E6605" w:rsidP="00F8623E">
      <w:pPr>
        <w:ind w:firstLine="0"/>
        <w:jc w:val="center"/>
        <w:rPr>
          <w:b/>
          <w:caps/>
          <w:szCs w:val="24"/>
        </w:rPr>
      </w:pPr>
      <w:bookmarkStart w:id="0" w:name="_GoBack"/>
      <w:bookmarkEnd w:id="0"/>
      <w:r w:rsidRPr="00332F6D">
        <w:rPr>
          <w:b/>
          <w:caps/>
          <w:szCs w:val="24"/>
        </w:rPr>
        <w:t>Aiškinamasis raštas</w:t>
      </w:r>
    </w:p>
    <w:p w:rsidR="008168D9" w:rsidRPr="008168D9" w:rsidRDefault="004E6605" w:rsidP="008168D9">
      <w:pPr>
        <w:jc w:val="center"/>
        <w:rPr>
          <w:rFonts w:eastAsia="Times New Roman"/>
          <w:b/>
          <w:szCs w:val="24"/>
        </w:rPr>
      </w:pPr>
      <w:r w:rsidRPr="00DF53B6">
        <w:rPr>
          <w:b/>
          <w:szCs w:val="24"/>
        </w:rPr>
        <w:t xml:space="preserve">PRIE SAVIVALDYBĖS TARYBOS SPRENDIMO </w:t>
      </w:r>
      <w:r w:rsidRPr="00DF53B6">
        <w:rPr>
          <w:b/>
          <w:caps/>
          <w:szCs w:val="24"/>
        </w:rPr>
        <w:t>„</w:t>
      </w:r>
      <w:r w:rsidR="008168D9" w:rsidRPr="008168D9">
        <w:rPr>
          <w:rFonts w:eastAsia="Times New Roman"/>
          <w:b/>
          <w:caps/>
          <w:szCs w:val="24"/>
        </w:rPr>
        <w:t xml:space="preserve">DĖL </w:t>
      </w:r>
      <w:r w:rsidR="008168D9" w:rsidRPr="008168D9">
        <w:rPr>
          <w:rFonts w:eastAsia="Times New Roman"/>
          <w:b/>
          <w:szCs w:val="24"/>
        </w:rPr>
        <w:t>BĮ KLAIPĖDOS MIESTO SPORTO BAZIŲ VALDYMO CENTRO SPORTO BAZIŲ (PARYŽIAUS KOMUNOS</w:t>
      </w:r>
      <w:r w:rsidR="00965D66">
        <w:rPr>
          <w:rFonts w:eastAsia="Times New Roman"/>
          <w:b/>
          <w:szCs w:val="24"/>
        </w:rPr>
        <w:t xml:space="preserve"> G.</w:t>
      </w:r>
      <w:r w:rsidR="008168D9" w:rsidRPr="008168D9">
        <w:rPr>
          <w:rFonts w:eastAsia="Times New Roman"/>
          <w:b/>
          <w:szCs w:val="24"/>
        </w:rPr>
        <w:t xml:space="preserve"> 16 A) TEIKIAMŲ ATLYGINTINŲPASLAUGŲ KAINŲ NUSTATYMO </w:t>
      </w:r>
    </w:p>
    <w:p w:rsidR="004E6605" w:rsidRPr="00DF53B6" w:rsidRDefault="004E6605" w:rsidP="00F8623E">
      <w:pPr>
        <w:pStyle w:val="Antrat2"/>
        <w:jc w:val="center"/>
        <w:rPr>
          <w:rFonts w:ascii="Times New Roman" w:eastAsia="Times New Roman" w:hAnsi="Times New Roman" w:cs="Times New Roman"/>
          <w:b/>
          <w:caps/>
          <w:color w:val="auto"/>
          <w:sz w:val="24"/>
          <w:szCs w:val="24"/>
        </w:rPr>
      </w:pPr>
      <w:r w:rsidRPr="00DF53B6">
        <w:rPr>
          <w:rFonts w:ascii="Times New Roman" w:hAnsi="Times New Roman" w:cs="Times New Roman"/>
          <w:b/>
          <w:color w:val="auto"/>
          <w:sz w:val="24"/>
          <w:szCs w:val="24"/>
        </w:rPr>
        <w:t>PROJEKTO</w:t>
      </w:r>
    </w:p>
    <w:p w:rsidR="00BC64C0" w:rsidRPr="00332F6D" w:rsidRDefault="00BC64C0" w:rsidP="00F8623E">
      <w:pPr>
        <w:ind w:firstLine="0"/>
        <w:jc w:val="center"/>
        <w:rPr>
          <w:szCs w:val="24"/>
        </w:rPr>
      </w:pPr>
    </w:p>
    <w:p w:rsidR="004E6605" w:rsidRPr="00FB2D7C" w:rsidRDefault="004E6605" w:rsidP="004E6605">
      <w:pPr>
        <w:jc w:val="both"/>
        <w:rPr>
          <w:b/>
        </w:rPr>
      </w:pPr>
    </w:p>
    <w:p w:rsidR="00203243" w:rsidRDefault="00005D62" w:rsidP="00005D62">
      <w:pPr>
        <w:pStyle w:val="Pagrindinistekstas"/>
        <w:ind w:firstLine="720"/>
        <w:rPr>
          <w:b/>
          <w:szCs w:val="24"/>
        </w:rPr>
      </w:pPr>
      <w:r w:rsidRPr="00005D62">
        <w:rPr>
          <w:b/>
          <w:i w:val="0"/>
          <w:iCs w:val="0"/>
          <w:color w:val="000000"/>
          <w:szCs w:val="24"/>
        </w:rPr>
        <w:t>1.</w:t>
      </w:r>
      <w:r>
        <w:rPr>
          <w:b/>
          <w:i w:val="0"/>
          <w:color w:val="000000"/>
          <w:szCs w:val="24"/>
        </w:rPr>
        <w:t xml:space="preserve"> </w:t>
      </w:r>
      <w:r w:rsidR="004E6605" w:rsidRPr="00FB2D7C">
        <w:rPr>
          <w:b/>
          <w:i w:val="0"/>
          <w:color w:val="000000"/>
          <w:szCs w:val="24"/>
        </w:rPr>
        <w:t>P</w:t>
      </w:r>
      <w:r w:rsidR="004E6605" w:rsidRPr="00FB2D7C">
        <w:rPr>
          <w:b/>
          <w:i w:val="0"/>
          <w:szCs w:val="24"/>
        </w:rPr>
        <w:t>rojekto rengimą paskatinusios priežastys.</w:t>
      </w:r>
      <w:r w:rsidR="004E6605">
        <w:rPr>
          <w:b/>
          <w:szCs w:val="24"/>
        </w:rPr>
        <w:t xml:space="preserve"> </w:t>
      </w:r>
    </w:p>
    <w:p w:rsidR="00F267E4" w:rsidRDefault="00D128F1" w:rsidP="00005D62">
      <w:pPr>
        <w:pStyle w:val="Pagrindinistekstas"/>
        <w:ind w:firstLine="720"/>
        <w:rPr>
          <w:rFonts w:eastAsia="Times New Roman"/>
          <w:i w:val="0"/>
          <w:iCs w:val="0"/>
          <w:szCs w:val="24"/>
        </w:rPr>
      </w:pPr>
      <w:r>
        <w:rPr>
          <w:i w:val="0"/>
          <w:szCs w:val="24"/>
        </w:rPr>
        <w:t>Klaipėdos miesto savivaldybės tarybos 2021 m. spalio 28 d. sprendimu Nr. T2-236</w:t>
      </w:r>
      <w:r w:rsidR="00794136">
        <w:rPr>
          <w:i w:val="0"/>
          <w:szCs w:val="24"/>
        </w:rPr>
        <w:t xml:space="preserve"> biudžetinei įstaigai Klaipėdos sporto bazių valdymo centrui (toliau - </w:t>
      </w:r>
      <w:r w:rsidR="007C6FD5">
        <w:rPr>
          <w:i w:val="0"/>
          <w:szCs w:val="24"/>
        </w:rPr>
        <w:t>SBVC</w:t>
      </w:r>
      <w:r w:rsidR="00794136">
        <w:rPr>
          <w:i w:val="0"/>
          <w:szCs w:val="24"/>
        </w:rPr>
        <w:t xml:space="preserve">) patikėjimo teise </w:t>
      </w:r>
      <w:r w:rsidR="007C6FD5">
        <w:rPr>
          <w:i w:val="0"/>
          <w:szCs w:val="24"/>
        </w:rPr>
        <w:t xml:space="preserve">buvo perduota valdyti, naudoti ir disponuoti </w:t>
      </w:r>
      <w:r w:rsidR="009B52A5">
        <w:rPr>
          <w:i w:val="0"/>
          <w:szCs w:val="24"/>
        </w:rPr>
        <w:t xml:space="preserve">nekilnojamąjį </w:t>
      </w:r>
      <w:r w:rsidR="007C6FD5">
        <w:rPr>
          <w:i w:val="0"/>
          <w:szCs w:val="24"/>
        </w:rPr>
        <w:t>turtą, esantį Paryžiaus Komunos</w:t>
      </w:r>
      <w:r w:rsidR="00965D66">
        <w:rPr>
          <w:i w:val="0"/>
          <w:szCs w:val="24"/>
        </w:rPr>
        <w:t xml:space="preserve"> g.</w:t>
      </w:r>
      <w:r w:rsidR="007C6FD5">
        <w:rPr>
          <w:i w:val="0"/>
          <w:szCs w:val="24"/>
        </w:rPr>
        <w:t xml:space="preserve"> 16 A (</w:t>
      </w:r>
      <w:r w:rsidR="00804387">
        <w:rPr>
          <w:i w:val="0"/>
          <w:szCs w:val="24"/>
        </w:rPr>
        <w:t xml:space="preserve">stadiono </w:t>
      </w:r>
      <w:r w:rsidR="007C6FD5">
        <w:rPr>
          <w:i w:val="0"/>
          <w:szCs w:val="24"/>
        </w:rPr>
        <w:t>dirbtinės dangos</w:t>
      </w:r>
      <w:r w:rsidR="00804387">
        <w:rPr>
          <w:i w:val="0"/>
          <w:szCs w:val="24"/>
        </w:rPr>
        <w:t xml:space="preserve"> futbolo</w:t>
      </w:r>
      <w:r w:rsidR="007C6FD5">
        <w:rPr>
          <w:i w:val="0"/>
          <w:szCs w:val="24"/>
        </w:rPr>
        <w:t xml:space="preserve"> aikšt</w:t>
      </w:r>
      <w:r w:rsidR="008B43F2">
        <w:rPr>
          <w:i w:val="0"/>
          <w:szCs w:val="24"/>
        </w:rPr>
        <w:t>ė</w:t>
      </w:r>
      <w:r w:rsidR="007C6FD5">
        <w:rPr>
          <w:i w:val="0"/>
          <w:szCs w:val="24"/>
        </w:rPr>
        <w:t>,</w:t>
      </w:r>
      <w:r w:rsidR="001312C0">
        <w:rPr>
          <w:i w:val="0"/>
          <w:szCs w:val="24"/>
        </w:rPr>
        <w:t xml:space="preserve"> lengvosios atletikos </w:t>
      </w:r>
      <w:r w:rsidR="00804387">
        <w:rPr>
          <w:rFonts w:eastAsia="Times New Roman"/>
          <w:i w:val="0"/>
          <w:iCs w:val="0"/>
          <w:szCs w:val="24"/>
        </w:rPr>
        <w:t>bėgimo tak</w:t>
      </w:r>
      <w:r w:rsidR="008B43F2">
        <w:rPr>
          <w:rFonts w:eastAsia="Times New Roman"/>
          <w:i w:val="0"/>
          <w:iCs w:val="0"/>
          <w:szCs w:val="24"/>
        </w:rPr>
        <w:t xml:space="preserve">ai </w:t>
      </w:r>
      <w:r w:rsidR="001312C0">
        <w:rPr>
          <w:rFonts w:eastAsia="Times New Roman"/>
          <w:i w:val="0"/>
          <w:iCs w:val="0"/>
          <w:szCs w:val="24"/>
        </w:rPr>
        <w:t xml:space="preserve">su </w:t>
      </w:r>
      <w:r w:rsidR="00804387">
        <w:rPr>
          <w:rFonts w:eastAsia="Times New Roman"/>
          <w:i w:val="0"/>
          <w:iCs w:val="0"/>
          <w:szCs w:val="24"/>
        </w:rPr>
        <w:t>r</w:t>
      </w:r>
      <w:r w:rsidR="00804387" w:rsidRPr="00804387">
        <w:rPr>
          <w:rFonts w:eastAsia="Times New Roman"/>
          <w:i w:val="0"/>
          <w:iCs w:val="0"/>
          <w:szCs w:val="24"/>
        </w:rPr>
        <w:t xml:space="preserve">utulio stūmimo </w:t>
      </w:r>
      <w:r w:rsidR="001312C0">
        <w:rPr>
          <w:rFonts w:eastAsia="Times New Roman"/>
          <w:i w:val="0"/>
          <w:iCs w:val="0"/>
          <w:szCs w:val="24"/>
        </w:rPr>
        <w:t xml:space="preserve">ir </w:t>
      </w:r>
      <w:r w:rsidR="00804387">
        <w:rPr>
          <w:rFonts w:eastAsia="Times New Roman"/>
          <w:i w:val="0"/>
          <w:iCs w:val="0"/>
          <w:szCs w:val="24"/>
        </w:rPr>
        <w:t>š</w:t>
      </w:r>
      <w:r w:rsidR="00804387" w:rsidRPr="00804387">
        <w:rPr>
          <w:rFonts w:eastAsia="Times New Roman"/>
          <w:i w:val="0"/>
          <w:iCs w:val="0"/>
          <w:szCs w:val="24"/>
        </w:rPr>
        <w:t>uolių į tolį sektori</w:t>
      </w:r>
      <w:r w:rsidR="001312C0">
        <w:rPr>
          <w:rFonts w:eastAsia="Times New Roman"/>
          <w:i w:val="0"/>
          <w:iCs w:val="0"/>
          <w:szCs w:val="24"/>
        </w:rPr>
        <w:t>ais</w:t>
      </w:r>
      <w:r w:rsidR="00804387">
        <w:rPr>
          <w:rFonts w:eastAsia="Times New Roman"/>
          <w:i w:val="0"/>
          <w:iCs w:val="0"/>
          <w:szCs w:val="24"/>
        </w:rPr>
        <w:t xml:space="preserve">, </w:t>
      </w:r>
      <w:r w:rsidR="00F240EF">
        <w:rPr>
          <w:rFonts w:eastAsia="Times New Roman"/>
          <w:i w:val="0"/>
          <w:iCs w:val="0"/>
          <w:szCs w:val="24"/>
        </w:rPr>
        <w:t>sporto sal</w:t>
      </w:r>
      <w:r w:rsidR="008B43F2">
        <w:rPr>
          <w:rFonts w:eastAsia="Times New Roman"/>
          <w:i w:val="0"/>
          <w:iCs w:val="0"/>
          <w:szCs w:val="24"/>
        </w:rPr>
        <w:t>ė</w:t>
      </w:r>
      <w:r w:rsidR="00F240EF">
        <w:rPr>
          <w:rFonts w:eastAsia="Times New Roman"/>
          <w:i w:val="0"/>
          <w:iCs w:val="0"/>
          <w:szCs w:val="24"/>
        </w:rPr>
        <w:t xml:space="preserve"> ir kt. nekilnojamas turtas, kuri</w:t>
      </w:r>
      <w:r w:rsidR="00C52BF2">
        <w:rPr>
          <w:rFonts w:eastAsia="Times New Roman"/>
          <w:i w:val="0"/>
          <w:iCs w:val="0"/>
          <w:szCs w:val="24"/>
        </w:rPr>
        <w:t xml:space="preserve">am nėra nustatoma </w:t>
      </w:r>
      <w:r w:rsidR="008B43F2">
        <w:rPr>
          <w:rFonts w:eastAsia="Times New Roman"/>
          <w:i w:val="0"/>
          <w:iCs w:val="0"/>
          <w:szCs w:val="24"/>
        </w:rPr>
        <w:t xml:space="preserve">atlygintinų </w:t>
      </w:r>
      <w:r w:rsidR="00C52BF2">
        <w:rPr>
          <w:rFonts w:eastAsia="Times New Roman"/>
          <w:i w:val="0"/>
          <w:iCs w:val="0"/>
          <w:szCs w:val="24"/>
        </w:rPr>
        <w:t>paslaugų kaina</w:t>
      </w:r>
      <w:r w:rsidR="001312C0">
        <w:rPr>
          <w:rFonts w:eastAsia="Times New Roman"/>
          <w:i w:val="0"/>
          <w:iCs w:val="0"/>
          <w:szCs w:val="24"/>
        </w:rPr>
        <w:t>).</w:t>
      </w:r>
    </w:p>
    <w:p w:rsidR="00203243" w:rsidRDefault="004E6605" w:rsidP="00397EAC">
      <w:pPr>
        <w:jc w:val="both"/>
        <w:rPr>
          <w:b/>
          <w:szCs w:val="24"/>
        </w:rPr>
      </w:pPr>
      <w:r>
        <w:rPr>
          <w:b/>
          <w:szCs w:val="24"/>
        </w:rPr>
        <w:t xml:space="preserve">2. Parengto projekto tikslai ir uždaviniai. </w:t>
      </w:r>
    </w:p>
    <w:p w:rsidR="0082220D" w:rsidRDefault="00A62C85" w:rsidP="00397EAC">
      <w:pPr>
        <w:jc w:val="both"/>
        <w:rPr>
          <w:szCs w:val="24"/>
        </w:rPr>
      </w:pPr>
      <w:r>
        <w:rPr>
          <w:szCs w:val="24"/>
        </w:rPr>
        <w:t>Sprendi</w:t>
      </w:r>
      <w:r w:rsidR="00CE5876">
        <w:rPr>
          <w:szCs w:val="24"/>
        </w:rPr>
        <w:t xml:space="preserve">mo </w:t>
      </w:r>
      <w:r w:rsidR="0082220D">
        <w:rPr>
          <w:szCs w:val="24"/>
        </w:rPr>
        <w:t xml:space="preserve">projekto tikslas – </w:t>
      </w:r>
      <w:r w:rsidR="003021A9">
        <w:rPr>
          <w:szCs w:val="24"/>
        </w:rPr>
        <w:t>patvirtinti</w:t>
      </w:r>
      <w:r w:rsidR="0082220D">
        <w:rPr>
          <w:szCs w:val="24"/>
        </w:rPr>
        <w:t xml:space="preserve"> SBVC sporto bazių teikiamų atlygintinų paslaugų kainas Paryžiaus Komunos 16 A.</w:t>
      </w:r>
    </w:p>
    <w:p w:rsidR="003135F1" w:rsidRPr="003135F1" w:rsidRDefault="003135F1" w:rsidP="003135F1">
      <w:pPr>
        <w:ind w:firstLine="709"/>
        <w:jc w:val="both"/>
        <w:rPr>
          <w:szCs w:val="24"/>
        </w:rPr>
      </w:pPr>
      <w:r w:rsidRPr="003135F1">
        <w:rPr>
          <w:szCs w:val="24"/>
        </w:rPr>
        <w:t>Sprendimo projekto uždaviniai:</w:t>
      </w:r>
    </w:p>
    <w:p w:rsidR="003135F1" w:rsidRPr="003135F1" w:rsidRDefault="003135F1" w:rsidP="003135F1">
      <w:pPr>
        <w:ind w:firstLine="709"/>
        <w:contextualSpacing/>
        <w:jc w:val="both"/>
        <w:rPr>
          <w:szCs w:val="24"/>
        </w:rPr>
      </w:pPr>
      <w:r w:rsidRPr="003135F1">
        <w:rPr>
          <w:szCs w:val="24"/>
        </w:rPr>
        <w:t xml:space="preserve">1. </w:t>
      </w:r>
      <w:r w:rsidR="00B61133" w:rsidRPr="00C0064E">
        <w:rPr>
          <w:szCs w:val="24"/>
        </w:rPr>
        <w:t>Nustatyti</w:t>
      </w:r>
      <w:r w:rsidRPr="00C0064E">
        <w:rPr>
          <w:szCs w:val="24"/>
        </w:rPr>
        <w:t xml:space="preserve"> </w:t>
      </w:r>
      <w:r>
        <w:rPr>
          <w:szCs w:val="24"/>
        </w:rPr>
        <w:t xml:space="preserve">SBVC sporto bazių </w:t>
      </w:r>
      <w:r w:rsidRPr="003135F1">
        <w:rPr>
          <w:szCs w:val="24"/>
        </w:rPr>
        <w:t>teikiamų atlygintinų paslaugų sąrašą;</w:t>
      </w:r>
    </w:p>
    <w:p w:rsidR="003135F1" w:rsidRPr="0082220D" w:rsidRDefault="003135F1" w:rsidP="003135F1">
      <w:pPr>
        <w:ind w:firstLine="709"/>
        <w:contextualSpacing/>
        <w:jc w:val="both"/>
        <w:rPr>
          <w:szCs w:val="24"/>
        </w:rPr>
      </w:pPr>
      <w:r w:rsidRPr="003135F1">
        <w:rPr>
          <w:szCs w:val="24"/>
        </w:rPr>
        <w:t xml:space="preserve">2. </w:t>
      </w:r>
      <w:r>
        <w:rPr>
          <w:szCs w:val="24"/>
        </w:rPr>
        <w:t>SBVC sporto bazių</w:t>
      </w:r>
      <w:r w:rsidRPr="003135F1">
        <w:rPr>
          <w:szCs w:val="24"/>
        </w:rPr>
        <w:t xml:space="preserve"> teikiamų paslaugų kainas </w:t>
      </w:r>
      <w:r w:rsidR="00CE5876">
        <w:rPr>
          <w:szCs w:val="24"/>
        </w:rPr>
        <w:t>ap</w:t>
      </w:r>
      <w:r w:rsidRPr="003135F1">
        <w:rPr>
          <w:szCs w:val="24"/>
        </w:rPr>
        <w:t xml:space="preserve">skaičiuoti pagal </w:t>
      </w:r>
      <w:r w:rsidR="00CE5876">
        <w:rPr>
          <w:szCs w:val="24"/>
        </w:rPr>
        <w:t>tarybos sprendimu patvirtintą metodiką.</w:t>
      </w:r>
    </w:p>
    <w:p w:rsidR="00203243" w:rsidRDefault="004E6605" w:rsidP="004E6605">
      <w:pPr>
        <w:jc w:val="both"/>
        <w:rPr>
          <w:b/>
          <w:szCs w:val="24"/>
        </w:rPr>
      </w:pPr>
      <w:r w:rsidRPr="00791A59">
        <w:rPr>
          <w:b/>
          <w:szCs w:val="24"/>
        </w:rPr>
        <w:t>3. Kaip šiuo metu yra teisiškai reglamentuojami projekte aptarti klausimai.</w:t>
      </w:r>
      <w:r>
        <w:rPr>
          <w:b/>
          <w:szCs w:val="24"/>
        </w:rPr>
        <w:t xml:space="preserve"> </w:t>
      </w:r>
    </w:p>
    <w:p w:rsidR="00634DE5" w:rsidRDefault="00A10B4F" w:rsidP="00A10B4F">
      <w:pPr>
        <w:ind w:firstLine="709"/>
        <w:jc w:val="both"/>
        <w:rPr>
          <w:szCs w:val="24"/>
          <w:lang w:eastAsia="lt-LT"/>
        </w:rPr>
      </w:pPr>
      <w:r w:rsidRPr="00A10B4F">
        <w:rPr>
          <w:szCs w:val="24"/>
          <w:lang w:eastAsia="lt-LT"/>
        </w:rPr>
        <w:t>Projektas parengtas vadovaujantis Lietuvos Respublikos vietos savivaldos įstatymo 16 straipsnio 2 dalies 37 punktu, kuriame numatyta išimtinė tarybos kompetencija. Viena iš tokių – kainų ir tarifų už savivaldybės biudžetinių įstaigų teikiamas atlygintinas paslaugas nustatymas. </w:t>
      </w:r>
    </w:p>
    <w:p w:rsidR="00A91811" w:rsidRPr="00A10B4F" w:rsidRDefault="00DE6338" w:rsidP="00A91811">
      <w:pPr>
        <w:jc w:val="both"/>
        <w:rPr>
          <w:szCs w:val="24"/>
        </w:rPr>
      </w:pPr>
      <w:r w:rsidRPr="00281F51">
        <w:rPr>
          <w:szCs w:val="24"/>
        </w:rPr>
        <w:t xml:space="preserve">Atkreipiame dėmesį, kad ir šiuo metu </w:t>
      </w:r>
      <w:r w:rsidR="00A91811" w:rsidRPr="00281F51">
        <w:rPr>
          <w:szCs w:val="24"/>
        </w:rPr>
        <w:t xml:space="preserve">SBVC </w:t>
      </w:r>
      <w:r w:rsidR="00A91811" w:rsidRPr="0063539A">
        <w:rPr>
          <w:rFonts w:eastAsia="Times New Roman"/>
          <w:szCs w:val="24"/>
        </w:rPr>
        <w:t xml:space="preserve">sporto salių teikiamų atlygintinų paslaugų kainos </w:t>
      </w:r>
      <w:r w:rsidR="00A91811" w:rsidRPr="0063539A">
        <w:rPr>
          <w:szCs w:val="24"/>
        </w:rPr>
        <w:t>miesto tarybos 201</w:t>
      </w:r>
      <w:r w:rsidR="00A91811">
        <w:rPr>
          <w:szCs w:val="24"/>
        </w:rPr>
        <w:t xml:space="preserve">7 </w:t>
      </w:r>
      <w:r w:rsidR="00A91811" w:rsidRPr="0063539A">
        <w:rPr>
          <w:szCs w:val="24"/>
        </w:rPr>
        <w:t>metų</w:t>
      </w:r>
      <w:r w:rsidR="00A91811">
        <w:rPr>
          <w:szCs w:val="24"/>
        </w:rPr>
        <w:t xml:space="preserve"> spalio 19</w:t>
      </w:r>
      <w:r w:rsidR="00A91811" w:rsidRPr="0063539A">
        <w:rPr>
          <w:szCs w:val="24"/>
        </w:rPr>
        <w:t xml:space="preserve"> sprendimu</w:t>
      </w:r>
      <w:r w:rsidR="00A91811">
        <w:rPr>
          <w:szCs w:val="24"/>
        </w:rPr>
        <w:t xml:space="preserve"> Nr. T2-244</w:t>
      </w:r>
      <w:r w:rsidR="00A91811">
        <w:rPr>
          <w:rFonts w:eastAsia="Times New Roman"/>
          <w:szCs w:val="24"/>
        </w:rPr>
        <w:t xml:space="preserve"> (2018 m. gruodžio 20 d. sprendimo Nr. T2-277 aktuali redakcija)</w:t>
      </w:r>
      <w:r w:rsidR="00A91811" w:rsidRPr="0063539A">
        <w:rPr>
          <w:rFonts w:eastAsia="Times New Roman"/>
          <w:i/>
          <w:szCs w:val="24"/>
        </w:rPr>
        <w:t xml:space="preserve"> </w:t>
      </w:r>
      <w:r w:rsidR="00A91811" w:rsidRPr="0063539A">
        <w:rPr>
          <w:rFonts w:eastAsia="Times New Roman"/>
          <w:szCs w:val="24"/>
        </w:rPr>
        <w:t>mažinamos 50 proc. sporto organizacijoms, įgyvendinančioms sportuojančio vaiko ugdymo programas, iš dalies finansuojamas savivaldybės biudžeto lėšomis</w:t>
      </w:r>
      <w:r w:rsidR="00A91811">
        <w:rPr>
          <w:rFonts w:eastAsia="Times New Roman"/>
          <w:szCs w:val="24"/>
        </w:rPr>
        <w:t xml:space="preserve">, todėl šiuo </w:t>
      </w:r>
      <w:r w:rsidR="00A91811">
        <w:rPr>
          <w:szCs w:val="24"/>
        </w:rPr>
        <w:t>parengtu projektu taip pat prašoma nustatyti, kad SBVC valdomų sporto bazių Paryžiaus Komunos g. 16 A atlygintinų paslaugų kainos mažinamos 50 proc. sporto organizacijoms, kurios iš dalies finansuojamos savivaldybės biudžeto lėšomis krepšelio principu.</w:t>
      </w:r>
    </w:p>
    <w:p w:rsidR="00203243" w:rsidRDefault="004E6605" w:rsidP="000B08A1">
      <w:pPr>
        <w:pStyle w:val="Pagrindinistekstas"/>
        <w:ind w:firstLine="720"/>
        <w:rPr>
          <w:b/>
          <w:bCs/>
          <w:i w:val="0"/>
          <w:szCs w:val="24"/>
        </w:rPr>
      </w:pPr>
      <w:r w:rsidRPr="00BA12F8">
        <w:rPr>
          <w:b/>
          <w:bCs/>
          <w:i w:val="0"/>
          <w:szCs w:val="24"/>
        </w:rPr>
        <w:t xml:space="preserve">4. Kokios numatomos naujos teisinio reglamentavimo nuostatos ir kokių rezultatų laukiama. </w:t>
      </w:r>
    </w:p>
    <w:p w:rsidR="004343A4" w:rsidRDefault="004343A4" w:rsidP="008B7764">
      <w:pPr>
        <w:tabs>
          <w:tab w:val="left" w:pos="709"/>
        </w:tabs>
        <w:ind w:firstLine="709"/>
        <w:jc w:val="both"/>
        <w:rPr>
          <w:rFonts w:eastAsia="Times New Roman"/>
          <w:szCs w:val="24"/>
          <w:lang w:eastAsia="lt-LT"/>
        </w:rPr>
      </w:pPr>
      <w:r w:rsidRPr="004343A4">
        <w:rPr>
          <w:rFonts w:eastAsia="Times New Roman"/>
          <w:bCs/>
          <w:szCs w:val="24"/>
          <w:lang w:eastAsia="lt-LT"/>
        </w:rPr>
        <w:t xml:space="preserve">Patvirtinus šį sprendimo projektą, </w:t>
      </w:r>
      <w:r w:rsidR="008B7764">
        <w:rPr>
          <w:rFonts w:eastAsia="Times New Roman"/>
          <w:bCs/>
          <w:szCs w:val="24"/>
          <w:lang w:eastAsia="lt-LT"/>
        </w:rPr>
        <w:t>SBVC</w:t>
      </w:r>
      <w:r w:rsidRPr="004343A4">
        <w:rPr>
          <w:rFonts w:eastAsia="Times New Roman"/>
          <w:bCs/>
          <w:szCs w:val="24"/>
          <w:lang w:eastAsia="lt-LT"/>
        </w:rPr>
        <w:t xml:space="preserve"> galės suteikti s</w:t>
      </w:r>
      <w:r w:rsidR="008B7764">
        <w:rPr>
          <w:rFonts w:eastAsia="Times New Roman"/>
          <w:bCs/>
          <w:szCs w:val="24"/>
          <w:lang w:eastAsia="lt-LT"/>
        </w:rPr>
        <w:t>porto bazių</w:t>
      </w:r>
      <w:r w:rsidRPr="004343A4">
        <w:rPr>
          <w:rFonts w:eastAsia="Times New Roman"/>
          <w:szCs w:val="24"/>
          <w:lang w:eastAsia="lt-LT"/>
        </w:rPr>
        <w:t xml:space="preserve"> </w:t>
      </w:r>
      <w:r w:rsidRPr="004343A4">
        <w:rPr>
          <w:rFonts w:eastAsia="Times New Roman"/>
          <w:bCs/>
          <w:szCs w:val="24"/>
          <w:lang w:eastAsia="lt-LT"/>
        </w:rPr>
        <w:t>naudojimo paslaugą juridiniams ir fiziniams asmenims, norintiems vykdyti sportinę veiklą. Nustačius 1 valandos paslaugos kainą, bus teisėtai surinktas mokestis už atlygintinai</w:t>
      </w:r>
      <w:r w:rsidRPr="004343A4">
        <w:rPr>
          <w:rFonts w:eastAsia="Times New Roman"/>
          <w:szCs w:val="24"/>
          <w:lang w:eastAsia="lt-LT"/>
        </w:rPr>
        <w:t xml:space="preserve"> teikiamą paslaugą, kompensuojant </w:t>
      </w:r>
      <w:r w:rsidR="008B7764">
        <w:rPr>
          <w:rFonts w:eastAsia="Times New Roman"/>
          <w:szCs w:val="24"/>
          <w:lang w:eastAsia="lt-LT"/>
        </w:rPr>
        <w:t>SBVC</w:t>
      </w:r>
      <w:r w:rsidRPr="004343A4">
        <w:rPr>
          <w:rFonts w:eastAsia="Times New Roman"/>
          <w:szCs w:val="24"/>
          <w:lang w:eastAsia="lt-LT"/>
        </w:rPr>
        <w:t xml:space="preserve"> tenkančias </w:t>
      </w:r>
      <w:r w:rsidR="008B7764">
        <w:rPr>
          <w:rFonts w:eastAsia="Times New Roman"/>
          <w:szCs w:val="24"/>
          <w:lang w:eastAsia="lt-LT"/>
        </w:rPr>
        <w:t xml:space="preserve">priežiūros ir eksploatacijos </w:t>
      </w:r>
      <w:r w:rsidRPr="004343A4">
        <w:rPr>
          <w:rFonts w:eastAsia="Times New Roman"/>
          <w:szCs w:val="24"/>
          <w:lang w:eastAsia="lt-LT"/>
        </w:rPr>
        <w:t>išlaidas.</w:t>
      </w:r>
    </w:p>
    <w:p w:rsidR="00203243" w:rsidRDefault="004E6605" w:rsidP="004E6605">
      <w:pPr>
        <w:pStyle w:val="Pagrindinistekstas"/>
        <w:tabs>
          <w:tab w:val="left" w:pos="993"/>
        </w:tabs>
        <w:ind w:firstLine="720"/>
        <w:rPr>
          <w:b/>
          <w:bCs/>
          <w:i w:val="0"/>
          <w:szCs w:val="24"/>
        </w:rPr>
      </w:pPr>
      <w:r w:rsidRPr="00BA12F8">
        <w:rPr>
          <w:b/>
          <w:bCs/>
          <w:i w:val="0"/>
          <w:szCs w:val="24"/>
        </w:rPr>
        <w:t xml:space="preserve">5. Galimos neigiamos priimto sprendimo pasekmės ir kokių priemonių reikėtų imtis, kad tokių pasekmių būtų išvengta. </w:t>
      </w:r>
    </w:p>
    <w:p w:rsidR="004E287C" w:rsidRPr="0080507E" w:rsidRDefault="00A25352" w:rsidP="004E6605">
      <w:pPr>
        <w:pStyle w:val="Pagrindinistekstas"/>
        <w:tabs>
          <w:tab w:val="left" w:pos="993"/>
        </w:tabs>
        <w:ind w:firstLine="720"/>
        <w:rPr>
          <w:bCs/>
          <w:i w:val="0"/>
          <w:szCs w:val="24"/>
        </w:rPr>
      </w:pPr>
      <w:r w:rsidRPr="0080507E">
        <w:rPr>
          <w:bCs/>
          <w:i w:val="0"/>
          <w:szCs w:val="24"/>
        </w:rPr>
        <w:t xml:space="preserve">Nepatvirtinus </w:t>
      </w:r>
      <w:r w:rsidR="00121ADD" w:rsidRPr="0080507E">
        <w:rPr>
          <w:bCs/>
          <w:i w:val="0"/>
          <w:szCs w:val="24"/>
        </w:rPr>
        <w:t xml:space="preserve">šio </w:t>
      </w:r>
      <w:r w:rsidRPr="0080507E">
        <w:rPr>
          <w:bCs/>
          <w:i w:val="0"/>
          <w:szCs w:val="24"/>
        </w:rPr>
        <w:t>sprendimo projekto</w:t>
      </w:r>
      <w:r w:rsidR="00121ADD" w:rsidRPr="0080507E">
        <w:rPr>
          <w:bCs/>
          <w:i w:val="0"/>
          <w:szCs w:val="24"/>
        </w:rPr>
        <w:t xml:space="preserve">, </w:t>
      </w:r>
      <w:r w:rsidR="0080507E" w:rsidRPr="0080507E">
        <w:rPr>
          <w:bCs/>
          <w:i w:val="0"/>
          <w:szCs w:val="24"/>
        </w:rPr>
        <w:t>sporto bazių naudojimo paslaugos juridiniams ir fiziniams asmenims b</w:t>
      </w:r>
      <w:r w:rsidR="002A2FEF">
        <w:rPr>
          <w:bCs/>
          <w:i w:val="0"/>
          <w:szCs w:val="24"/>
        </w:rPr>
        <w:t>ūtų</w:t>
      </w:r>
      <w:r w:rsidR="0080507E" w:rsidRPr="0080507E">
        <w:rPr>
          <w:bCs/>
          <w:i w:val="0"/>
          <w:szCs w:val="24"/>
        </w:rPr>
        <w:t xml:space="preserve"> teikiamos nemokamai, patirtos išlaidos už jų eksploataciją bei priežiūrą turė</w:t>
      </w:r>
      <w:r w:rsidR="002A2FEF">
        <w:rPr>
          <w:bCs/>
          <w:i w:val="0"/>
          <w:szCs w:val="24"/>
        </w:rPr>
        <w:t>tų</w:t>
      </w:r>
      <w:r w:rsidR="0080507E" w:rsidRPr="0080507E">
        <w:rPr>
          <w:bCs/>
          <w:i w:val="0"/>
          <w:szCs w:val="24"/>
        </w:rPr>
        <w:t xml:space="preserve"> būti dengiamos iš savivaldybės biudžeto lėšų.</w:t>
      </w:r>
    </w:p>
    <w:p w:rsidR="00203243" w:rsidRDefault="004E6605" w:rsidP="004E6605">
      <w:pPr>
        <w:pStyle w:val="Pagrindinistekstas"/>
        <w:ind w:firstLine="720"/>
        <w:rPr>
          <w:bCs/>
          <w:i w:val="0"/>
          <w:szCs w:val="24"/>
        </w:rPr>
      </w:pPr>
      <w:r w:rsidRPr="00BA12F8">
        <w:rPr>
          <w:b/>
          <w:bCs/>
          <w:i w:val="0"/>
          <w:szCs w:val="24"/>
        </w:rPr>
        <w:t>6. Jeigu sprendimui įgyvendinti reikia kitų teisės aktų, – kas ir kada juos turėtų parengti, šių aktų metmenys.</w:t>
      </w:r>
      <w:r w:rsidRPr="00BA12F8">
        <w:rPr>
          <w:bCs/>
          <w:i w:val="0"/>
          <w:szCs w:val="24"/>
        </w:rPr>
        <w:t xml:space="preserve"> </w:t>
      </w:r>
    </w:p>
    <w:p w:rsidR="00BC6F8D" w:rsidRPr="00BC6F8D" w:rsidRDefault="00BC6F8D" w:rsidP="00BC6F8D">
      <w:pPr>
        <w:ind w:left="709" w:firstLine="0"/>
        <w:contextualSpacing/>
        <w:jc w:val="both"/>
        <w:rPr>
          <w:szCs w:val="24"/>
        </w:rPr>
      </w:pPr>
      <w:r w:rsidRPr="00BC6F8D">
        <w:rPr>
          <w:szCs w:val="24"/>
        </w:rPr>
        <w:t>Šiam sprendimui įgyvendinti kitų teisės aktų nereikia.</w:t>
      </w:r>
    </w:p>
    <w:p w:rsidR="00203243" w:rsidRDefault="004E6605" w:rsidP="004E6605">
      <w:pPr>
        <w:jc w:val="both"/>
        <w:rPr>
          <w:b/>
          <w:bCs/>
          <w:szCs w:val="24"/>
        </w:rPr>
      </w:pPr>
      <w:r>
        <w:rPr>
          <w:b/>
          <w:szCs w:val="24"/>
        </w:rPr>
        <w:t xml:space="preserve">7. </w:t>
      </w:r>
      <w:r>
        <w:rPr>
          <w:b/>
          <w:bCs/>
          <w:szCs w:val="24"/>
        </w:rPr>
        <w:t xml:space="preserve">Kiek biudžeto lėšų pareikalaus ar leis sutaupyti projekto įgyvendinimas (pateikiami įvertinimai artimiausiems metams ir tolesnei ateičiai), finansavimo šaltiniai. </w:t>
      </w:r>
    </w:p>
    <w:p w:rsidR="0080507E" w:rsidRPr="0080507E" w:rsidRDefault="0080507E" w:rsidP="0080507E">
      <w:pPr>
        <w:tabs>
          <w:tab w:val="left" w:pos="993"/>
        </w:tabs>
        <w:jc w:val="both"/>
        <w:rPr>
          <w:szCs w:val="24"/>
        </w:rPr>
      </w:pPr>
      <w:r w:rsidRPr="0080507E">
        <w:rPr>
          <w:bCs/>
          <w:szCs w:val="24"/>
        </w:rPr>
        <w:t>Šiam sprendimui įgyvendinti 1 valandos paslaugos</w:t>
      </w:r>
      <w:r w:rsidRPr="0080507E">
        <w:rPr>
          <w:szCs w:val="24"/>
        </w:rPr>
        <w:t xml:space="preserve"> suteikimo </w:t>
      </w:r>
      <w:r w:rsidRPr="0080507E">
        <w:rPr>
          <w:bCs/>
          <w:szCs w:val="24"/>
        </w:rPr>
        <w:t xml:space="preserve">kaina paskaičiuota, vadovaujantis </w:t>
      </w:r>
      <w:r w:rsidRPr="0080507E">
        <w:rPr>
          <w:szCs w:val="24"/>
        </w:rPr>
        <w:t>Klaipėdos miesto savivaldybės sporto bazių teikiamų atlygintinų paslaugų kainos dydžio nustatymo metodika, kurią patvirtino Klaipėdos miesto savivaldybės taryba 2017 metais</w:t>
      </w:r>
      <w:r>
        <w:rPr>
          <w:szCs w:val="24"/>
        </w:rPr>
        <w:t xml:space="preserve"> </w:t>
      </w:r>
      <w:r>
        <w:rPr>
          <w:szCs w:val="24"/>
        </w:rPr>
        <w:lastRenderedPageBreak/>
        <w:t>(aktuali redakcija 2018 metais).</w:t>
      </w:r>
      <w:r w:rsidRPr="0080507E">
        <w:rPr>
          <w:szCs w:val="24"/>
        </w:rPr>
        <w:t xml:space="preserve"> Metodika skirta kainos už sporto bazių teikiamas atlygintinas paslaugas dydžio nustatymo, vertinimo, perskaičiavimo principams reglamentuoti. </w:t>
      </w:r>
    </w:p>
    <w:p w:rsidR="0080507E" w:rsidRPr="0080507E" w:rsidRDefault="0080507E" w:rsidP="0080507E">
      <w:pPr>
        <w:ind w:firstLine="709"/>
        <w:jc w:val="both"/>
        <w:rPr>
          <w:szCs w:val="24"/>
        </w:rPr>
      </w:pPr>
      <w:r w:rsidRPr="0080507E">
        <w:rPr>
          <w:szCs w:val="24"/>
        </w:rPr>
        <w:t>S</w:t>
      </w:r>
      <w:r w:rsidR="000C3D4B">
        <w:rPr>
          <w:szCs w:val="24"/>
        </w:rPr>
        <w:t>BVC</w:t>
      </w:r>
      <w:r w:rsidRPr="0080507E">
        <w:rPr>
          <w:szCs w:val="24"/>
        </w:rPr>
        <w:t xml:space="preserve"> teikiamų atlygintinų paslaugų kainos dydis nustatomas taip, kad būtų padengtos visos būtinosios su paslaugos teikimu susijusios pagrįstos sąnaudos.</w:t>
      </w:r>
    </w:p>
    <w:p w:rsidR="0080507E" w:rsidRPr="0080507E" w:rsidRDefault="00154D1D" w:rsidP="002111D3">
      <w:pPr>
        <w:tabs>
          <w:tab w:val="left" w:pos="360"/>
        </w:tabs>
        <w:ind w:firstLine="709"/>
        <w:jc w:val="both"/>
        <w:rPr>
          <w:rFonts w:eastAsia="Times New Roman"/>
          <w:szCs w:val="24"/>
        </w:rPr>
      </w:pPr>
      <w:r>
        <w:rPr>
          <w:szCs w:val="24"/>
        </w:rPr>
        <w:t>SBVC</w:t>
      </w:r>
      <w:r w:rsidR="0080507E" w:rsidRPr="0080507E">
        <w:rPr>
          <w:szCs w:val="24"/>
        </w:rPr>
        <w:t xml:space="preserve"> sporto </w:t>
      </w:r>
      <w:r>
        <w:rPr>
          <w:szCs w:val="24"/>
        </w:rPr>
        <w:t>bazių</w:t>
      </w:r>
      <w:r w:rsidR="0080507E" w:rsidRPr="0080507E">
        <w:rPr>
          <w:szCs w:val="24"/>
        </w:rPr>
        <w:t xml:space="preserve"> teikiamų atlygintinų paslaugų kainos 1 valandos įkainis buvo paskaičiuotas pagal</w:t>
      </w:r>
      <w:r>
        <w:rPr>
          <w:szCs w:val="24"/>
        </w:rPr>
        <w:t xml:space="preserve"> </w:t>
      </w:r>
      <w:r w:rsidRPr="00230AE9">
        <w:rPr>
          <w:bCs/>
          <w:szCs w:val="24"/>
        </w:rPr>
        <w:t>formulę</w:t>
      </w:r>
      <w:r>
        <w:rPr>
          <w:bCs/>
          <w:szCs w:val="24"/>
        </w:rPr>
        <w:t xml:space="preserve"> </w:t>
      </w:r>
      <w:r w:rsidRPr="00230AE9">
        <w:rPr>
          <w:rFonts w:eastAsia="Times New Roman"/>
          <w:b/>
          <w:szCs w:val="24"/>
        </w:rPr>
        <w:t>N = ES</w:t>
      </w:r>
      <w:r w:rsidRPr="00230AE9">
        <w:rPr>
          <w:rFonts w:eastAsia="Times New Roman"/>
          <w:b/>
          <w:szCs w:val="24"/>
          <w:vertAlign w:val="subscript"/>
        </w:rPr>
        <w:t xml:space="preserve">t-1 </w:t>
      </w:r>
      <w:r w:rsidRPr="00230AE9">
        <w:rPr>
          <w:rFonts w:eastAsia="Times New Roman"/>
          <w:b/>
          <w:szCs w:val="24"/>
        </w:rPr>
        <w:t>x (1+K) / P</w:t>
      </w:r>
      <w:r>
        <w:rPr>
          <w:rFonts w:eastAsia="Times New Roman"/>
          <w:b/>
          <w:szCs w:val="24"/>
          <w:vertAlign w:val="subscript"/>
        </w:rPr>
        <w:t>b</w:t>
      </w:r>
      <w:r w:rsidRPr="00230AE9">
        <w:rPr>
          <w:rFonts w:eastAsia="Times New Roman"/>
          <w:b/>
          <w:szCs w:val="24"/>
        </w:rPr>
        <w:t xml:space="preserve"> x P</w:t>
      </w:r>
      <w:r w:rsidRPr="00230AE9">
        <w:rPr>
          <w:rFonts w:eastAsia="Times New Roman"/>
          <w:b/>
          <w:szCs w:val="24"/>
          <w:vertAlign w:val="subscript"/>
        </w:rPr>
        <w:t>n</w:t>
      </w:r>
      <w:r w:rsidRPr="00230AE9">
        <w:rPr>
          <w:rFonts w:eastAsia="Times New Roman"/>
          <w:b/>
          <w:szCs w:val="24"/>
        </w:rPr>
        <w:t xml:space="preserve"> /</w:t>
      </w:r>
      <w:r>
        <w:rPr>
          <w:rFonts w:eastAsia="Times New Roman"/>
          <w:b/>
          <w:szCs w:val="24"/>
        </w:rPr>
        <w:t>;</w:t>
      </w:r>
      <w:r w:rsidRPr="00230AE9">
        <w:rPr>
          <w:rFonts w:eastAsia="Times New Roman"/>
          <w:b/>
          <w:szCs w:val="24"/>
        </w:rPr>
        <w:t xml:space="preserve">M </w:t>
      </w:r>
      <w:r w:rsidRPr="00230AE9">
        <w:rPr>
          <w:rFonts w:eastAsia="Times New Roman"/>
          <w:b/>
          <w:szCs w:val="24"/>
          <w:vertAlign w:val="subscript"/>
        </w:rPr>
        <w:t>t-1</w:t>
      </w:r>
      <w:r w:rsidRPr="00230AE9">
        <w:rPr>
          <w:rFonts w:eastAsia="Times New Roman"/>
          <w:b/>
          <w:szCs w:val="24"/>
        </w:rPr>
        <w:t xml:space="preserve">, </w:t>
      </w:r>
      <w:r w:rsidRPr="009A505E">
        <w:rPr>
          <w:rFonts w:eastAsia="Times New Roman"/>
          <w:szCs w:val="24"/>
        </w:rPr>
        <w:t xml:space="preserve">kurioje </w:t>
      </w:r>
      <w:r w:rsidRPr="009A505E">
        <w:rPr>
          <w:rFonts w:eastAsia="Times New Roman"/>
          <w:b/>
          <w:szCs w:val="24"/>
        </w:rPr>
        <w:t>N</w:t>
      </w:r>
      <w:r w:rsidRPr="009A505E">
        <w:rPr>
          <w:rFonts w:eastAsia="Times New Roman"/>
          <w:szCs w:val="24"/>
        </w:rPr>
        <w:t xml:space="preserve"> - vienos sporto bazės paslaugos 1 val. kaina eurais; </w:t>
      </w:r>
      <w:r w:rsidRPr="009A505E">
        <w:rPr>
          <w:rFonts w:eastAsia="Times New Roman"/>
          <w:b/>
          <w:szCs w:val="24"/>
        </w:rPr>
        <w:t>ES</w:t>
      </w:r>
      <w:r w:rsidRPr="009A505E">
        <w:rPr>
          <w:rFonts w:eastAsia="Times New Roman"/>
          <w:szCs w:val="24"/>
        </w:rPr>
        <w:t xml:space="preserve"> - vienos sporto bazės visų su paslaugos teikimu susijusių sąnaudų, t. y. šildymo sistemos priežiūros, elektros, vandentiekio, kanalizacijos, komunalinių atliekų tvarkymo, priešgaisrinės ir turto apsaugos, turto draudimo, ryšių, transporto, einamojo remonto ir kitų paslaugų bei panaudotų prekių, susijusių su bazės priežiūra ir paslaugos teikimu, metinė suma; </w:t>
      </w:r>
      <w:r w:rsidRPr="009A505E">
        <w:rPr>
          <w:rFonts w:eastAsia="Times New Roman"/>
          <w:b/>
          <w:szCs w:val="24"/>
        </w:rPr>
        <w:t>M</w:t>
      </w:r>
      <w:r w:rsidRPr="009A505E">
        <w:rPr>
          <w:rFonts w:eastAsia="Times New Roman"/>
          <w:szCs w:val="24"/>
        </w:rPr>
        <w:t xml:space="preserve"> - bazės užimtumas, valandų skaičiaus vidurkis per metus; </w:t>
      </w:r>
      <w:r w:rsidRPr="009A505E">
        <w:rPr>
          <w:rFonts w:eastAsia="Times New Roman"/>
          <w:b/>
          <w:szCs w:val="24"/>
        </w:rPr>
        <w:t xml:space="preserve">t </w:t>
      </w:r>
      <w:r w:rsidRPr="009A505E">
        <w:rPr>
          <w:rFonts w:eastAsia="Times New Roman"/>
          <w:szCs w:val="24"/>
        </w:rPr>
        <w:t xml:space="preserve">- kalendoriniai (einamieji) metai; </w:t>
      </w:r>
      <w:r w:rsidRPr="009A505E">
        <w:rPr>
          <w:rFonts w:eastAsia="Times New Roman"/>
          <w:b/>
          <w:szCs w:val="24"/>
        </w:rPr>
        <w:t xml:space="preserve">K </w:t>
      </w:r>
      <w:r w:rsidRPr="009A505E">
        <w:rPr>
          <w:rFonts w:eastAsia="Times New Roman"/>
          <w:szCs w:val="24"/>
        </w:rPr>
        <w:t xml:space="preserve">- procentinė išraiška sumos, skirtos paslaugai teikti naudojamam ilgalaikiam turtui atnaujinti ir jo naudingosioms savybėms atkurti, </w:t>
      </w:r>
      <w:r w:rsidRPr="009A505E">
        <w:rPr>
          <w:rFonts w:eastAsia="Times New Roman"/>
          <w:b/>
          <w:szCs w:val="24"/>
        </w:rPr>
        <w:t>P</w:t>
      </w:r>
      <w:r>
        <w:rPr>
          <w:rFonts w:eastAsia="Times New Roman"/>
          <w:b/>
          <w:szCs w:val="24"/>
        </w:rPr>
        <w:t>b</w:t>
      </w:r>
      <w:r w:rsidRPr="009A505E">
        <w:rPr>
          <w:rFonts w:eastAsia="Times New Roman"/>
          <w:szCs w:val="24"/>
        </w:rPr>
        <w:t xml:space="preserve"> - 5 proc.; viso pastato, kuriame įkurta sporto bazė, </w:t>
      </w:r>
      <w:r w:rsidRPr="009A505E">
        <w:rPr>
          <w:rFonts w:eastAsia="Times New Roman"/>
          <w:b/>
          <w:szCs w:val="24"/>
        </w:rPr>
        <w:t>Pn</w:t>
      </w:r>
      <w:r w:rsidRPr="009A505E">
        <w:rPr>
          <w:rFonts w:eastAsia="Times New Roman"/>
          <w:szCs w:val="24"/>
        </w:rPr>
        <w:t xml:space="preserve"> - plotas kv. m; sporto bazės plotas kv. m.</w:t>
      </w:r>
    </w:p>
    <w:p w:rsidR="0080507E" w:rsidRPr="00AB2C8B" w:rsidRDefault="0080507E" w:rsidP="00AB2C8B">
      <w:pPr>
        <w:tabs>
          <w:tab w:val="left" w:pos="360"/>
        </w:tabs>
        <w:ind w:firstLine="709"/>
        <w:jc w:val="both"/>
        <w:rPr>
          <w:rFonts w:eastAsia="Andale Sans UI"/>
          <w:kern w:val="2"/>
          <w:szCs w:val="24"/>
          <w:lang w:eastAsia="lt-LT"/>
        </w:rPr>
      </w:pPr>
      <w:r w:rsidRPr="0080507E">
        <w:rPr>
          <w:rFonts w:eastAsia="Andale Sans UI"/>
          <w:kern w:val="2"/>
          <w:szCs w:val="24"/>
          <w:lang w:eastAsia="lt-LT"/>
        </w:rPr>
        <w:t xml:space="preserve">Siekiant užtikrinti teisingą atlygio už sporto bazių teikiamas atlygintinas paslaugas dydį, kartą per metus </w:t>
      </w:r>
      <w:r w:rsidR="00AC3C4C">
        <w:rPr>
          <w:rFonts w:eastAsia="Andale Sans UI"/>
          <w:kern w:val="2"/>
          <w:szCs w:val="24"/>
          <w:lang w:eastAsia="lt-LT"/>
        </w:rPr>
        <w:t>bus</w:t>
      </w:r>
      <w:r w:rsidRPr="0080507E">
        <w:rPr>
          <w:rFonts w:eastAsia="Andale Sans UI"/>
          <w:kern w:val="2"/>
          <w:szCs w:val="24"/>
          <w:lang w:eastAsia="lt-LT"/>
        </w:rPr>
        <w:t xml:space="preserve"> įvertinami 9 kalendorinių mėnesių faktinių sąnaudų ir sporto bazių faktiniai užimtumo pokyčiai. Atsižvelgiant į juos, gali būti perskaičiuojamas atlygis už teikiamas paslaugas, keičiant jį nuo kitų kalendorinių metų. </w:t>
      </w:r>
    </w:p>
    <w:p w:rsidR="005D6C1C" w:rsidRPr="009A505E" w:rsidRDefault="005D6C1C" w:rsidP="00B6457A">
      <w:pPr>
        <w:tabs>
          <w:tab w:val="left" w:pos="360"/>
        </w:tabs>
        <w:ind w:firstLine="709"/>
        <w:jc w:val="both"/>
        <w:rPr>
          <w:rFonts w:eastAsia="Times New Roman"/>
          <w:szCs w:val="24"/>
        </w:rPr>
      </w:pPr>
      <w:r>
        <w:rPr>
          <w:rFonts w:eastAsia="Times New Roman"/>
          <w:szCs w:val="24"/>
        </w:rPr>
        <w:t>Pagal formulę, paskaičiuota SBVC sporto bazių teikiamų atlygintinų paslaugų kaina:</w:t>
      </w:r>
    </w:p>
    <w:tbl>
      <w:tblPr>
        <w:tblStyle w:val="Lentelstinklelis"/>
        <w:tblW w:w="0" w:type="auto"/>
        <w:tblLook w:val="04A0" w:firstRow="1" w:lastRow="0" w:firstColumn="1" w:lastColumn="0" w:noHBand="0" w:noVBand="1"/>
      </w:tblPr>
      <w:tblGrid>
        <w:gridCol w:w="1342"/>
        <w:gridCol w:w="1057"/>
        <w:gridCol w:w="1094"/>
        <w:gridCol w:w="1076"/>
        <w:gridCol w:w="816"/>
        <w:gridCol w:w="966"/>
        <w:gridCol w:w="734"/>
        <w:gridCol w:w="1066"/>
        <w:gridCol w:w="712"/>
        <w:gridCol w:w="765"/>
      </w:tblGrid>
      <w:tr w:rsidR="00450694" w:rsidTr="002E1C98">
        <w:tc>
          <w:tcPr>
            <w:tcW w:w="1430" w:type="dxa"/>
          </w:tcPr>
          <w:p w:rsidR="002E1C98" w:rsidRPr="00D16523" w:rsidRDefault="002E1C98" w:rsidP="007259E4">
            <w:pPr>
              <w:tabs>
                <w:tab w:val="left" w:pos="360"/>
              </w:tabs>
              <w:ind w:firstLine="0"/>
              <w:jc w:val="both"/>
              <w:rPr>
                <w:rFonts w:eastAsia="Times New Roman"/>
                <w:sz w:val="20"/>
                <w:szCs w:val="20"/>
              </w:rPr>
            </w:pPr>
            <w:r w:rsidRPr="00D16523">
              <w:rPr>
                <w:rFonts w:eastAsia="Times New Roman"/>
                <w:sz w:val="20"/>
                <w:szCs w:val="20"/>
              </w:rPr>
              <w:t>Objekto pavadinimas</w:t>
            </w:r>
          </w:p>
        </w:tc>
        <w:tc>
          <w:tcPr>
            <w:tcW w:w="1123" w:type="dxa"/>
          </w:tcPr>
          <w:p w:rsidR="002E1C98" w:rsidRPr="00D16523" w:rsidRDefault="002E1C98" w:rsidP="007259E4">
            <w:pPr>
              <w:tabs>
                <w:tab w:val="left" w:pos="360"/>
              </w:tabs>
              <w:ind w:firstLine="0"/>
              <w:jc w:val="both"/>
              <w:rPr>
                <w:rFonts w:eastAsia="Times New Roman"/>
                <w:sz w:val="20"/>
                <w:szCs w:val="20"/>
              </w:rPr>
            </w:pPr>
            <w:r w:rsidRPr="00D16523">
              <w:rPr>
                <w:rFonts w:eastAsia="Times New Roman"/>
                <w:sz w:val="20"/>
                <w:szCs w:val="20"/>
              </w:rPr>
              <w:t>Priskirtas plotas, kv. m</w:t>
            </w:r>
          </w:p>
        </w:tc>
        <w:tc>
          <w:tcPr>
            <w:tcW w:w="1163" w:type="dxa"/>
          </w:tcPr>
          <w:p w:rsidR="002E1C98" w:rsidRPr="00D16523" w:rsidRDefault="002E1C98" w:rsidP="007259E4">
            <w:pPr>
              <w:tabs>
                <w:tab w:val="left" w:pos="360"/>
              </w:tabs>
              <w:ind w:firstLine="0"/>
              <w:jc w:val="both"/>
              <w:rPr>
                <w:rFonts w:eastAsia="Times New Roman"/>
                <w:sz w:val="20"/>
                <w:szCs w:val="20"/>
              </w:rPr>
            </w:pPr>
            <w:r w:rsidRPr="00D16523">
              <w:rPr>
                <w:rFonts w:eastAsia="Times New Roman"/>
                <w:sz w:val="20"/>
                <w:szCs w:val="20"/>
              </w:rPr>
              <w:t>Užimamo ploto proc.</w:t>
            </w:r>
          </w:p>
        </w:tc>
        <w:tc>
          <w:tcPr>
            <w:tcW w:w="1190" w:type="dxa"/>
          </w:tcPr>
          <w:p w:rsidR="002E1C98" w:rsidRPr="00752BEB" w:rsidRDefault="002E1C98" w:rsidP="007259E4">
            <w:pPr>
              <w:tabs>
                <w:tab w:val="left" w:pos="360"/>
              </w:tabs>
              <w:ind w:firstLine="0"/>
              <w:jc w:val="both"/>
              <w:rPr>
                <w:rFonts w:eastAsia="Times New Roman"/>
                <w:sz w:val="20"/>
                <w:szCs w:val="20"/>
                <w:lang w:val="en-US"/>
              </w:rPr>
            </w:pPr>
            <w:r w:rsidRPr="00D16523">
              <w:rPr>
                <w:rFonts w:eastAsia="Times New Roman"/>
                <w:sz w:val="20"/>
                <w:szCs w:val="20"/>
              </w:rPr>
              <w:t>Metinės išlaidos</w:t>
            </w:r>
            <w:r w:rsidR="00752BEB">
              <w:rPr>
                <w:rFonts w:eastAsia="Times New Roman"/>
                <w:sz w:val="20"/>
                <w:szCs w:val="20"/>
                <w:lang w:val="en-US"/>
              </w:rPr>
              <w:t>*</w:t>
            </w:r>
          </w:p>
        </w:tc>
        <w:tc>
          <w:tcPr>
            <w:tcW w:w="4722" w:type="dxa"/>
            <w:gridSpan w:val="6"/>
          </w:tcPr>
          <w:p w:rsidR="002E1C98" w:rsidRPr="00D16523" w:rsidRDefault="002E1C98" w:rsidP="002E1C98">
            <w:pPr>
              <w:tabs>
                <w:tab w:val="left" w:pos="360"/>
              </w:tabs>
              <w:ind w:firstLine="0"/>
              <w:jc w:val="center"/>
              <w:rPr>
                <w:rFonts w:eastAsia="Times New Roman"/>
                <w:sz w:val="20"/>
                <w:szCs w:val="20"/>
              </w:rPr>
            </w:pPr>
            <w:r w:rsidRPr="00D16523">
              <w:rPr>
                <w:rFonts w:eastAsia="Times New Roman"/>
                <w:sz w:val="20"/>
                <w:szCs w:val="20"/>
              </w:rPr>
              <w:t>Skaičiavimas pagal patvirtintą formulę</w:t>
            </w:r>
          </w:p>
        </w:tc>
      </w:tr>
      <w:tr w:rsidR="00D16523" w:rsidTr="00E35642">
        <w:tc>
          <w:tcPr>
            <w:tcW w:w="4906" w:type="dxa"/>
            <w:gridSpan w:val="4"/>
            <w:shd w:val="clear" w:color="auto" w:fill="D9D9D9" w:themeFill="background1" w:themeFillShade="D9"/>
          </w:tcPr>
          <w:p w:rsidR="00E35642" w:rsidRPr="00E35642" w:rsidRDefault="00E35642" w:rsidP="007259E4">
            <w:pPr>
              <w:tabs>
                <w:tab w:val="left" w:pos="360"/>
              </w:tabs>
              <w:ind w:firstLine="0"/>
              <w:jc w:val="both"/>
              <w:rPr>
                <w:rFonts w:eastAsia="Times New Roman"/>
                <w:szCs w:val="24"/>
                <w:highlight w:val="lightGray"/>
              </w:rPr>
            </w:pPr>
          </w:p>
        </w:tc>
        <w:tc>
          <w:tcPr>
            <w:tcW w:w="787" w:type="dxa"/>
          </w:tcPr>
          <w:p w:rsidR="00E35642" w:rsidRDefault="00E35642" w:rsidP="007259E4">
            <w:pPr>
              <w:tabs>
                <w:tab w:val="left" w:pos="360"/>
              </w:tabs>
              <w:ind w:firstLine="0"/>
              <w:jc w:val="both"/>
              <w:rPr>
                <w:rFonts w:eastAsia="Times New Roman"/>
                <w:szCs w:val="24"/>
              </w:rPr>
            </w:pPr>
            <w:r w:rsidRPr="002E1C98">
              <w:rPr>
                <w:rFonts w:eastAsia="Times New Roman"/>
                <w:szCs w:val="24"/>
              </w:rPr>
              <w:t>ES</w:t>
            </w:r>
          </w:p>
        </w:tc>
        <w:tc>
          <w:tcPr>
            <w:tcW w:w="787" w:type="dxa"/>
          </w:tcPr>
          <w:p w:rsidR="00E35642" w:rsidRDefault="00E35642" w:rsidP="007259E4">
            <w:pPr>
              <w:tabs>
                <w:tab w:val="left" w:pos="360"/>
              </w:tabs>
              <w:ind w:firstLine="0"/>
              <w:jc w:val="both"/>
              <w:rPr>
                <w:rFonts w:eastAsia="Times New Roman"/>
                <w:szCs w:val="24"/>
              </w:rPr>
            </w:pPr>
            <w:r w:rsidRPr="002E1C98">
              <w:rPr>
                <w:rFonts w:eastAsia="Times New Roman"/>
                <w:szCs w:val="24"/>
              </w:rPr>
              <w:t>x K</w:t>
            </w:r>
          </w:p>
        </w:tc>
        <w:tc>
          <w:tcPr>
            <w:tcW w:w="787" w:type="dxa"/>
          </w:tcPr>
          <w:p w:rsidR="00E35642" w:rsidRDefault="00E35642" w:rsidP="007259E4">
            <w:pPr>
              <w:tabs>
                <w:tab w:val="left" w:pos="360"/>
              </w:tabs>
              <w:ind w:firstLine="0"/>
              <w:jc w:val="both"/>
              <w:rPr>
                <w:rFonts w:eastAsia="Times New Roman"/>
                <w:szCs w:val="24"/>
              </w:rPr>
            </w:pPr>
            <w:r w:rsidRPr="002E1C98">
              <w:rPr>
                <w:rFonts w:eastAsia="Times New Roman"/>
                <w:szCs w:val="24"/>
              </w:rPr>
              <w:t>/ Pb</w:t>
            </w:r>
          </w:p>
        </w:tc>
        <w:tc>
          <w:tcPr>
            <w:tcW w:w="787" w:type="dxa"/>
          </w:tcPr>
          <w:p w:rsidR="00E35642" w:rsidRDefault="00E35642" w:rsidP="007259E4">
            <w:pPr>
              <w:tabs>
                <w:tab w:val="left" w:pos="360"/>
              </w:tabs>
              <w:ind w:firstLine="0"/>
              <w:jc w:val="both"/>
              <w:rPr>
                <w:rFonts w:eastAsia="Times New Roman"/>
                <w:szCs w:val="24"/>
              </w:rPr>
            </w:pPr>
            <w:r w:rsidRPr="002E1C98">
              <w:rPr>
                <w:rFonts w:eastAsia="Times New Roman"/>
                <w:szCs w:val="24"/>
              </w:rPr>
              <w:t>x Pn</w:t>
            </w:r>
          </w:p>
        </w:tc>
        <w:tc>
          <w:tcPr>
            <w:tcW w:w="787" w:type="dxa"/>
          </w:tcPr>
          <w:p w:rsidR="00E35642" w:rsidRDefault="00E35642" w:rsidP="007259E4">
            <w:pPr>
              <w:tabs>
                <w:tab w:val="left" w:pos="360"/>
              </w:tabs>
              <w:ind w:firstLine="0"/>
              <w:jc w:val="both"/>
              <w:rPr>
                <w:rFonts w:eastAsia="Times New Roman"/>
                <w:szCs w:val="24"/>
              </w:rPr>
            </w:pPr>
            <w:r w:rsidRPr="002E1C98">
              <w:rPr>
                <w:rFonts w:eastAsia="Times New Roman"/>
                <w:szCs w:val="24"/>
              </w:rPr>
              <w:t>/ M</w:t>
            </w:r>
          </w:p>
        </w:tc>
        <w:tc>
          <w:tcPr>
            <w:tcW w:w="787" w:type="dxa"/>
          </w:tcPr>
          <w:p w:rsidR="00E35642" w:rsidRDefault="00E35642" w:rsidP="007259E4">
            <w:pPr>
              <w:tabs>
                <w:tab w:val="left" w:pos="360"/>
              </w:tabs>
              <w:ind w:firstLine="0"/>
              <w:jc w:val="both"/>
              <w:rPr>
                <w:rFonts w:eastAsia="Times New Roman"/>
                <w:szCs w:val="24"/>
              </w:rPr>
            </w:pPr>
            <w:r w:rsidRPr="002E1C98">
              <w:rPr>
                <w:rFonts w:eastAsia="Times New Roman"/>
                <w:szCs w:val="24"/>
              </w:rPr>
              <w:t>1 val. kaina</w:t>
            </w:r>
          </w:p>
        </w:tc>
      </w:tr>
      <w:tr w:rsidR="00F56394" w:rsidTr="002E1C98">
        <w:tc>
          <w:tcPr>
            <w:tcW w:w="1430" w:type="dxa"/>
          </w:tcPr>
          <w:p w:rsidR="002E1C98" w:rsidRPr="00D16523" w:rsidRDefault="00A60B58" w:rsidP="007259E4">
            <w:pPr>
              <w:tabs>
                <w:tab w:val="left" w:pos="360"/>
              </w:tabs>
              <w:ind w:firstLine="0"/>
              <w:jc w:val="both"/>
              <w:rPr>
                <w:rFonts w:eastAsia="Times New Roman"/>
                <w:sz w:val="20"/>
                <w:szCs w:val="20"/>
              </w:rPr>
            </w:pPr>
            <w:r w:rsidRPr="00D16523">
              <w:rPr>
                <w:rFonts w:eastAsia="Times New Roman"/>
                <w:sz w:val="20"/>
                <w:szCs w:val="20"/>
              </w:rPr>
              <w:t>Dirb</w:t>
            </w:r>
            <w:r w:rsidR="0013648D" w:rsidRPr="00D16523">
              <w:rPr>
                <w:rFonts w:eastAsia="Times New Roman"/>
                <w:sz w:val="20"/>
                <w:szCs w:val="20"/>
              </w:rPr>
              <w:t xml:space="preserve">tinės </w:t>
            </w:r>
            <w:r w:rsidRPr="00D16523">
              <w:rPr>
                <w:rFonts w:eastAsia="Times New Roman"/>
                <w:sz w:val="20"/>
                <w:szCs w:val="20"/>
              </w:rPr>
              <w:t>dangos futbolo aikštė</w:t>
            </w:r>
          </w:p>
        </w:tc>
        <w:tc>
          <w:tcPr>
            <w:tcW w:w="1123" w:type="dxa"/>
          </w:tcPr>
          <w:p w:rsidR="002E1C98" w:rsidRPr="00D16523" w:rsidRDefault="0013648D" w:rsidP="00685FF2">
            <w:pPr>
              <w:tabs>
                <w:tab w:val="left" w:pos="360"/>
              </w:tabs>
              <w:ind w:firstLine="0"/>
              <w:jc w:val="center"/>
              <w:rPr>
                <w:rFonts w:eastAsia="Times New Roman"/>
                <w:sz w:val="20"/>
                <w:szCs w:val="20"/>
              </w:rPr>
            </w:pPr>
            <w:r w:rsidRPr="00D16523">
              <w:rPr>
                <w:rFonts w:eastAsia="Times New Roman"/>
                <w:sz w:val="20"/>
                <w:szCs w:val="20"/>
              </w:rPr>
              <w:t>6800</w:t>
            </w:r>
          </w:p>
        </w:tc>
        <w:tc>
          <w:tcPr>
            <w:tcW w:w="1163" w:type="dxa"/>
          </w:tcPr>
          <w:p w:rsidR="002E1C98" w:rsidRPr="00D16523" w:rsidRDefault="0013648D" w:rsidP="00685FF2">
            <w:pPr>
              <w:tabs>
                <w:tab w:val="left" w:pos="360"/>
              </w:tabs>
              <w:ind w:firstLine="0"/>
              <w:jc w:val="center"/>
              <w:rPr>
                <w:rFonts w:eastAsia="Times New Roman"/>
                <w:sz w:val="20"/>
                <w:szCs w:val="20"/>
              </w:rPr>
            </w:pPr>
            <w:r w:rsidRPr="00D16523">
              <w:rPr>
                <w:rFonts w:eastAsia="Times New Roman"/>
                <w:sz w:val="20"/>
                <w:szCs w:val="20"/>
              </w:rPr>
              <w:t>47</w:t>
            </w:r>
          </w:p>
        </w:tc>
        <w:tc>
          <w:tcPr>
            <w:tcW w:w="1190" w:type="dxa"/>
          </w:tcPr>
          <w:p w:rsidR="002E1C98" w:rsidRPr="00D16523" w:rsidRDefault="0013648D" w:rsidP="00685FF2">
            <w:pPr>
              <w:tabs>
                <w:tab w:val="left" w:pos="360"/>
              </w:tabs>
              <w:ind w:firstLine="0"/>
              <w:jc w:val="center"/>
              <w:rPr>
                <w:rFonts w:eastAsia="Times New Roman"/>
                <w:sz w:val="20"/>
                <w:szCs w:val="20"/>
              </w:rPr>
            </w:pPr>
            <w:r w:rsidRPr="00D16523">
              <w:rPr>
                <w:rFonts w:eastAsia="Times New Roman"/>
                <w:sz w:val="20"/>
                <w:szCs w:val="20"/>
              </w:rPr>
              <w:t>189878</w:t>
            </w:r>
          </w:p>
        </w:tc>
        <w:tc>
          <w:tcPr>
            <w:tcW w:w="787" w:type="dxa"/>
          </w:tcPr>
          <w:p w:rsidR="002E1C98" w:rsidRPr="00D16523" w:rsidRDefault="00D16523" w:rsidP="00685FF2">
            <w:pPr>
              <w:tabs>
                <w:tab w:val="left" w:pos="360"/>
              </w:tabs>
              <w:ind w:firstLine="0"/>
              <w:jc w:val="center"/>
              <w:rPr>
                <w:rFonts w:eastAsia="Times New Roman"/>
                <w:sz w:val="20"/>
                <w:szCs w:val="20"/>
              </w:rPr>
            </w:pPr>
            <w:r w:rsidRPr="00D16523">
              <w:rPr>
                <w:rFonts w:eastAsia="Times New Roman"/>
                <w:sz w:val="20"/>
                <w:szCs w:val="20"/>
              </w:rPr>
              <w:t>215037</w:t>
            </w:r>
          </w:p>
        </w:tc>
        <w:tc>
          <w:tcPr>
            <w:tcW w:w="787" w:type="dxa"/>
          </w:tcPr>
          <w:p w:rsidR="002E1C98" w:rsidRPr="00D16523" w:rsidRDefault="00D16523" w:rsidP="00685FF2">
            <w:pPr>
              <w:tabs>
                <w:tab w:val="left" w:pos="360"/>
              </w:tabs>
              <w:ind w:firstLine="0"/>
              <w:jc w:val="center"/>
              <w:rPr>
                <w:rFonts w:eastAsia="Times New Roman"/>
                <w:sz w:val="20"/>
                <w:szCs w:val="20"/>
              </w:rPr>
            </w:pPr>
            <w:r w:rsidRPr="00D16523">
              <w:rPr>
                <w:rFonts w:eastAsia="Times New Roman"/>
                <w:sz w:val="20"/>
                <w:szCs w:val="20"/>
              </w:rPr>
              <w:t>10751,85</w:t>
            </w:r>
          </w:p>
        </w:tc>
        <w:tc>
          <w:tcPr>
            <w:tcW w:w="787" w:type="dxa"/>
          </w:tcPr>
          <w:p w:rsidR="002E1C98" w:rsidRPr="00D16523" w:rsidRDefault="00D16523" w:rsidP="00685FF2">
            <w:pPr>
              <w:tabs>
                <w:tab w:val="left" w:pos="360"/>
              </w:tabs>
              <w:ind w:firstLine="0"/>
              <w:jc w:val="center"/>
              <w:rPr>
                <w:rFonts w:eastAsia="Times New Roman"/>
                <w:sz w:val="20"/>
                <w:szCs w:val="20"/>
              </w:rPr>
            </w:pPr>
            <w:r w:rsidRPr="00D16523">
              <w:rPr>
                <w:rFonts w:eastAsia="Times New Roman"/>
                <w:sz w:val="20"/>
                <w:szCs w:val="20"/>
              </w:rPr>
              <w:t>15,61</w:t>
            </w:r>
          </w:p>
        </w:tc>
        <w:tc>
          <w:tcPr>
            <w:tcW w:w="787" w:type="dxa"/>
          </w:tcPr>
          <w:p w:rsidR="002E1C98" w:rsidRPr="00D16523" w:rsidRDefault="00D16523" w:rsidP="00685FF2">
            <w:pPr>
              <w:tabs>
                <w:tab w:val="left" w:pos="360"/>
              </w:tabs>
              <w:ind w:firstLine="0"/>
              <w:jc w:val="center"/>
              <w:rPr>
                <w:rFonts w:eastAsia="Times New Roman"/>
                <w:sz w:val="20"/>
                <w:szCs w:val="20"/>
              </w:rPr>
            </w:pPr>
            <w:r w:rsidRPr="00D16523">
              <w:rPr>
                <w:rFonts w:eastAsia="Times New Roman"/>
                <w:sz w:val="20"/>
                <w:szCs w:val="20"/>
              </w:rPr>
              <w:t>106174,59</w:t>
            </w:r>
          </w:p>
        </w:tc>
        <w:tc>
          <w:tcPr>
            <w:tcW w:w="787" w:type="dxa"/>
          </w:tcPr>
          <w:p w:rsidR="002E1C98" w:rsidRPr="00D16523" w:rsidRDefault="00D16523" w:rsidP="00685FF2">
            <w:pPr>
              <w:tabs>
                <w:tab w:val="left" w:pos="360"/>
              </w:tabs>
              <w:ind w:firstLine="0"/>
              <w:jc w:val="center"/>
              <w:rPr>
                <w:rFonts w:eastAsia="Times New Roman"/>
                <w:sz w:val="20"/>
                <w:szCs w:val="20"/>
              </w:rPr>
            </w:pPr>
            <w:r w:rsidRPr="00D16523">
              <w:rPr>
                <w:rFonts w:eastAsia="Times New Roman"/>
                <w:sz w:val="20"/>
                <w:szCs w:val="20"/>
              </w:rPr>
              <w:t>3000</w:t>
            </w:r>
          </w:p>
        </w:tc>
        <w:tc>
          <w:tcPr>
            <w:tcW w:w="787" w:type="dxa"/>
          </w:tcPr>
          <w:p w:rsidR="002E1C98" w:rsidRPr="00D16523" w:rsidRDefault="00D16523" w:rsidP="00685FF2">
            <w:pPr>
              <w:tabs>
                <w:tab w:val="left" w:pos="360"/>
              </w:tabs>
              <w:ind w:firstLine="0"/>
              <w:jc w:val="center"/>
              <w:rPr>
                <w:rFonts w:eastAsia="Times New Roman"/>
                <w:sz w:val="20"/>
                <w:szCs w:val="20"/>
              </w:rPr>
            </w:pPr>
            <w:r w:rsidRPr="00D16523">
              <w:rPr>
                <w:rFonts w:eastAsia="Times New Roman"/>
                <w:sz w:val="20"/>
                <w:szCs w:val="20"/>
              </w:rPr>
              <w:t>35</w:t>
            </w:r>
          </w:p>
        </w:tc>
      </w:tr>
      <w:tr w:rsidR="00F56394" w:rsidTr="002E1C98">
        <w:tc>
          <w:tcPr>
            <w:tcW w:w="1430" w:type="dxa"/>
          </w:tcPr>
          <w:p w:rsidR="002E1C98" w:rsidRPr="00F56394" w:rsidRDefault="00F56394" w:rsidP="007259E4">
            <w:pPr>
              <w:tabs>
                <w:tab w:val="left" w:pos="360"/>
              </w:tabs>
              <w:ind w:firstLine="0"/>
              <w:jc w:val="both"/>
              <w:rPr>
                <w:rFonts w:eastAsia="Times New Roman"/>
                <w:sz w:val="20"/>
                <w:szCs w:val="20"/>
              </w:rPr>
            </w:pPr>
            <w:r w:rsidRPr="00F56394">
              <w:rPr>
                <w:rFonts w:eastAsia="Times New Roman"/>
                <w:sz w:val="20"/>
                <w:szCs w:val="20"/>
              </w:rPr>
              <w:t>Lengvosios atletikos sektoriai su bėgimo takais</w:t>
            </w:r>
          </w:p>
        </w:tc>
        <w:tc>
          <w:tcPr>
            <w:tcW w:w="1123" w:type="dxa"/>
          </w:tcPr>
          <w:p w:rsidR="002E1C98" w:rsidRPr="00450694" w:rsidRDefault="00450694" w:rsidP="00450694">
            <w:pPr>
              <w:tabs>
                <w:tab w:val="left" w:pos="360"/>
              </w:tabs>
              <w:ind w:firstLine="0"/>
              <w:jc w:val="center"/>
              <w:rPr>
                <w:rFonts w:eastAsia="Times New Roman"/>
                <w:sz w:val="20"/>
                <w:szCs w:val="20"/>
              </w:rPr>
            </w:pPr>
            <w:r w:rsidRPr="00450694">
              <w:rPr>
                <w:rFonts w:eastAsia="Times New Roman"/>
                <w:sz w:val="20"/>
                <w:szCs w:val="20"/>
              </w:rPr>
              <w:t>4710,87</w:t>
            </w:r>
          </w:p>
        </w:tc>
        <w:tc>
          <w:tcPr>
            <w:tcW w:w="1163" w:type="dxa"/>
          </w:tcPr>
          <w:p w:rsidR="002E1C98" w:rsidRPr="00450694" w:rsidRDefault="00DF3F6D" w:rsidP="00450694">
            <w:pPr>
              <w:tabs>
                <w:tab w:val="left" w:pos="360"/>
              </w:tabs>
              <w:ind w:firstLine="0"/>
              <w:jc w:val="center"/>
              <w:rPr>
                <w:rFonts w:eastAsia="Times New Roman"/>
                <w:sz w:val="20"/>
                <w:szCs w:val="20"/>
              </w:rPr>
            </w:pPr>
            <w:r>
              <w:rPr>
                <w:rFonts w:eastAsia="Times New Roman"/>
                <w:sz w:val="20"/>
                <w:szCs w:val="20"/>
              </w:rPr>
              <w:t>32,6</w:t>
            </w:r>
          </w:p>
        </w:tc>
        <w:tc>
          <w:tcPr>
            <w:tcW w:w="1190" w:type="dxa"/>
          </w:tcPr>
          <w:p w:rsidR="002E1C98" w:rsidRPr="00450694" w:rsidRDefault="00DF3F6D" w:rsidP="00450694">
            <w:pPr>
              <w:tabs>
                <w:tab w:val="left" w:pos="360"/>
              </w:tabs>
              <w:ind w:firstLine="0"/>
              <w:jc w:val="center"/>
              <w:rPr>
                <w:rFonts w:eastAsia="Times New Roman"/>
                <w:sz w:val="20"/>
                <w:szCs w:val="20"/>
              </w:rPr>
            </w:pPr>
            <w:r>
              <w:rPr>
                <w:rFonts w:eastAsia="Times New Roman"/>
                <w:sz w:val="20"/>
                <w:szCs w:val="20"/>
              </w:rPr>
              <w:t>25159</w:t>
            </w:r>
          </w:p>
        </w:tc>
        <w:tc>
          <w:tcPr>
            <w:tcW w:w="787" w:type="dxa"/>
          </w:tcPr>
          <w:p w:rsidR="002E1C98" w:rsidRPr="00450694" w:rsidRDefault="00890F41" w:rsidP="00450694">
            <w:pPr>
              <w:tabs>
                <w:tab w:val="left" w:pos="360"/>
              </w:tabs>
              <w:ind w:firstLine="0"/>
              <w:jc w:val="center"/>
              <w:rPr>
                <w:rFonts w:eastAsia="Times New Roman"/>
                <w:sz w:val="20"/>
                <w:szCs w:val="20"/>
              </w:rPr>
            </w:pPr>
            <w:r w:rsidRPr="00D16523">
              <w:rPr>
                <w:rFonts w:eastAsia="Times New Roman"/>
                <w:sz w:val="20"/>
                <w:szCs w:val="20"/>
              </w:rPr>
              <w:t>215037</w:t>
            </w:r>
          </w:p>
        </w:tc>
        <w:tc>
          <w:tcPr>
            <w:tcW w:w="787" w:type="dxa"/>
          </w:tcPr>
          <w:p w:rsidR="002E1C98" w:rsidRPr="00450694" w:rsidRDefault="00890F41" w:rsidP="00450694">
            <w:pPr>
              <w:tabs>
                <w:tab w:val="left" w:pos="360"/>
              </w:tabs>
              <w:ind w:firstLine="0"/>
              <w:jc w:val="center"/>
              <w:rPr>
                <w:rFonts w:eastAsia="Times New Roman"/>
                <w:sz w:val="20"/>
                <w:szCs w:val="20"/>
              </w:rPr>
            </w:pPr>
            <w:r w:rsidRPr="00D16523">
              <w:rPr>
                <w:rFonts w:eastAsia="Times New Roman"/>
                <w:sz w:val="20"/>
                <w:szCs w:val="20"/>
              </w:rPr>
              <w:t>10751,85</w:t>
            </w:r>
          </w:p>
        </w:tc>
        <w:tc>
          <w:tcPr>
            <w:tcW w:w="787" w:type="dxa"/>
          </w:tcPr>
          <w:p w:rsidR="002E1C98" w:rsidRPr="00450694" w:rsidRDefault="00890F41" w:rsidP="00450694">
            <w:pPr>
              <w:tabs>
                <w:tab w:val="left" w:pos="360"/>
              </w:tabs>
              <w:ind w:firstLine="0"/>
              <w:jc w:val="center"/>
              <w:rPr>
                <w:rFonts w:eastAsia="Times New Roman"/>
                <w:sz w:val="20"/>
                <w:szCs w:val="20"/>
              </w:rPr>
            </w:pPr>
            <w:r>
              <w:rPr>
                <w:rFonts w:eastAsia="Times New Roman"/>
                <w:sz w:val="20"/>
                <w:szCs w:val="20"/>
              </w:rPr>
              <w:t>15,61</w:t>
            </w:r>
          </w:p>
        </w:tc>
        <w:tc>
          <w:tcPr>
            <w:tcW w:w="787" w:type="dxa"/>
          </w:tcPr>
          <w:p w:rsidR="002E1C98" w:rsidRPr="00450694" w:rsidRDefault="00890F41" w:rsidP="00450694">
            <w:pPr>
              <w:tabs>
                <w:tab w:val="left" w:pos="360"/>
              </w:tabs>
              <w:ind w:firstLine="0"/>
              <w:jc w:val="center"/>
              <w:rPr>
                <w:rFonts w:eastAsia="Times New Roman"/>
                <w:sz w:val="20"/>
                <w:szCs w:val="20"/>
              </w:rPr>
            </w:pPr>
            <w:r>
              <w:rPr>
                <w:rFonts w:eastAsia="Times New Roman"/>
                <w:sz w:val="20"/>
                <w:szCs w:val="20"/>
              </w:rPr>
              <w:t>73555,10</w:t>
            </w:r>
          </w:p>
        </w:tc>
        <w:tc>
          <w:tcPr>
            <w:tcW w:w="787" w:type="dxa"/>
          </w:tcPr>
          <w:p w:rsidR="002E1C98" w:rsidRPr="00450694" w:rsidRDefault="00890F41" w:rsidP="00450694">
            <w:pPr>
              <w:tabs>
                <w:tab w:val="left" w:pos="360"/>
              </w:tabs>
              <w:ind w:firstLine="0"/>
              <w:jc w:val="center"/>
              <w:rPr>
                <w:rFonts w:eastAsia="Times New Roman"/>
                <w:sz w:val="20"/>
                <w:szCs w:val="20"/>
              </w:rPr>
            </w:pPr>
            <w:r>
              <w:rPr>
                <w:rFonts w:eastAsia="Times New Roman"/>
                <w:sz w:val="20"/>
                <w:szCs w:val="20"/>
              </w:rPr>
              <w:t>3000</w:t>
            </w:r>
          </w:p>
        </w:tc>
        <w:tc>
          <w:tcPr>
            <w:tcW w:w="787" w:type="dxa"/>
          </w:tcPr>
          <w:p w:rsidR="002E1C98" w:rsidRPr="00450694" w:rsidRDefault="00890F41" w:rsidP="00450694">
            <w:pPr>
              <w:tabs>
                <w:tab w:val="left" w:pos="360"/>
              </w:tabs>
              <w:ind w:firstLine="0"/>
              <w:jc w:val="center"/>
              <w:rPr>
                <w:rFonts w:eastAsia="Times New Roman"/>
                <w:sz w:val="20"/>
                <w:szCs w:val="20"/>
              </w:rPr>
            </w:pPr>
            <w:r>
              <w:rPr>
                <w:rFonts w:eastAsia="Times New Roman"/>
                <w:sz w:val="20"/>
                <w:szCs w:val="20"/>
              </w:rPr>
              <w:t>25</w:t>
            </w:r>
          </w:p>
        </w:tc>
      </w:tr>
      <w:tr w:rsidR="00F56394" w:rsidTr="002E1C98">
        <w:tc>
          <w:tcPr>
            <w:tcW w:w="1430" w:type="dxa"/>
          </w:tcPr>
          <w:p w:rsidR="002E1C98" w:rsidRPr="009233B2" w:rsidRDefault="00AE70AE" w:rsidP="007259E4">
            <w:pPr>
              <w:tabs>
                <w:tab w:val="left" w:pos="360"/>
              </w:tabs>
              <w:ind w:firstLine="0"/>
              <w:jc w:val="both"/>
              <w:rPr>
                <w:rFonts w:eastAsia="Times New Roman"/>
                <w:sz w:val="20"/>
                <w:szCs w:val="20"/>
              </w:rPr>
            </w:pPr>
            <w:r>
              <w:rPr>
                <w:rFonts w:eastAsia="Times New Roman"/>
                <w:sz w:val="20"/>
                <w:szCs w:val="20"/>
              </w:rPr>
              <w:t>Sporto salė</w:t>
            </w:r>
          </w:p>
        </w:tc>
        <w:tc>
          <w:tcPr>
            <w:tcW w:w="1123" w:type="dxa"/>
          </w:tcPr>
          <w:p w:rsidR="002E1C98" w:rsidRPr="009233B2" w:rsidRDefault="00AE70AE" w:rsidP="009233B2">
            <w:pPr>
              <w:tabs>
                <w:tab w:val="left" w:pos="360"/>
              </w:tabs>
              <w:ind w:firstLine="0"/>
              <w:jc w:val="center"/>
              <w:rPr>
                <w:rFonts w:eastAsia="Times New Roman"/>
                <w:sz w:val="20"/>
                <w:szCs w:val="20"/>
              </w:rPr>
            </w:pPr>
            <w:r w:rsidRPr="00AE70AE">
              <w:rPr>
                <w:rFonts w:eastAsia="Times New Roman"/>
                <w:sz w:val="20"/>
                <w:szCs w:val="20"/>
              </w:rPr>
              <w:t>1168,59</w:t>
            </w:r>
          </w:p>
        </w:tc>
        <w:tc>
          <w:tcPr>
            <w:tcW w:w="1163" w:type="dxa"/>
          </w:tcPr>
          <w:p w:rsidR="002E1C98" w:rsidRPr="009233B2" w:rsidRDefault="00AE70AE" w:rsidP="009233B2">
            <w:pPr>
              <w:tabs>
                <w:tab w:val="left" w:pos="360"/>
              </w:tabs>
              <w:ind w:firstLine="0"/>
              <w:jc w:val="center"/>
              <w:rPr>
                <w:rFonts w:eastAsia="Times New Roman"/>
                <w:sz w:val="20"/>
                <w:szCs w:val="20"/>
              </w:rPr>
            </w:pPr>
            <w:r>
              <w:rPr>
                <w:rFonts w:eastAsia="Times New Roman"/>
                <w:sz w:val="20"/>
                <w:szCs w:val="20"/>
              </w:rPr>
              <w:t>48,8</w:t>
            </w:r>
          </w:p>
        </w:tc>
        <w:tc>
          <w:tcPr>
            <w:tcW w:w="1190" w:type="dxa"/>
          </w:tcPr>
          <w:p w:rsidR="002E1C98" w:rsidRPr="00AE70AE" w:rsidRDefault="00AE70AE" w:rsidP="009233B2">
            <w:pPr>
              <w:tabs>
                <w:tab w:val="left" w:pos="360"/>
              </w:tabs>
              <w:ind w:firstLine="0"/>
              <w:jc w:val="center"/>
              <w:rPr>
                <w:rFonts w:eastAsia="Times New Roman"/>
                <w:sz w:val="20"/>
                <w:szCs w:val="20"/>
              </w:rPr>
            </w:pPr>
            <w:r>
              <w:rPr>
                <w:rFonts w:eastAsia="Times New Roman"/>
                <w:sz w:val="20"/>
                <w:szCs w:val="20"/>
              </w:rPr>
              <w:t>66145</w:t>
            </w:r>
            <w:r>
              <w:rPr>
                <w:rFonts w:eastAsia="Times New Roman"/>
                <w:sz w:val="20"/>
                <w:szCs w:val="20"/>
                <w:lang w:val="en-US"/>
              </w:rPr>
              <w:t>*</w:t>
            </w:r>
            <w:r w:rsidR="00752BEB">
              <w:rPr>
                <w:rFonts w:eastAsia="Times New Roman"/>
                <w:sz w:val="20"/>
                <w:szCs w:val="20"/>
                <w:lang w:val="en-US"/>
              </w:rPr>
              <w:t>*</w:t>
            </w:r>
          </w:p>
        </w:tc>
        <w:tc>
          <w:tcPr>
            <w:tcW w:w="787" w:type="dxa"/>
          </w:tcPr>
          <w:p w:rsidR="002E1C98" w:rsidRPr="009233B2" w:rsidRDefault="00752BEB" w:rsidP="009233B2">
            <w:pPr>
              <w:tabs>
                <w:tab w:val="left" w:pos="360"/>
              </w:tabs>
              <w:ind w:firstLine="0"/>
              <w:jc w:val="center"/>
              <w:rPr>
                <w:rFonts w:eastAsia="Times New Roman"/>
                <w:sz w:val="20"/>
                <w:szCs w:val="20"/>
              </w:rPr>
            </w:pPr>
            <w:r>
              <w:rPr>
                <w:rFonts w:eastAsia="Times New Roman"/>
                <w:sz w:val="20"/>
                <w:szCs w:val="20"/>
              </w:rPr>
              <w:t>66145</w:t>
            </w:r>
          </w:p>
        </w:tc>
        <w:tc>
          <w:tcPr>
            <w:tcW w:w="787" w:type="dxa"/>
          </w:tcPr>
          <w:p w:rsidR="002E1C98" w:rsidRPr="009233B2" w:rsidRDefault="00752BEB" w:rsidP="009233B2">
            <w:pPr>
              <w:tabs>
                <w:tab w:val="left" w:pos="360"/>
              </w:tabs>
              <w:ind w:firstLine="0"/>
              <w:jc w:val="center"/>
              <w:rPr>
                <w:rFonts w:eastAsia="Times New Roman"/>
                <w:sz w:val="20"/>
                <w:szCs w:val="20"/>
              </w:rPr>
            </w:pPr>
            <w:r>
              <w:rPr>
                <w:rFonts w:eastAsia="Times New Roman"/>
                <w:sz w:val="20"/>
                <w:szCs w:val="20"/>
              </w:rPr>
              <w:t>3307,25</w:t>
            </w:r>
          </w:p>
        </w:tc>
        <w:tc>
          <w:tcPr>
            <w:tcW w:w="787" w:type="dxa"/>
          </w:tcPr>
          <w:p w:rsidR="002E1C98" w:rsidRPr="009233B2" w:rsidRDefault="00752BEB" w:rsidP="009233B2">
            <w:pPr>
              <w:tabs>
                <w:tab w:val="left" w:pos="360"/>
              </w:tabs>
              <w:ind w:firstLine="0"/>
              <w:jc w:val="center"/>
              <w:rPr>
                <w:rFonts w:eastAsia="Times New Roman"/>
                <w:sz w:val="20"/>
                <w:szCs w:val="20"/>
              </w:rPr>
            </w:pPr>
            <w:r>
              <w:rPr>
                <w:rFonts w:eastAsia="Times New Roman"/>
                <w:sz w:val="20"/>
                <w:szCs w:val="20"/>
              </w:rPr>
              <w:t>28,98</w:t>
            </w:r>
          </w:p>
        </w:tc>
        <w:tc>
          <w:tcPr>
            <w:tcW w:w="787" w:type="dxa"/>
          </w:tcPr>
          <w:p w:rsidR="002E1C98" w:rsidRPr="009233B2" w:rsidRDefault="00752BEB" w:rsidP="009233B2">
            <w:pPr>
              <w:tabs>
                <w:tab w:val="left" w:pos="360"/>
              </w:tabs>
              <w:ind w:firstLine="0"/>
              <w:jc w:val="center"/>
              <w:rPr>
                <w:rFonts w:eastAsia="Times New Roman"/>
                <w:sz w:val="20"/>
                <w:szCs w:val="20"/>
              </w:rPr>
            </w:pPr>
            <w:r>
              <w:rPr>
                <w:rFonts w:eastAsia="Times New Roman"/>
                <w:sz w:val="20"/>
                <w:szCs w:val="20"/>
              </w:rPr>
              <w:t>33860,48</w:t>
            </w:r>
          </w:p>
        </w:tc>
        <w:tc>
          <w:tcPr>
            <w:tcW w:w="787" w:type="dxa"/>
          </w:tcPr>
          <w:p w:rsidR="002E1C98" w:rsidRPr="009233B2" w:rsidRDefault="00752BEB" w:rsidP="009233B2">
            <w:pPr>
              <w:tabs>
                <w:tab w:val="left" w:pos="360"/>
              </w:tabs>
              <w:ind w:firstLine="0"/>
              <w:jc w:val="center"/>
              <w:rPr>
                <w:rFonts w:eastAsia="Times New Roman"/>
                <w:sz w:val="20"/>
                <w:szCs w:val="20"/>
              </w:rPr>
            </w:pPr>
            <w:r>
              <w:rPr>
                <w:rFonts w:eastAsia="Times New Roman"/>
                <w:sz w:val="20"/>
                <w:szCs w:val="20"/>
              </w:rPr>
              <w:t>2000</w:t>
            </w:r>
          </w:p>
        </w:tc>
        <w:tc>
          <w:tcPr>
            <w:tcW w:w="787" w:type="dxa"/>
          </w:tcPr>
          <w:p w:rsidR="002E1C98" w:rsidRPr="009233B2" w:rsidRDefault="00752BEB" w:rsidP="009233B2">
            <w:pPr>
              <w:tabs>
                <w:tab w:val="left" w:pos="360"/>
              </w:tabs>
              <w:ind w:firstLine="0"/>
              <w:jc w:val="center"/>
              <w:rPr>
                <w:rFonts w:eastAsia="Times New Roman"/>
                <w:sz w:val="20"/>
                <w:szCs w:val="20"/>
              </w:rPr>
            </w:pPr>
            <w:r>
              <w:rPr>
                <w:rFonts w:eastAsia="Times New Roman"/>
                <w:sz w:val="20"/>
                <w:szCs w:val="20"/>
              </w:rPr>
              <w:t>17</w:t>
            </w:r>
          </w:p>
        </w:tc>
      </w:tr>
    </w:tbl>
    <w:p w:rsidR="007259E4" w:rsidRDefault="00752BEB" w:rsidP="007259E4">
      <w:pPr>
        <w:tabs>
          <w:tab w:val="left" w:pos="360"/>
        </w:tabs>
        <w:ind w:firstLine="709"/>
        <w:jc w:val="both"/>
        <w:rPr>
          <w:rFonts w:eastAsia="Times New Roman"/>
          <w:szCs w:val="24"/>
        </w:rPr>
      </w:pPr>
      <w:r>
        <w:rPr>
          <w:rFonts w:eastAsia="Times New Roman"/>
          <w:szCs w:val="24"/>
        </w:rPr>
        <w:t>*</w:t>
      </w:r>
      <w:r w:rsidR="00EA663A">
        <w:rPr>
          <w:rFonts w:eastAsia="Times New Roman"/>
          <w:szCs w:val="24"/>
        </w:rPr>
        <w:t>Metinės išlaidos (sąnaudos)</w:t>
      </w:r>
      <w:r w:rsidR="00EA663A" w:rsidRPr="00EA663A">
        <w:rPr>
          <w:rFonts w:eastAsia="Times New Roman"/>
          <w:szCs w:val="24"/>
        </w:rPr>
        <w:t>: aikštyno nusidėvėjimas 203531,03 Eur, technikos nusidėvėjimas 3936,29 Eur ir aikštyno priežiūra 7600 Eur (dirbtinės dangos giluminis valymas ir šukavimas; granulių ir kvarcinio smėlio papildymo darbai; siurbliavimas; segmentinės tvoros remontas bei segmentų keitimas;  bėgimo takų tvarkymas; dangos kosmetinis remontas; sniego valymas)</w:t>
      </w:r>
      <w:r w:rsidR="00EA663A">
        <w:rPr>
          <w:rFonts w:eastAsia="Times New Roman"/>
          <w:szCs w:val="24"/>
        </w:rPr>
        <w:t>.</w:t>
      </w:r>
    </w:p>
    <w:p w:rsidR="006E3B8F" w:rsidRDefault="00EA663A" w:rsidP="00EE55E0">
      <w:pPr>
        <w:tabs>
          <w:tab w:val="left" w:pos="360"/>
        </w:tabs>
        <w:ind w:firstLine="709"/>
        <w:jc w:val="both"/>
        <w:rPr>
          <w:rFonts w:eastAsia="Times New Roman"/>
          <w:szCs w:val="24"/>
          <w:lang w:val="en-US"/>
        </w:rPr>
      </w:pPr>
      <w:r>
        <w:rPr>
          <w:rFonts w:eastAsia="Times New Roman"/>
          <w:szCs w:val="24"/>
          <w:lang w:val="en-US"/>
        </w:rPr>
        <w:t>**</w:t>
      </w:r>
      <w:r w:rsidRPr="00EA663A">
        <w:rPr>
          <w:rFonts w:eastAsia="Times New Roman"/>
          <w:szCs w:val="24"/>
          <w:lang w:val="en-US"/>
        </w:rPr>
        <w:t>Tai yra metinės pastato sąnaudos: pastato nusidėvėjimas 37344,72 (įsigyjimo vertė 3009368,23) ir pastato priežiūra 28800 eurų</w:t>
      </w:r>
      <w:r>
        <w:rPr>
          <w:rFonts w:eastAsia="Times New Roman"/>
          <w:szCs w:val="24"/>
          <w:lang w:val="en-US"/>
        </w:rPr>
        <w:t>.</w:t>
      </w:r>
    </w:p>
    <w:p w:rsidR="006B5919" w:rsidRPr="000F6A74" w:rsidRDefault="006B5919" w:rsidP="00D2436C">
      <w:pPr>
        <w:jc w:val="both"/>
        <w:rPr>
          <w:szCs w:val="24"/>
        </w:rPr>
      </w:pPr>
      <w:bookmarkStart w:id="1" w:name="_Hlk99447482"/>
      <w:r>
        <w:rPr>
          <w:rFonts w:eastAsia="Times New Roman"/>
          <w:szCs w:val="24"/>
        </w:rPr>
        <w:t>Šis sprendimo projektas papildomų biudžeto lėšų pareikal</w:t>
      </w:r>
      <w:r w:rsidR="00D2436C">
        <w:rPr>
          <w:rFonts w:eastAsia="Times New Roman"/>
          <w:szCs w:val="24"/>
        </w:rPr>
        <w:t>aus.</w:t>
      </w:r>
      <w:r w:rsidR="00D2436C" w:rsidRPr="00D2436C">
        <w:rPr>
          <w:color w:val="FF0000"/>
          <w:szCs w:val="24"/>
        </w:rPr>
        <w:t xml:space="preserve"> </w:t>
      </w:r>
      <w:r w:rsidR="00D2436C" w:rsidRPr="000F6A74">
        <w:rPr>
          <w:szCs w:val="24"/>
        </w:rPr>
        <w:t xml:space="preserve">Pritarus šiam sprendimo projektui, Kūno kultūros ir sporto plėtros programoje kasmet reikės numatyti biudžeto lėšų </w:t>
      </w:r>
      <w:r w:rsidR="001F34B1">
        <w:rPr>
          <w:szCs w:val="24"/>
        </w:rPr>
        <w:t xml:space="preserve">SBVC </w:t>
      </w:r>
      <w:r w:rsidR="00D2436C" w:rsidRPr="000F6A74">
        <w:rPr>
          <w:szCs w:val="24"/>
        </w:rPr>
        <w:t>negautoms pajamoms kompensuoti dėl paslaugų kainų 50 proc. sumažinimo iki einamųjų metų pabaigos.</w:t>
      </w:r>
      <w:r w:rsidR="00E55BE2" w:rsidRPr="000F6A74">
        <w:rPr>
          <w:szCs w:val="24"/>
        </w:rPr>
        <w:t xml:space="preserve"> </w:t>
      </w:r>
    </w:p>
    <w:bookmarkEnd w:id="1"/>
    <w:p w:rsidR="00203243" w:rsidRDefault="004E6605" w:rsidP="004E6605">
      <w:pPr>
        <w:pStyle w:val="Pagrindinistekstas"/>
        <w:ind w:firstLine="720"/>
        <w:rPr>
          <w:bCs/>
          <w:i w:val="0"/>
          <w:szCs w:val="24"/>
        </w:rPr>
      </w:pPr>
      <w:r w:rsidRPr="00045C0B">
        <w:rPr>
          <w:b/>
          <w:bCs/>
          <w:i w:val="0"/>
          <w:szCs w:val="24"/>
        </w:rPr>
        <w:t>8. Sprendimo projekto rengimo metu atlikti vertinimai ir išvados, konsultavimosi su visuomene metu gauti pasiūlymai ir jų motyvuotas vertinimas (atsižvelgta ar ne).</w:t>
      </w:r>
      <w:r w:rsidRPr="00045C0B">
        <w:rPr>
          <w:bCs/>
          <w:i w:val="0"/>
          <w:szCs w:val="24"/>
        </w:rPr>
        <w:t xml:space="preserve"> </w:t>
      </w:r>
    </w:p>
    <w:p w:rsidR="00042362" w:rsidRPr="00042362" w:rsidRDefault="00436EA1" w:rsidP="00042362">
      <w:pPr>
        <w:ind w:firstLine="709"/>
        <w:jc w:val="both"/>
        <w:rPr>
          <w:szCs w:val="24"/>
        </w:rPr>
      </w:pPr>
      <w:r>
        <w:rPr>
          <w:szCs w:val="24"/>
        </w:rPr>
        <w:t>SBVC</w:t>
      </w:r>
      <w:r w:rsidR="00BC10D2">
        <w:rPr>
          <w:szCs w:val="24"/>
        </w:rPr>
        <w:t xml:space="preserve"> </w:t>
      </w:r>
      <w:r w:rsidR="00052AA9">
        <w:rPr>
          <w:szCs w:val="24"/>
        </w:rPr>
        <w:t xml:space="preserve">pateikė </w:t>
      </w:r>
      <w:r>
        <w:rPr>
          <w:szCs w:val="24"/>
        </w:rPr>
        <w:t xml:space="preserve">sporto bazių atlygintinų paslaugų </w:t>
      </w:r>
      <w:r w:rsidR="00042362" w:rsidRPr="00042362">
        <w:rPr>
          <w:szCs w:val="24"/>
        </w:rPr>
        <w:t>kain</w:t>
      </w:r>
      <w:r w:rsidR="00BC10D2">
        <w:rPr>
          <w:szCs w:val="24"/>
        </w:rPr>
        <w:t>ų paskaičiavimą</w:t>
      </w:r>
      <w:r w:rsidR="00CF043A">
        <w:rPr>
          <w:szCs w:val="24"/>
        </w:rPr>
        <w:t xml:space="preserve"> kartu su </w:t>
      </w:r>
      <w:r w:rsidR="00042362" w:rsidRPr="00042362">
        <w:rPr>
          <w:szCs w:val="24"/>
        </w:rPr>
        <w:t>Planavimo ir analizės skyriu</w:t>
      </w:r>
      <w:r w:rsidR="00CF043A">
        <w:rPr>
          <w:szCs w:val="24"/>
        </w:rPr>
        <w:t>mi.</w:t>
      </w:r>
      <w:r w:rsidR="00095630">
        <w:rPr>
          <w:szCs w:val="24"/>
        </w:rPr>
        <w:t xml:space="preserve"> </w:t>
      </w:r>
      <w:r w:rsidR="00EC642A">
        <w:rPr>
          <w:szCs w:val="24"/>
        </w:rPr>
        <w:t>Su s</w:t>
      </w:r>
      <w:r w:rsidR="00095630">
        <w:rPr>
          <w:szCs w:val="24"/>
        </w:rPr>
        <w:t>prendimo projekt</w:t>
      </w:r>
      <w:r w:rsidR="00EC642A">
        <w:rPr>
          <w:szCs w:val="24"/>
        </w:rPr>
        <w:t>u</w:t>
      </w:r>
      <w:r w:rsidR="00095630">
        <w:rPr>
          <w:szCs w:val="24"/>
        </w:rPr>
        <w:t xml:space="preserve"> supažindinta Klaipėdos sporto taryba ir futbolo bendruomen</w:t>
      </w:r>
      <w:r w:rsidR="00EC642A">
        <w:rPr>
          <w:szCs w:val="24"/>
        </w:rPr>
        <w:t>ė.</w:t>
      </w:r>
    </w:p>
    <w:p w:rsidR="00203243" w:rsidRDefault="004E6605" w:rsidP="004E6605">
      <w:pPr>
        <w:jc w:val="both"/>
        <w:rPr>
          <w:b/>
          <w:bCs/>
          <w:szCs w:val="24"/>
        </w:rPr>
      </w:pPr>
      <w:r>
        <w:rPr>
          <w:b/>
          <w:bCs/>
          <w:szCs w:val="24"/>
        </w:rPr>
        <w:t xml:space="preserve">9. Sprendimo projekto autorius ar autorių grupė, sprendimo projekto iniciatoriai. </w:t>
      </w:r>
    </w:p>
    <w:p w:rsidR="004E6605" w:rsidRDefault="004E6605" w:rsidP="004E6605">
      <w:pPr>
        <w:jc w:val="both"/>
        <w:rPr>
          <w:szCs w:val="24"/>
        </w:rPr>
      </w:pPr>
      <w:r>
        <w:rPr>
          <w:bCs/>
          <w:szCs w:val="24"/>
        </w:rPr>
        <w:t xml:space="preserve">Sprendimo projektą inicijavo </w:t>
      </w:r>
      <w:r w:rsidR="00CF043A">
        <w:rPr>
          <w:bCs/>
          <w:szCs w:val="24"/>
        </w:rPr>
        <w:t xml:space="preserve">ir </w:t>
      </w:r>
      <w:r>
        <w:rPr>
          <w:bCs/>
          <w:szCs w:val="24"/>
        </w:rPr>
        <w:t xml:space="preserve">parengė </w:t>
      </w:r>
      <w:r w:rsidR="00D476EC">
        <w:rPr>
          <w:bCs/>
          <w:szCs w:val="24"/>
        </w:rPr>
        <w:t>Sporto</w:t>
      </w:r>
      <w:r w:rsidR="00032F78">
        <w:rPr>
          <w:bCs/>
          <w:szCs w:val="24"/>
        </w:rPr>
        <w:t xml:space="preserve"> skyrius.</w:t>
      </w:r>
    </w:p>
    <w:p w:rsidR="00203243" w:rsidRDefault="004E6605" w:rsidP="004E6605">
      <w:pPr>
        <w:jc w:val="both"/>
        <w:rPr>
          <w:b/>
          <w:szCs w:val="24"/>
        </w:rPr>
      </w:pPr>
      <w:r>
        <w:rPr>
          <w:b/>
          <w:szCs w:val="24"/>
        </w:rPr>
        <w:t xml:space="preserve">10. Kiti reikalingi pagrindimai ir paaiškinimai. </w:t>
      </w:r>
    </w:p>
    <w:p w:rsidR="00032F78" w:rsidRDefault="0011252B" w:rsidP="00435BCA">
      <w:pPr>
        <w:jc w:val="both"/>
        <w:rPr>
          <w:szCs w:val="24"/>
        </w:rPr>
      </w:pPr>
      <w:r w:rsidRPr="0011252B">
        <w:rPr>
          <w:szCs w:val="24"/>
        </w:rPr>
        <w:t>Nėra.</w:t>
      </w:r>
    </w:p>
    <w:p w:rsidR="00B6457A" w:rsidRDefault="00B6457A" w:rsidP="00203243">
      <w:pPr>
        <w:tabs>
          <w:tab w:val="left" w:pos="851"/>
        </w:tabs>
        <w:ind w:firstLine="0"/>
        <w:rPr>
          <w:szCs w:val="24"/>
        </w:rPr>
      </w:pPr>
    </w:p>
    <w:p w:rsidR="00032F78" w:rsidRPr="00032F78" w:rsidRDefault="009A6982" w:rsidP="00203243">
      <w:pPr>
        <w:tabs>
          <w:tab w:val="left" w:pos="851"/>
        </w:tabs>
        <w:ind w:firstLine="0"/>
        <w:rPr>
          <w:szCs w:val="24"/>
        </w:rPr>
      </w:pPr>
      <w:r>
        <w:rPr>
          <w:szCs w:val="24"/>
        </w:rPr>
        <w:t>Sporto skyriaus vedėja</w:t>
      </w:r>
      <w:r w:rsidR="008F4F9E">
        <w:rPr>
          <w:szCs w:val="24"/>
        </w:rPr>
        <w:t xml:space="preserve">                                    </w:t>
      </w:r>
      <w:r w:rsidR="00203243">
        <w:rPr>
          <w:szCs w:val="24"/>
        </w:rPr>
        <w:t xml:space="preserve">                    </w:t>
      </w:r>
      <w:r>
        <w:rPr>
          <w:szCs w:val="24"/>
        </w:rPr>
        <w:tab/>
      </w:r>
      <w:r>
        <w:rPr>
          <w:szCs w:val="24"/>
        </w:rPr>
        <w:tab/>
        <w:t>Rasa Rumšienė</w:t>
      </w:r>
    </w:p>
    <w:sectPr w:rsidR="00032F78" w:rsidRPr="00032F78" w:rsidSect="00DC42A8">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2A8" w:rsidRDefault="00DC42A8" w:rsidP="00DC42A8">
      <w:r>
        <w:separator/>
      </w:r>
    </w:p>
  </w:endnote>
  <w:endnote w:type="continuationSeparator" w:id="0">
    <w:p w:rsidR="00DC42A8" w:rsidRDefault="00DC42A8" w:rsidP="00DC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2A8" w:rsidRDefault="00DC42A8" w:rsidP="00DC42A8">
      <w:r>
        <w:separator/>
      </w:r>
    </w:p>
  </w:footnote>
  <w:footnote w:type="continuationSeparator" w:id="0">
    <w:p w:rsidR="00DC42A8" w:rsidRDefault="00DC42A8" w:rsidP="00DC4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262106"/>
      <w:docPartObj>
        <w:docPartGallery w:val="Page Numbers (Top of Page)"/>
        <w:docPartUnique/>
      </w:docPartObj>
    </w:sdtPr>
    <w:sdtEndPr/>
    <w:sdtContent>
      <w:p w:rsidR="00DC42A8" w:rsidRDefault="00DC42A8" w:rsidP="00DC42A8">
        <w:pPr>
          <w:pStyle w:val="Antrats"/>
          <w:ind w:firstLine="0"/>
          <w:jc w:val="center"/>
        </w:pPr>
        <w:r>
          <w:fldChar w:fldCharType="begin"/>
        </w:r>
        <w:r>
          <w:instrText>PAGE   \* MERGEFORMAT</w:instrText>
        </w:r>
        <w:r>
          <w:fldChar w:fldCharType="separate"/>
        </w:r>
        <w:r w:rsidR="00FB1715">
          <w:rPr>
            <w:noProof/>
          </w:rPr>
          <w:t>2</w:t>
        </w:r>
        <w:r>
          <w:fldChar w:fldCharType="end"/>
        </w:r>
      </w:p>
    </w:sdtContent>
  </w:sdt>
  <w:p w:rsidR="00DC42A8" w:rsidRDefault="00DC42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52120"/>
    <w:multiLevelType w:val="hybridMultilevel"/>
    <w:tmpl w:val="9F6EE606"/>
    <w:lvl w:ilvl="0" w:tplc="C296896C">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0B"/>
    <w:rsid w:val="00005D62"/>
    <w:rsid w:val="00032F78"/>
    <w:rsid w:val="00042362"/>
    <w:rsid w:val="00052AA9"/>
    <w:rsid w:val="00095630"/>
    <w:rsid w:val="000A22C2"/>
    <w:rsid w:val="000A27C2"/>
    <w:rsid w:val="000A6F13"/>
    <w:rsid w:val="000B08A1"/>
    <w:rsid w:val="000C3D4B"/>
    <w:rsid w:val="000C5649"/>
    <w:rsid w:val="000E73B5"/>
    <w:rsid w:val="000F6A74"/>
    <w:rsid w:val="0011252B"/>
    <w:rsid w:val="00121ADD"/>
    <w:rsid w:val="00124F3F"/>
    <w:rsid w:val="0013119B"/>
    <w:rsid w:val="001312C0"/>
    <w:rsid w:val="00131E08"/>
    <w:rsid w:val="0013648D"/>
    <w:rsid w:val="00151B76"/>
    <w:rsid w:val="00154D1D"/>
    <w:rsid w:val="00163091"/>
    <w:rsid w:val="0018134C"/>
    <w:rsid w:val="00193CDF"/>
    <w:rsid w:val="001C4D5E"/>
    <w:rsid w:val="001E2471"/>
    <w:rsid w:val="001F34B1"/>
    <w:rsid w:val="00203243"/>
    <w:rsid w:val="002111D3"/>
    <w:rsid w:val="002209C8"/>
    <w:rsid w:val="00222522"/>
    <w:rsid w:val="00224C7A"/>
    <w:rsid w:val="00230AE9"/>
    <w:rsid w:val="0025319B"/>
    <w:rsid w:val="002542F9"/>
    <w:rsid w:val="002813EA"/>
    <w:rsid w:val="00281F51"/>
    <w:rsid w:val="002967BD"/>
    <w:rsid w:val="002A2FEF"/>
    <w:rsid w:val="002A65C5"/>
    <w:rsid w:val="002E1C98"/>
    <w:rsid w:val="002F510F"/>
    <w:rsid w:val="003021A9"/>
    <w:rsid w:val="003135F1"/>
    <w:rsid w:val="00320E78"/>
    <w:rsid w:val="00332F6D"/>
    <w:rsid w:val="00335953"/>
    <w:rsid w:val="003703AC"/>
    <w:rsid w:val="00397EAC"/>
    <w:rsid w:val="003C397F"/>
    <w:rsid w:val="003F5388"/>
    <w:rsid w:val="0041489A"/>
    <w:rsid w:val="004270F3"/>
    <w:rsid w:val="004343A4"/>
    <w:rsid w:val="00435BCA"/>
    <w:rsid w:val="00436EA1"/>
    <w:rsid w:val="00450694"/>
    <w:rsid w:val="0045194E"/>
    <w:rsid w:val="00483434"/>
    <w:rsid w:val="004875C0"/>
    <w:rsid w:val="004E287C"/>
    <w:rsid w:val="004E6605"/>
    <w:rsid w:val="004F06E7"/>
    <w:rsid w:val="0057269A"/>
    <w:rsid w:val="005D6C1C"/>
    <w:rsid w:val="005F5F42"/>
    <w:rsid w:val="00634DE5"/>
    <w:rsid w:val="0063539A"/>
    <w:rsid w:val="006427A5"/>
    <w:rsid w:val="006647C4"/>
    <w:rsid w:val="00677829"/>
    <w:rsid w:val="0068002F"/>
    <w:rsid w:val="00685FF2"/>
    <w:rsid w:val="006B5919"/>
    <w:rsid w:val="006E3B8F"/>
    <w:rsid w:val="007259E4"/>
    <w:rsid w:val="00752BEB"/>
    <w:rsid w:val="00764BCE"/>
    <w:rsid w:val="00786D5F"/>
    <w:rsid w:val="00794136"/>
    <w:rsid w:val="007C6FD5"/>
    <w:rsid w:val="007E5BE1"/>
    <w:rsid w:val="007F6F71"/>
    <w:rsid w:val="00804387"/>
    <w:rsid w:val="0080507E"/>
    <w:rsid w:val="00806E05"/>
    <w:rsid w:val="008168D9"/>
    <w:rsid w:val="0082220D"/>
    <w:rsid w:val="00871482"/>
    <w:rsid w:val="00871784"/>
    <w:rsid w:val="00890F41"/>
    <w:rsid w:val="008955DD"/>
    <w:rsid w:val="00895DAF"/>
    <w:rsid w:val="008B43F2"/>
    <w:rsid w:val="008B7764"/>
    <w:rsid w:val="008C1E57"/>
    <w:rsid w:val="008D4923"/>
    <w:rsid w:val="008F4F9E"/>
    <w:rsid w:val="009233B2"/>
    <w:rsid w:val="00955BAD"/>
    <w:rsid w:val="00965D66"/>
    <w:rsid w:val="009A505E"/>
    <w:rsid w:val="009A6982"/>
    <w:rsid w:val="009B52A5"/>
    <w:rsid w:val="009C4CF9"/>
    <w:rsid w:val="009E5DDA"/>
    <w:rsid w:val="00A10B4F"/>
    <w:rsid w:val="00A25196"/>
    <w:rsid w:val="00A25352"/>
    <w:rsid w:val="00A372EE"/>
    <w:rsid w:val="00A60B58"/>
    <w:rsid w:val="00A62C85"/>
    <w:rsid w:val="00A91811"/>
    <w:rsid w:val="00AA0BF9"/>
    <w:rsid w:val="00AB2C8B"/>
    <w:rsid w:val="00AC3C4C"/>
    <w:rsid w:val="00AE1175"/>
    <w:rsid w:val="00AE70AE"/>
    <w:rsid w:val="00AF15C3"/>
    <w:rsid w:val="00B10BB5"/>
    <w:rsid w:val="00B50B0B"/>
    <w:rsid w:val="00B60172"/>
    <w:rsid w:val="00B61133"/>
    <w:rsid w:val="00B6457A"/>
    <w:rsid w:val="00B751DD"/>
    <w:rsid w:val="00BC10D2"/>
    <w:rsid w:val="00BC64C0"/>
    <w:rsid w:val="00BC6F8D"/>
    <w:rsid w:val="00BD59F4"/>
    <w:rsid w:val="00BD64EF"/>
    <w:rsid w:val="00C0064E"/>
    <w:rsid w:val="00C23616"/>
    <w:rsid w:val="00C52BF2"/>
    <w:rsid w:val="00C95094"/>
    <w:rsid w:val="00CB1F02"/>
    <w:rsid w:val="00CE5876"/>
    <w:rsid w:val="00CF043A"/>
    <w:rsid w:val="00CF6909"/>
    <w:rsid w:val="00D00184"/>
    <w:rsid w:val="00D072D5"/>
    <w:rsid w:val="00D128F1"/>
    <w:rsid w:val="00D16523"/>
    <w:rsid w:val="00D2201E"/>
    <w:rsid w:val="00D2436C"/>
    <w:rsid w:val="00D264B1"/>
    <w:rsid w:val="00D33180"/>
    <w:rsid w:val="00D476EC"/>
    <w:rsid w:val="00D63EF2"/>
    <w:rsid w:val="00D870BB"/>
    <w:rsid w:val="00D9707E"/>
    <w:rsid w:val="00DA7892"/>
    <w:rsid w:val="00DC42A8"/>
    <w:rsid w:val="00DE6338"/>
    <w:rsid w:val="00DF3F6D"/>
    <w:rsid w:val="00DF53B6"/>
    <w:rsid w:val="00E0516B"/>
    <w:rsid w:val="00E3176E"/>
    <w:rsid w:val="00E31A40"/>
    <w:rsid w:val="00E35642"/>
    <w:rsid w:val="00E40DDD"/>
    <w:rsid w:val="00E55BE2"/>
    <w:rsid w:val="00E72BC9"/>
    <w:rsid w:val="00E84502"/>
    <w:rsid w:val="00EA663A"/>
    <w:rsid w:val="00EC642A"/>
    <w:rsid w:val="00EE20DF"/>
    <w:rsid w:val="00EE55E0"/>
    <w:rsid w:val="00F240EF"/>
    <w:rsid w:val="00F267E4"/>
    <w:rsid w:val="00F30CFD"/>
    <w:rsid w:val="00F33C04"/>
    <w:rsid w:val="00F56394"/>
    <w:rsid w:val="00F56E1F"/>
    <w:rsid w:val="00F761C9"/>
    <w:rsid w:val="00F8623E"/>
    <w:rsid w:val="00FB1715"/>
    <w:rsid w:val="00FB64EF"/>
    <w:rsid w:val="00FB6B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798EB"/>
  <w15:chartTrackingRefBased/>
  <w15:docId w15:val="{8F4E920B-D302-4A11-9F8C-C0C9CA82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6605"/>
    <w:pPr>
      <w:spacing w:after="0" w:line="240" w:lineRule="auto"/>
      <w:ind w:firstLine="720"/>
    </w:pPr>
    <w:rPr>
      <w:rFonts w:ascii="Times New Roman" w:eastAsia="Calibri" w:hAnsi="Times New Roman" w:cs="Times New Roman"/>
      <w:sz w:val="24"/>
    </w:rPr>
  </w:style>
  <w:style w:type="paragraph" w:styleId="Antrat2">
    <w:name w:val="heading 2"/>
    <w:basedOn w:val="prastasis"/>
    <w:next w:val="prastasis"/>
    <w:link w:val="Antrat2Diagrama"/>
    <w:uiPriority w:val="9"/>
    <w:unhideWhenUsed/>
    <w:qFormat/>
    <w:rsid w:val="0087148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4E6605"/>
    <w:pPr>
      <w:overflowPunct w:val="0"/>
      <w:autoSpaceDE w:val="0"/>
      <w:autoSpaceDN w:val="0"/>
      <w:adjustRightInd w:val="0"/>
      <w:ind w:firstLine="0"/>
      <w:jc w:val="both"/>
      <w:textAlignment w:val="baseline"/>
    </w:pPr>
    <w:rPr>
      <w:i/>
      <w:iCs/>
      <w:szCs w:val="20"/>
    </w:rPr>
  </w:style>
  <w:style w:type="character" w:customStyle="1" w:styleId="PagrindinistekstasDiagrama">
    <w:name w:val="Pagrindinis tekstas Diagrama"/>
    <w:basedOn w:val="Numatytasispastraiposriftas"/>
    <w:link w:val="Pagrindinistekstas"/>
    <w:uiPriority w:val="99"/>
    <w:rsid w:val="004E6605"/>
    <w:rPr>
      <w:rFonts w:ascii="Times New Roman" w:eastAsia="Calibri" w:hAnsi="Times New Roman" w:cs="Times New Roman"/>
      <w:i/>
      <w:iCs/>
      <w:sz w:val="24"/>
      <w:szCs w:val="20"/>
    </w:rPr>
  </w:style>
  <w:style w:type="paragraph" w:styleId="Antrats">
    <w:name w:val="header"/>
    <w:basedOn w:val="prastasis"/>
    <w:link w:val="AntratsDiagrama"/>
    <w:uiPriority w:val="99"/>
    <w:unhideWhenUsed/>
    <w:rsid w:val="00DC42A8"/>
    <w:pPr>
      <w:tabs>
        <w:tab w:val="center" w:pos="4819"/>
        <w:tab w:val="right" w:pos="9638"/>
      </w:tabs>
    </w:pPr>
  </w:style>
  <w:style w:type="character" w:customStyle="1" w:styleId="AntratsDiagrama">
    <w:name w:val="Antraštės Diagrama"/>
    <w:basedOn w:val="Numatytasispastraiposriftas"/>
    <w:link w:val="Antrats"/>
    <w:uiPriority w:val="99"/>
    <w:rsid w:val="00DC42A8"/>
    <w:rPr>
      <w:rFonts w:ascii="Times New Roman" w:eastAsia="Calibri" w:hAnsi="Times New Roman" w:cs="Times New Roman"/>
      <w:sz w:val="24"/>
    </w:rPr>
  </w:style>
  <w:style w:type="paragraph" w:styleId="Porat">
    <w:name w:val="footer"/>
    <w:basedOn w:val="prastasis"/>
    <w:link w:val="PoratDiagrama"/>
    <w:uiPriority w:val="99"/>
    <w:unhideWhenUsed/>
    <w:rsid w:val="00DC42A8"/>
    <w:pPr>
      <w:tabs>
        <w:tab w:val="center" w:pos="4819"/>
        <w:tab w:val="right" w:pos="9638"/>
      </w:tabs>
    </w:pPr>
  </w:style>
  <w:style w:type="character" w:customStyle="1" w:styleId="PoratDiagrama">
    <w:name w:val="Poraštė Diagrama"/>
    <w:basedOn w:val="Numatytasispastraiposriftas"/>
    <w:link w:val="Porat"/>
    <w:uiPriority w:val="99"/>
    <w:rsid w:val="00DC42A8"/>
    <w:rPr>
      <w:rFonts w:ascii="Times New Roman" w:eastAsia="Calibri" w:hAnsi="Times New Roman" w:cs="Times New Roman"/>
      <w:sz w:val="24"/>
    </w:rPr>
  </w:style>
  <w:style w:type="character" w:customStyle="1" w:styleId="Antrat2Diagrama">
    <w:name w:val="Antraštė 2 Diagrama"/>
    <w:basedOn w:val="Numatytasispastraiposriftas"/>
    <w:link w:val="Antrat2"/>
    <w:uiPriority w:val="9"/>
    <w:rsid w:val="00871482"/>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9E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4836">
      <w:bodyDiv w:val="1"/>
      <w:marLeft w:val="0"/>
      <w:marRight w:val="0"/>
      <w:marTop w:val="0"/>
      <w:marBottom w:val="0"/>
      <w:divBdr>
        <w:top w:val="none" w:sz="0" w:space="0" w:color="auto"/>
        <w:left w:val="none" w:sz="0" w:space="0" w:color="auto"/>
        <w:bottom w:val="none" w:sz="0" w:space="0" w:color="auto"/>
        <w:right w:val="none" w:sz="0" w:space="0" w:color="auto"/>
      </w:divBdr>
    </w:div>
    <w:div w:id="361130980">
      <w:bodyDiv w:val="1"/>
      <w:marLeft w:val="0"/>
      <w:marRight w:val="0"/>
      <w:marTop w:val="0"/>
      <w:marBottom w:val="0"/>
      <w:divBdr>
        <w:top w:val="none" w:sz="0" w:space="0" w:color="auto"/>
        <w:left w:val="none" w:sz="0" w:space="0" w:color="auto"/>
        <w:bottom w:val="none" w:sz="0" w:space="0" w:color="auto"/>
        <w:right w:val="none" w:sz="0" w:space="0" w:color="auto"/>
      </w:divBdr>
    </w:div>
    <w:div w:id="118004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4436</Words>
  <Characters>2530</Characters>
  <Application>Microsoft Office Word</Application>
  <DocSecurity>4</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Prižgintienė</dc:creator>
  <cp:lastModifiedBy>Deimante Buteniene</cp:lastModifiedBy>
  <cp:revision>2</cp:revision>
  <dcterms:created xsi:type="dcterms:W3CDTF">2022-03-31T11:47:00Z</dcterms:created>
  <dcterms:modified xsi:type="dcterms:W3CDTF">2022-03-31T11:47:00Z</dcterms:modified>
</cp:coreProperties>
</file>