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049" w:rsidRDefault="00992049" w:rsidP="00992049">
      <w:pPr>
        <w:spacing w:after="0"/>
        <w:jc w:val="center"/>
        <w:rPr>
          <w:rFonts w:ascii="Times New Roman" w:hAnsi="Times New Roman" w:cs="Times New Roman"/>
          <w:b/>
          <w:color w:val="000000"/>
          <w:sz w:val="24"/>
          <w:szCs w:val="24"/>
          <w:shd w:val="clear" w:color="auto" w:fill="FFFFFF"/>
        </w:rPr>
      </w:pPr>
      <w:r w:rsidRPr="00C81608">
        <w:rPr>
          <w:rFonts w:ascii="Times New Roman" w:hAnsi="Times New Roman" w:cs="Times New Roman"/>
          <w:b/>
          <w:color w:val="000000"/>
          <w:sz w:val="24"/>
          <w:szCs w:val="24"/>
          <w:shd w:val="clear" w:color="auto" w:fill="FFFFFF"/>
        </w:rPr>
        <w:t xml:space="preserve">Sprendimas </w:t>
      </w:r>
    </w:p>
    <w:p w:rsidR="00F70B88" w:rsidRPr="00C81608" w:rsidRDefault="00F70B88" w:rsidP="00992049">
      <w:pPr>
        <w:spacing w:after="0"/>
        <w:jc w:val="center"/>
        <w:rPr>
          <w:rFonts w:ascii="Times New Roman" w:hAnsi="Times New Roman" w:cs="Times New Roman"/>
          <w:b/>
          <w:sz w:val="24"/>
          <w:szCs w:val="24"/>
        </w:rPr>
      </w:pPr>
    </w:p>
    <w:p w:rsidR="00C56F13" w:rsidRDefault="00992049" w:rsidP="00C802EC">
      <w:pPr>
        <w:spacing w:after="0"/>
        <w:jc w:val="both"/>
        <w:rPr>
          <w:rFonts w:ascii="Times New Roman" w:hAnsi="Times New Roman" w:cs="Times New Roman"/>
          <w:color w:val="000000"/>
          <w:sz w:val="24"/>
          <w:szCs w:val="24"/>
          <w:shd w:val="clear" w:color="auto" w:fill="FFFFFF"/>
        </w:rPr>
      </w:pPr>
      <w:r w:rsidRPr="00C81608">
        <w:rPr>
          <w:rFonts w:ascii="Times New Roman" w:hAnsi="Times New Roman" w:cs="Times New Roman"/>
          <w:sz w:val="24"/>
          <w:szCs w:val="24"/>
        </w:rPr>
        <w:t>D</w:t>
      </w:r>
      <w:r w:rsidR="0038563D" w:rsidRPr="00C81608">
        <w:rPr>
          <w:rFonts w:ascii="Times New Roman" w:hAnsi="Times New Roman" w:cs="Times New Roman"/>
          <w:sz w:val="24"/>
          <w:szCs w:val="24"/>
        </w:rPr>
        <w:t xml:space="preserve">ėl </w:t>
      </w:r>
      <w:r w:rsidR="00E95836" w:rsidRPr="00E95836">
        <w:rPr>
          <w:rFonts w:ascii="Times New Roman" w:hAnsi="Times New Roman" w:cs="Times New Roman"/>
          <w:b/>
          <w:sz w:val="24"/>
          <w:szCs w:val="24"/>
        </w:rPr>
        <w:t>Danės g. ruožo nuo Laivų skg. iki Artojo g., Artojo g. ruožo  nuo Danės g.  iki  Artojo g. ir Liepų g. sankryžos (įskaitant visą sankryžos mazgą ir jos prieigas) rekonstravimo ir dviračio tako nuo Danės g. iki Liepų g. įrengimo projektavimo ir projekto</w:t>
      </w:r>
      <w:r w:rsidR="00F70B88" w:rsidRPr="00F70B88">
        <w:rPr>
          <w:rFonts w:ascii="Times New Roman" w:hAnsi="Times New Roman" w:cs="Times New Roman"/>
          <w:b/>
          <w:sz w:val="24"/>
          <w:szCs w:val="24"/>
        </w:rPr>
        <w:t xml:space="preserve"> vykdymo priežiūros paslaugų pirkimo </w:t>
      </w:r>
      <w:r w:rsidR="00C81608" w:rsidRPr="00C81608">
        <w:rPr>
          <w:rFonts w:ascii="Times New Roman" w:hAnsi="Times New Roman" w:cs="Times New Roman"/>
          <w:sz w:val="24"/>
          <w:szCs w:val="24"/>
        </w:rPr>
        <w:t>atviro konkurso būdu</w:t>
      </w:r>
      <w:r w:rsidR="00C81608" w:rsidRPr="00C81608">
        <w:rPr>
          <w:rFonts w:ascii="Times New Roman" w:hAnsi="Times New Roman" w:cs="Times New Roman"/>
          <w:i/>
          <w:sz w:val="24"/>
          <w:szCs w:val="24"/>
        </w:rPr>
        <w:t xml:space="preserve"> </w:t>
      </w:r>
      <w:r w:rsidRPr="00C81608">
        <w:rPr>
          <w:rFonts w:ascii="Times New Roman" w:hAnsi="Times New Roman" w:cs="Times New Roman"/>
          <w:color w:val="000000"/>
          <w:sz w:val="24"/>
          <w:szCs w:val="24"/>
          <w:shd w:val="clear" w:color="auto" w:fill="FFFFFF"/>
        </w:rPr>
        <w:t>nevykdymo naudojantis centrinės perkančiosios organizacijos paslaugomis</w:t>
      </w:r>
    </w:p>
    <w:tbl>
      <w:tblPr>
        <w:tblW w:w="1040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
        <w:gridCol w:w="604"/>
        <w:gridCol w:w="3494"/>
        <w:gridCol w:w="5964"/>
      </w:tblGrid>
      <w:tr w:rsidR="00E95836" w:rsidRPr="003A7861" w:rsidTr="009B43D1">
        <w:trPr>
          <w:cantSplit/>
          <w:trHeight w:val="657"/>
        </w:trPr>
        <w:tc>
          <w:tcPr>
            <w:tcW w:w="346" w:type="dxa"/>
            <w:tcBorders>
              <w:top w:val="nil"/>
              <w:left w:val="single" w:sz="4" w:space="0" w:color="auto"/>
              <w:bottom w:val="nil"/>
              <w:right w:val="single" w:sz="4" w:space="0" w:color="auto"/>
            </w:tcBorders>
          </w:tcPr>
          <w:p w:rsidR="00E95836" w:rsidRPr="00A3281F" w:rsidRDefault="00E95836" w:rsidP="009B43D1"/>
        </w:tc>
        <w:tc>
          <w:tcPr>
            <w:tcW w:w="604" w:type="dxa"/>
            <w:tcBorders>
              <w:top w:val="single" w:sz="4" w:space="0" w:color="auto"/>
              <w:left w:val="single" w:sz="4" w:space="0" w:color="auto"/>
              <w:bottom w:val="single" w:sz="4" w:space="0" w:color="auto"/>
              <w:right w:val="single" w:sz="4" w:space="0" w:color="auto"/>
            </w:tcBorders>
            <w:vAlign w:val="center"/>
          </w:tcPr>
          <w:p w:rsidR="00E95836" w:rsidRPr="00A3281F" w:rsidRDefault="00E95836" w:rsidP="009B43D1">
            <w:r w:rsidRPr="00A3281F">
              <w:t>2.</w:t>
            </w:r>
            <w:r>
              <w:t>4</w:t>
            </w:r>
            <w:r w:rsidRPr="00A3281F">
              <w:t>.</w:t>
            </w:r>
          </w:p>
        </w:tc>
        <w:tc>
          <w:tcPr>
            <w:tcW w:w="3494" w:type="dxa"/>
            <w:tcBorders>
              <w:top w:val="single" w:sz="4" w:space="0" w:color="auto"/>
              <w:left w:val="single" w:sz="4" w:space="0" w:color="auto"/>
              <w:bottom w:val="single" w:sz="4" w:space="0" w:color="auto"/>
              <w:right w:val="single" w:sz="4" w:space="0" w:color="auto"/>
            </w:tcBorders>
            <w:vAlign w:val="center"/>
          </w:tcPr>
          <w:p w:rsidR="00E95836" w:rsidRDefault="00E95836" w:rsidP="009B43D1">
            <w:r w:rsidRPr="00A3281F">
              <w:t>Ar pirkimas bus atliekamas per centrinę perkančiąją organizaciją (CPO</w:t>
            </w:r>
            <w:r>
              <w:t xml:space="preserve"> LT</w:t>
            </w:r>
            <w:r w:rsidRPr="00A3281F">
              <w:t>)</w:t>
            </w:r>
            <w:r>
              <w:t>*</w:t>
            </w:r>
          </w:p>
          <w:p w:rsidR="00E95836" w:rsidRDefault="00E95836" w:rsidP="009B43D1"/>
          <w:p w:rsidR="00E95836" w:rsidRDefault="00E95836" w:rsidP="009B43D1"/>
          <w:p w:rsidR="00E95836" w:rsidRPr="002664BE" w:rsidRDefault="00E95836" w:rsidP="009B43D1">
            <w:pPr>
              <w:jc w:val="both"/>
              <w:rPr>
                <w:i/>
                <w:sz w:val="20"/>
                <w:szCs w:val="20"/>
              </w:rPr>
            </w:pPr>
            <w:r w:rsidRPr="007D7D4B">
              <w:rPr>
                <w:i/>
                <w:sz w:val="20"/>
                <w:szCs w:val="20"/>
              </w:rPr>
              <w:t>*</w:t>
            </w:r>
            <w:r w:rsidRPr="007D7D4B">
              <w:rPr>
                <w:i/>
                <w:color w:val="000000"/>
                <w:sz w:val="20"/>
                <w:szCs w:val="20"/>
                <w:shd w:val="clear" w:color="auto" w:fill="FFFFFF"/>
              </w:rPr>
              <w:t>Vadovaujantis Viešųjų pirkimų įstatymo 25 str. 2 d. pirkimas per CPO LT gali būti neatliekamas, kai numatoma pirkimo sutarties vertė yra mažesnė</w:t>
            </w:r>
            <w:r>
              <w:rPr>
                <w:i/>
                <w:color w:val="000000"/>
                <w:sz w:val="20"/>
                <w:szCs w:val="20"/>
                <w:shd w:val="clear" w:color="auto" w:fill="FFFFFF"/>
              </w:rPr>
              <w:t xml:space="preserve"> kaip</w:t>
            </w:r>
            <w:r w:rsidRPr="007D7D4B">
              <w:rPr>
                <w:i/>
                <w:color w:val="000000"/>
                <w:sz w:val="20"/>
                <w:szCs w:val="20"/>
                <w:shd w:val="clear" w:color="auto" w:fill="FFFFFF"/>
              </w:rPr>
              <w:t xml:space="preserve"> 10 000 eurų be PVM</w:t>
            </w:r>
          </w:p>
        </w:tc>
        <w:tc>
          <w:tcPr>
            <w:tcW w:w="5964" w:type="dxa"/>
            <w:tcBorders>
              <w:top w:val="single" w:sz="4" w:space="0" w:color="auto"/>
              <w:left w:val="single" w:sz="4" w:space="0" w:color="auto"/>
              <w:bottom w:val="single" w:sz="4" w:space="0" w:color="auto"/>
              <w:right w:val="single" w:sz="4" w:space="0" w:color="auto"/>
            </w:tcBorders>
            <w:shd w:val="clear" w:color="auto" w:fill="auto"/>
          </w:tcPr>
          <w:p w:rsidR="00E95836" w:rsidRDefault="00E95836" w:rsidP="009B43D1">
            <w:pPr>
              <w:jc w:val="both"/>
              <w:rPr>
                <w:b/>
              </w:rPr>
            </w:pPr>
            <w:r w:rsidRPr="00706818">
              <w:rPr>
                <w:b/>
                <w:iCs/>
              </w:rPr>
              <w:t>Ne.</w:t>
            </w:r>
            <w:r>
              <w:rPr>
                <w:b/>
                <w:i/>
                <w:iCs/>
              </w:rPr>
              <w:t xml:space="preserve"> </w:t>
            </w:r>
            <w:r w:rsidRPr="00483A4B">
              <w:rPr>
                <w:b/>
              </w:rPr>
              <w:t xml:space="preserve">Šį pirkimą norime vykdyti per Centrinę viešųjų pirkimų informacinę sistemą (toliau CVP IS), o ne per Centrinę perkančią </w:t>
            </w:r>
            <w:r w:rsidRPr="00514683">
              <w:rPr>
                <w:b/>
              </w:rPr>
              <w:t>organizaciją (toliau – CPO) dėl šių priežasčių</w:t>
            </w:r>
            <w:r>
              <w:rPr>
                <w:b/>
              </w:rPr>
              <w:t>:</w:t>
            </w:r>
          </w:p>
          <w:p w:rsidR="00E95836" w:rsidRPr="00EC5DBD" w:rsidRDefault="00E95836" w:rsidP="009B43D1">
            <w:pPr>
              <w:jc w:val="both"/>
              <w:rPr>
                <w:b/>
              </w:rPr>
            </w:pPr>
            <w:r w:rsidRPr="000A222F">
              <w:rPr>
                <w:b/>
                <w:i/>
                <w:iCs/>
              </w:rPr>
              <w:t>Vertinimo kriterijus: kainos (sąnaudų) ir kokybės santykis.</w:t>
            </w:r>
          </w:p>
          <w:p w:rsidR="00E95836" w:rsidRDefault="00E95836" w:rsidP="009B43D1">
            <w:pPr>
              <w:jc w:val="both"/>
              <w:rPr>
                <w:i/>
                <w:iCs/>
              </w:rPr>
            </w:pPr>
          </w:p>
          <w:p w:rsidR="00E95836" w:rsidRPr="00752FFA" w:rsidRDefault="00E95836" w:rsidP="009B43D1">
            <w:pPr>
              <w:jc w:val="both"/>
              <w:rPr>
                <w:b/>
                <w:bCs/>
                <w:i/>
                <w:iCs/>
              </w:rPr>
            </w:pPr>
            <w:r>
              <w:rPr>
                <w:i/>
                <w:iCs/>
              </w:rPr>
              <w:t>(</w:t>
            </w:r>
            <w:r w:rsidRPr="00752FFA">
              <w:rPr>
                <w:i/>
                <w:iCs/>
              </w:rPr>
              <w:t xml:space="preserve">1. Jei taip, nurodoma </w:t>
            </w:r>
            <w:r w:rsidRPr="00752FFA">
              <w:rPr>
                <w:b/>
                <w:bCs/>
                <w:i/>
                <w:iCs/>
              </w:rPr>
              <w:t>„Taip“</w:t>
            </w:r>
            <w:r w:rsidRPr="00920FF6">
              <w:rPr>
                <w:bCs/>
                <w:i/>
                <w:iCs/>
              </w:rPr>
              <w:t>;</w:t>
            </w:r>
          </w:p>
          <w:p w:rsidR="00E95836" w:rsidRPr="00752FFA" w:rsidRDefault="00E95836" w:rsidP="009B43D1">
            <w:pPr>
              <w:jc w:val="both"/>
              <w:rPr>
                <w:i/>
                <w:iCs/>
              </w:rPr>
            </w:pPr>
            <w:r w:rsidRPr="00752FFA">
              <w:rPr>
                <w:i/>
                <w:iCs/>
              </w:rPr>
              <w:t>2. Jei pirkimas nebus atliekamas per CPO</w:t>
            </w:r>
            <w:r>
              <w:rPr>
                <w:i/>
                <w:iCs/>
              </w:rPr>
              <w:t xml:space="preserve"> LT</w:t>
            </w:r>
            <w:r w:rsidRPr="00752FFA">
              <w:rPr>
                <w:i/>
                <w:iCs/>
              </w:rPr>
              <w:t xml:space="preserve">, nes pirkimo objekto nėra CPO </w:t>
            </w:r>
            <w:r>
              <w:rPr>
                <w:i/>
                <w:iCs/>
              </w:rPr>
              <w:t xml:space="preserve">LT </w:t>
            </w:r>
            <w:r w:rsidRPr="00752FFA">
              <w:rPr>
                <w:i/>
                <w:iCs/>
              </w:rPr>
              <w:t xml:space="preserve">kataloge – tai turi būti nurodyta paraiškoje: </w:t>
            </w:r>
            <w:r w:rsidRPr="007E2747">
              <w:rPr>
                <w:b/>
                <w:i/>
                <w:iCs/>
                <w:color w:val="000000" w:themeColor="text1"/>
              </w:rPr>
              <w:t>„</w:t>
            </w:r>
            <w:r w:rsidRPr="007E2747">
              <w:rPr>
                <w:b/>
                <w:bCs/>
                <w:i/>
                <w:iCs/>
                <w:color w:val="000000" w:themeColor="text1"/>
              </w:rPr>
              <w:t xml:space="preserve">Ne, patikrinta CPO </w:t>
            </w:r>
            <w:r>
              <w:rPr>
                <w:b/>
                <w:bCs/>
                <w:i/>
                <w:iCs/>
                <w:color w:val="000000" w:themeColor="text1"/>
              </w:rPr>
              <w:t xml:space="preserve">LT </w:t>
            </w:r>
            <w:r w:rsidRPr="007E2747">
              <w:rPr>
                <w:b/>
                <w:bCs/>
                <w:i/>
                <w:iCs/>
                <w:color w:val="000000" w:themeColor="text1"/>
              </w:rPr>
              <w:t>kataloge (</w:t>
            </w:r>
            <w:hyperlink r:id="rId5" w:history="1">
              <w:r w:rsidRPr="007E2747">
                <w:rPr>
                  <w:rStyle w:val="Hipersaitas"/>
                  <w:i/>
                  <w:iCs/>
                  <w:color w:val="000000" w:themeColor="text1"/>
                </w:rPr>
                <w:t>2007.cpo.lt - Katalogas</w:t>
              </w:r>
            </w:hyperlink>
            <w:r w:rsidRPr="007E2747">
              <w:rPr>
                <w:i/>
                <w:iCs/>
                <w:color w:val="000000" w:themeColor="text1"/>
              </w:rPr>
              <w:t>)</w:t>
            </w:r>
            <w:r w:rsidRPr="007E2747">
              <w:rPr>
                <w:b/>
                <w:bCs/>
                <w:i/>
                <w:iCs/>
                <w:color w:val="000000" w:themeColor="text1"/>
              </w:rPr>
              <w:t>, jame pirkimo objekto nėra“</w:t>
            </w:r>
            <w:r w:rsidRPr="007E2747">
              <w:rPr>
                <w:i/>
                <w:iCs/>
                <w:color w:val="000000" w:themeColor="text1"/>
              </w:rPr>
              <w:t>;</w:t>
            </w:r>
          </w:p>
          <w:p w:rsidR="00E95836" w:rsidRPr="003A7861" w:rsidRDefault="00E95836" w:rsidP="009B43D1">
            <w:pPr>
              <w:rPr>
                <w:b/>
                <w:bCs/>
                <w:i/>
                <w:iCs/>
              </w:rPr>
            </w:pPr>
            <w:r w:rsidRPr="00752FFA">
              <w:rPr>
                <w:i/>
                <w:iCs/>
              </w:rPr>
              <w:t xml:space="preserve">3. Jei pirkimo objektas yra CPO </w:t>
            </w:r>
            <w:r>
              <w:rPr>
                <w:i/>
                <w:iCs/>
              </w:rPr>
              <w:t xml:space="preserve">LT </w:t>
            </w:r>
            <w:r w:rsidRPr="00752FFA">
              <w:rPr>
                <w:i/>
                <w:iCs/>
              </w:rPr>
              <w:t xml:space="preserve">kataloge, tačiau nenumatoma pirkti iš CPO </w:t>
            </w:r>
            <w:r>
              <w:rPr>
                <w:i/>
                <w:iCs/>
              </w:rPr>
              <w:t xml:space="preserve">LT </w:t>
            </w:r>
            <w:r w:rsidRPr="00752FFA">
              <w:rPr>
                <w:i/>
                <w:iCs/>
              </w:rPr>
              <w:t xml:space="preserve">ar per ją, </w:t>
            </w:r>
            <w:r w:rsidRPr="00752FFA">
              <w:rPr>
                <w:b/>
                <w:bCs/>
                <w:i/>
                <w:iCs/>
              </w:rPr>
              <w:t xml:space="preserve">privaloma motyvuoti siūlymą neatlikti prekių, paslaugų ar darbų pirkimo iš CPO </w:t>
            </w:r>
            <w:r>
              <w:rPr>
                <w:b/>
                <w:bCs/>
                <w:i/>
                <w:iCs/>
              </w:rPr>
              <w:t xml:space="preserve">LT </w:t>
            </w:r>
            <w:r w:rsidRPr="00752FFA">
              <w:rPr>
                <w:b/>
                <w:bCs/>
                <w:i/>
                <w:iCs/>
              </w:rPr>
              <w:t>ar per ją</w:t>
            </w:r>
            <w:r w:rsidRPr="00752FFA">
              <w:rPr>
                <w:i/>
                <w:iCs/>
              </w:rPr>
              <w:t>)</w:t>
            </w:r>
            <w:r>
              <w:rPr>
                <w:i/>
                <w:iCs/>
              </w:rPr>
              <w:t>.</w:t>
            </w:r>
          </w:p>
        </w:tc>
      </w:tr>
    </w:tbl>
    <w:p w:rsidR="00CF075C" w:rsidRPr="00E33A05" w:rsidRDefault="00CF075C" w:rsidP="00C802EC">
      <w:pPr>
        <w:spacing w:after="0"/>
        <w:jc w:val="both"/>
        <w:rPr>
          <w:rFonts w:ascii="Times New Roman" w:hAnsi="Times New Roman" w:cs="Times New Roman"/>
          <w:i/>
          <w:sz w:val="24"/>
          <w:szCs w:val="24"/>
        </w:rPr>
      </w:pPr>
      <w:bookmarkStart w:id="0" w:name="_GoBack"/>
      <w:bookmarkEnd w:id="0"/>
    </w:p>
    <w:p w:rsidR="0038563D" w:rsidRPr="00C81608" w:rsidRDefault="0038563D" w:rsidP="00E33A05">
      <w:pPr>
        <w:jc w:val="center"/>
        <w:rPr>
          <w:sz w:val="24"/>
          <w:szCs w:val="24"/>
        </w:rPr>
      </w:pPr>
    </w:p>
    <w:sectPr w:rsidR="0038563D" w:rsidRPr="00C81608" w:rsidSect="00C81608">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A2A4F"/>
    <w:multiLevelType w:val="hybridMultilevel"/>
    <w:tmpl w:val="35381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4E4C2A"/>
    <w:multiLevelType w:val="hybridMultilevel"/>
    <w:tmpl w:val="AF7A7A2A"/>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3D"/>
    <w:rsid w:val="000A0025"/>
    <w:rsid w:val="0038563D"/>
    <w:rsid w:val="00526F48"/>
    <w:rsid w:val="005A5292"/>
    <w:rsid w:val="007F6C05"/>
    <w:rsid w:val="00992049"/>
    <w:rsid w:val="00C56F13"/>
    <w:rsid w:val="00C802EC"/>
    <w:rsid w:val="00C81608"/>
    <w:rsid w:val="00CF075C"/>
    <w:rsid w:val="00E33A05"/>
    <w:rsid w:val="00E95836"/>
    <w:rsid w:val="00F6671E"/>
    <w:rsid w:val="00F66D50"/>
    <w:rsid w:val="00F70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868AC"/>
  <w15:chartTrackingRefBased/>
  <w15:docId w15:val="{3912DCE1-9E2B-4E99-84D2-828D05F3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Sąrašo pastraipa1,List Paragraph,List Paragraph12"/>
    <w:basedOn w:val="prastasis"/>
    <w:link w:val="SraopastraipaDiagrama"/>
    <w:uiPriority w:val="99"/>
    <w:qFormat/>
    <w:rsid w:val="0038563D"/>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99"/>
    <w:locked/>
    <w:rsid w:val="0038563D"/>
  </w:style>
  <w:style w:type="character" w:styleId="Hipersaitas">
    <w:name w:val="Hyperlink"/>
    <w:basedOn w:val="Numatytasispastraiposriftas"/>
    <w:rsid w:val="00E33A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45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2007.cpo.lt/katalog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866</Words>
  <Characters>495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Marcinkeviciene</dc:creator>
  <cp:keywords/>
  <dc:description/>
  <cp:lastModifiedBy>Aurelija Umantaite</cp:lastModifiedBy>
  <cp:revision>12</cp:revision>
  <dcterms:created xsi:type="dcterms:W3CDTF">2019-12-16T14:02:00Z</dcterms:created>
  <dcterms:modified xsi:type="dcterms:W3CDTF">2022-03-29T13:38:00Z</dcterms:modified>
</cp:coreProperties>
</file>