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C7ADC4D"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30623C2F" w14:textId="77777777" w:rsidR="00676E45" w:rsidRDefault="00676E45">
      <w:pPr>
        <w:jc w:val="center"/>
      </w:pPr>
    </w:p>
    <w:p w14:paraId="43AB921E" w14:textId="77777777" w:rsidR="00676E45" w:rsidRDefault="00BE0EF1">
      <w:pPr>
        <w:jc w:val="center"/>
      </w:pPr>
      <w:r>
        <w:rPr>
          <w:noProof/>
        </w:rPr>
        <w:drawing>
          <wp:inline distT="0" distB="0" distL="0" distR="0" wp14:anchorId="6770B3F5" wp14:editId="69B4A687">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281167D6" w14:textId="77777777" w:rsidR="00676E45" w:rsidRDefault="00676E45">
      <w:pPr>
        <w:jc w:val="center"/>
        <w:rPr>
          <w:b/>
        </w:rPr>
      </w:pPr>
      <w:r>
        <w:rPr>
          <w:b/>
        </w:rPr>
        <w:t>LIETUVOS RESPUBLIKOS FINANSŲ MINISTERIJA</w:t>
      </w:r>
    </w:p>
    <w:p w14:paraId="3EC9358A" w14:textId="77777777" w:rsidR="00676E45" w:rsidRDefault="00676E45">
      <w:pPr>
        <w:jc w:val="center"/>
      </w:pPr>
    </w:p>
    <w:p w14:paraId="4817BCD5" w14:textId="77777777" w:rsidR="00676E45" w:rsidRDefault="00676E45">
      <w:pPr>
        <w:jc w:val="center"/>
      </w:pPr>
    </w:p>
    <w:p w14:paraId="51B41F14" w14:textId="77777777" w:rsidR="00676E45" w:rsidRDefault="00676E45">
      <w:pPr>
        <w:jc w:val="center"/>
      </w:pPr>
    </w:p>
    <w:p w14:paraId="06192B18"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14567" w:type="dxa"/>
        <w:tblLayout w:type="fixed"/>
        <w:tblLook w:val="0000" w:firstRow="0" w:lastRow="0" w:firstColumn="0" w:lastColumn="0" w:noHBand="0" w:noVBand="0"/>
      </w:tblPr>
      <w:tblGrid>
        <w:gridCol w:w="9747"/>
        <w:gridCol w:w="4820"/>
      </w:tblGrid>
      <w:tr w:rsidR="00691BDF" w14:paraId="694F69B3" w14:textId="77777777" w:rsidTr="00BC348A">
        <w:trPr>
          <w:gridAfter w:val="1"/>
          <w:wAfter w:w="4820" w:type="dxa"/>
        </w:trPr>
        <w:tc>
          <w:tcPr>
            <w:tcW w:w="9747" w:type="dxa"/>
          </w:tcPr>
          <w:p w14:paraId="556A3EC9" w14:textId="06344240" w:rsidR="00691BDF" w:rsidRDefault="00691BDF" w:rsidP="006611E2">
            <w:pPr>
              <w:spacing w:line="276" w:lineRule="auto"/>
            </w:pPr>
            <w:permStart w:id="495521706" w:edGrp="everyone"/>
            <w:r>
              <w:t>Klaipėdos miesto savivaldybei</w:t>
            </w:r>
            <w:r w:rsidR="00BC348A">
              <w:t xml:space="preserve">                                              Į 2021-11-04 Nr.</w:t>
            </w:r>
            <w:r w:rsidR="00BC348A" w:rsidRPr="00691BDF">
              <w:rPr>
                <w:color w:val="000000"/>
                <w:szCs w:val="24"/>
              </w:rPr>
              <w:t xml:space="preserve"> (4.19E)-R2-2829</w:t>
            </w:r>
          </w:p>
          <w:p w14:paraId="4E9764F8" w14:textId="77777777" w:rsidR="00691BDF" w:rsidRDefault="00691BDF"/>
        </w:tc>
      </w:tr>
      <w:tr w:rsidR="00691BDF" w:rsidRPr="00B62CC5" w14:paraId="587BB695" w14:textId="77777777" w:rsidTr="00BC348A">
        <w:trPr>
          <w:cantSplit/>
          <w:trHeight w:val="629"/>
        </w:trPr>
        <w:tc>
          <w:tcPr>
            <w:tcW w:w="14567" w:type="dxa"/>
            <w:gridSpan w:val="2"/>
          </w:tcPr>
          <w:p w14:paraId="259CE558" w14:textId="2A0D8F1C" w:rsidR="00691BDF" w:rsidRDefault="00BC348A" w:rsidP="00333D7A">
            <w:pPr>
              <w:jc w:val="both"/>
              <w:rPr>
                <w:b/>
                <w:szCs w:val="24"/>
              </w:rPr>
            </w:pPr>
            <w:r>
              <w:rPr>
                <w:b/>
                <w:bCs/>
                <w:caps/>
                <w:szCs w:val="24"/>
              </w:rPr>
              <w:t>D</w:t>
            </w:r>
            <w:r w:rsidR="00691BDF" w:rsidRPr="007F6F49">
              <w:rPr>
                <w:b/>
                <w:bCs/>
                <w:caps/>
                <w:szCs w:val="24"/>
              </w:rPr>
              <w:t xml:space="preserve">ĖL </w:t>
            </w:r>
            <w:r w:rsidR="00691BDF">
              <w:rPr>
                <w:b/>
                <w:bCs/>
                <w:caps/>
                <w:szCs w:val="24"/>
              </w:rPr>
              <w:t xml:space="preserve">koncesijos sutarties </w:t>
            </w:r>
            <w:r w:rsidR="00691BDF" w:rsidRPr="00333D7A">
              <w:rPr>
                <w:b/>
                <w:szCs w:val="24"/>
              </w:rPr>
              <w:t>PROJEKT</w:t>
            </w:r>
            <w:r w:rsidR="00691BDF">
              <w:rPr>
                <w:b/>
                <w:szCs w:val="24"/>
              </w:rPr>
              <w:t>O</w:t>
            </w:r>
            <w:r w:rsidR="00691BDF" w:rsidRPr="00333D7A">
              <w:rPr>
                <w:b/>
                <w:szCs w:val="24"/>
              </w:rPr>
              <w:t xml:space="preserve"> FINANSINIŲ SĄLYGŲ VERTINIMO</w:t>
            </w:r>
          </w:p>
          <w:p w14:paraId="083AF6F5" w14:textId="3790A276" w:rsidR="00691BDF" w:rsidRPr="000B73F3" w:rsidRDefault="00691BDF" w:rsidP="00333D7A">
            <w:pPr>
              <w:jc w:val="both"/>
              <w:rPr>
                <w:b/>
                <w:szCs w:val="24"/>
              </w:rPr>
            </w:pPr>
          </w:p>
        </w:tc>
      </w:tr>
      <w:tr w:rsidR="00691BDF" w:rsidRPr="00B62CC5" w14:paraId="6A33CB34" w14:textId="77777777" w:rsidTr="00BC348A">
        <w:trPr>
          <w:cantSplit/>
          <w:trHeight w:val="629"/>
        </w:trPr>
        <w:tc>
          <w:tcPr>
            <w:tcW w:w="14567" w:type="dxa"/>
            <w:gridSpan w:val="2"/>
          </w:tcPr>
          <w:p w14:paraId="7BC713E9" w14:textId="77777777" w:rsidR="00691BDF" w:rsidRPr="007F6F49" w:rsidRDefault="00691BDF" w:rsidP="00333D7A">
            <w:pPr>
              <w:jc w:val="both"/>
              <w:rPr>
                <w:b/>
                <w:bCs/>
                <w:caps/>
                <w:szCs w:val="24"/>
              </w:rPr>
            </w:pPr>
          </w:p>
        </w:tc>
      </w:tr>
    </w:tbl>
    <w:p w14:paraId="444C6029" w14:textId="7B300F07" w:rsidR="00691BDF" w:rsidRDefault="00691BDF" w:rsidP="00691BDF">
      <w:pPr>
        <w:pStyle w:val="paragrafesrasas2lygis"/>
        <w:spacing w:after="0" w:line="240" w:lineRule="auto"/>
        <w:ind w:firstLine="567"/>
        <w:rPr>
          <w:sz w:val="24"/>
          <w:szCs w:val="24"/>
        </w:rPr>
      </w:pPr>
      <w:r>
        <w:rPr>
          <w:sz w:val="24"/>
          <w:szCs w:val="24"/>
        </w:rPr>
        <w:t>Fi</w:t>
      </w:r>
      <w:r w:rsidR="00D07B26" w:rsidRPr="00042D4A">
        <w:rPr>
          <w:sz w:val="24"/>
          <w:szCs w:val="24"/>
        </w:rPr>
        <w:t xml:space="preserve">nansų ministerija, išnagrinėjo </w:t>
      </w:r>
      <w:r>
        <w:rPr>
          <w:sz w:val="24"/>
          <w:szCs w:val="24"/>
        </w:rPr>
        <w:t xml:space="preserve">Klaipėdos miesto savivaldybės </w:t>
      </w:r>
      <w:r w:rsidR="00C23425" w:rsidRPr="00042D4A">
        <w:rPr>
          <w:sz w:val="24"/>
          <w:szCs w:val="24"/>
        </w:rPr>
        <w:t>20</w:t>
      </w:r>
      <w:r w:rsidR="00FA43B3" w:rsidRPr="00042D4A">
        <w:rPr>
          <w:sz w:val="24"/>
          <w:szCs w:val="24"/>
        </w:rPr>
        <w:t>2</w:t>
      </w:r>
      <w:r>
        <w:rPr>
          <w:sz w:val="24"/>
          <w:szCs w:val="24"/>
        </w:rPr>
        <w:t>1</w:t>
      </w:r>
      <w:r w:rsidR="00C23425" w:rsidRPr="00042D4A">
        <w:rPr>
          <w:sz w:val="24"/>
          <w:szCs w:val="24"/>
        </w:rPr>
        <w:t xml:space="preserve"> m. </w:t>
      </w:r>
      <w:r>
        <w:rPr>
          <w:sz w:val="24"/>
          <w:szCs w:val="24"/>
        </w:rPr>
        <w:t>lapkričio 4</w:t>
      </w:r>
      <w:r w:rsidR="00C23425" w:rsidRPr="00042D4A">
        <w:rPr>
          <w:sz w:val="24"/>
          <w:szCs w:val="24"/>
        </w:rPr>
        <w:t xml:space="preserve"> d. raštu Nr. </w:t>
      </w:r>
      <w:r w:rsidRPr="00691BDF">
        <w:rPr>
          <w:color w:val="000000"/>
          <w:sz w:val="24"/>
          <w:szCs w:val="24"/>
        </w:rPr>
        <w:t>(4.19E)-R2-2829</w:t>
      </w:r>
      <w:r w:rsidRPr="00042D4A">
        <w:rPr>
          <w:sz w:val="24"/>
          <w:szCs w:val="24"/>
        </w:rPr>
        <w:t xml:space="preserve"> </w:t>
      </w:r>
      <w:r>
        <w:rPr>
          <w:sz w:val="24"/>
          <w:szCs w:val="24"/>
        </w:rPr>
        <w:t xml:space="preserve">(toliau – Raštas) </w:t>
      </w:r>
      <w:r w:rsidR="00C23425" w:rsidRPr="00042D4A">
        <w:rPr>
          <w:sz w:val="24"/>
          <w:szCs w:val="24"/>
        </w:rPr>
        <w:t>pateikt</w:t>
      </w:r>
      <w:r w:rsidR="00042D4A" w:rsidRPr="00042D4A">
        <w:rPr>
          <w:sz w:val="24"/>
          <w:szCs w:val="24"/>
        </w:rPr>
        <w:t>ą</w:t>
      </w:r>
      <w:r w:rsidR="00C23425" w:rsidRPr="00042D4A">
        <w:rPr>
          <w:sz w:val="24"/>
          <w:szCs w:val="24"/>
        </w:rPr>
        <w:t xml:space="preserve"> </w:t>
      </w:r>
      <w:r>
        <w:rPr>
          <w:sz w:val="24"/>
          <w:szCs w:val="24"/>
        </w:rPr>
        <w:t xml:space="preserve">koncesijos </w:t>
      </w:r>
      <w:r w:rsidR="00092850" w:rsidRPr="00042D4A">
        <w:rPr>
          <w:sz w:val="24"/>
          <w:szCs w:val="24"/>
        </w:rPr>
        <w:t>sutar</w:t>
      </w:r>
      <w:r w:rsidR="00042D4A" w:rsidRPr="00042D4A">
        <w:rPr>
          <w:sz w:val="24"/>
          <w:szCs w:val="24"/>
        </w:rPr>
        <w:t>ties</w:t>
      </w:r>
      <w:r w:rsidR="00092850" w:rsidRPr="00042D4A">
        <w:rPr>
          <w:sz w:val="24"/>
          <w:szCs w:val="24"/>
        </w:rPr>
        <w:t xml:space="preserve"> </w:t>
      </w:r>
      <w:r w:rsidR="00475CED" w:rsidRPr="00042D4A">
        <w:rPr>
          <w:sz w:val="24"/>
          <w:szCs w:val="24"/>
        </w:rPr>
        <w:t>projekt</w:t>
      </w:r>
      <w:r w:rsidR="00042D4A" w:rsidRPr="00042D4A">
        <w:rPr>
          <w:sz w:val="24"/>
          <w:szCs w:val="24"/>
        </w:rPr>
        <w:t>ą</w:t>
      </w:r>
      <w:r w:rsidR="00525042">
        <w:rPr>
          <w:sz w:val="24"/>
          <w:szCs w:val="24"/>
        </w:rPr>
        <w:t xml:space="preserve"> (toliau – Sutarties projektas)</w:t>
      </w:r>
      <w:r>
        <w:rPr>
          <w:sz w:val="24"/>
          <w:szCs w:val="24"/>
        </w:rPr>
        <w:t xml:space="preserve"> </w:t>
      </w:r>
      <w:r w:rsidRPr="00691BDF">
        <w:rPr>
          <w:sz w:val="24"/>
          <w:szCs w:val="24"/>
        </w:rPr>
        <w:t xml:space="preserve">dėl </w:t>
      </w:r>
      <w:r w:rsidR="00221529">
        <w:rPr>
          <w:sz w:val="24"/>
          <w:szCs w:val="24"/>
        </w:rPr>
        <w:t xml:space="preserve">projekto </w:t>
      </w:r>
      <w:r w:rsidRPr="00691BDF">
        <w:rPr>
          <w:sz w:val="24"/>
          <w:szCs w:val="24"/>
        </w:rPr>
        <w:t>„Sporto ir laisvalaikio komplekso statyba“ įgyvendinimo koncesijos</w:t>
      </w:r>
      <w:r>
        <w:rPr>
          <w:sz w:val="24"/>
          <w:szCs w:val="24"/>
        </w:rPr>
        <w:t xml:space="preserve"> būdu</w:t>
      </w:r>
      <w:r w:rsidR="00042D4A" w:rsidRPr="00042D4A">
        <w:rPr>
          <w:sz w:val="24"/>
          <w:szCs w:val="24"/>
        </w:rPr>
        <w:t xml:space="preserve">, </w:t>
      </w:r>
      <w:r w:rsidR="00457911" w:rsidRPr="00042D4A">
        <w:rPr>
          <w:sz w:val="24"/>
          <w:szCs w:val="24"/>
        </w:rPr>
        <w:t xml:space="preserve">ir vadovaudamasi Viešojo ir privataus sektorių partnerystės projektų rengimo ir įgyvendinimo taisyklių, patvirtintų Lietuvos Respublikos Vyriausybės 2009 m. lapkričio 11 d. nutarimu Nr. 1480, </w:t>
      </w:r>
      <w:r w:rsidR="00C717BB">
        <w:rPr>
          <w:sz w:val="24"/>
          <w:szCs w:val="24"/>
        </w:rPr>
        <w:t xml:space="preserve">(toliau – Taisyklės) </w:t>
      </w:r>
      <w:r>
        <w:rPr>
          <w:color w:val="000000"/>
        </w:rPr>
        <w:t>30</w:t>
      </w:r>
      <w:r>
        <w:rPr>
          <w:color w:val="000000"/>
          <w:vertAlign w:val="superscript"/>
        </w:rPr>
        <w:t>1</w:t>
      </w:r>
      <w:r>
        <w:rPr>
          <w:color w:val="000000"/>
        </w:rPr>
        <w:t xml:space="preserve"> </w:t>
      </w:r>
      <w:r w:rsidR="00457911" w:rsidRPr="00042D4A">
        <w:rPr>
          <w:sz w:val="24"/>
          <w:szCs w:val="24"/>
        </w:rPr>
        <w:t xml:space="preserve">punktu, tekia </w:t>
      </w:r>
      <w:r w:rsidR="00160F78">
        <w:rPr>
          <w:sz w:val="24"/>
          <w:szCs w:val="24"/>
        </w:rPr>
        <w:t xml:space="preserve">pastabas ir </w:t>
      </w:r>
      <w:r w:rsidR="00475CED" w:rsidRPr="00042D4A">
        <w:rPr>
          <w:sz w:val="24"/>
          <w:szCs w:val="24"/>
        </w:rPr>
        <w:t>išvadą</w:t>
      </w:r>
      <w:r w:rsidR="00457911" w:rsidRPr="00042D4A">
        <w:rPr>
          <w:sz w:val="24"/>
          <w:szCs w:val="24"/>
        </w:rPr>
        <w:t xml:space="preserve"> dėl </w:t>
      </w:r>
      <w:r w:rsidR="00092850" w:rsidRPr="00042D4A">
        <w:rPr>
          <w:sz w:val="24"/>
          <w:szCs w:val="24"/>
        </w:rPr>
        <w:t>Sutar</w:t>
      </w:r>
      <w:r w:rsidR="00525042">
        <w:rPr>
          <w:sz w:val="24"/>
          <w:szCs w:val="24"/>
        </w:rPr>
        <w:t>ties</w:t>
      </w:r>
      <w:r w:rsidR="00092850" w:rsidRPr="00042D4A">
        <w:rPr>
          <w:sz w:val="24"/>
          <w:szCs w:val="24"/>
        </w:rPr>
        <w:t xml:space="preserve"> projekt</w:t>
      </w:r>
      <w:r w:rsidR="00525042">
        <w:rPr>
          <w:sz w:val="24"/>
          <w:szCs w:val="24"/>
        </w:rPr>
        <w:t>o</w:t>
      </w:r>
      <w:r w:rsidR="00092850" w:rsidRPr="00042D4A">
        <w:rPr>
          <w:sz w:val="24"/>
          <w:szCs w:val="24"/>
        </w:rPr>
        <w:t xml:space="preserve"> </w:t>
      </w:r>
      <w:r w:rsidR="00457911" w:rsidRPr="00042D4A">
        <w:rPr>
          <w:sz w:val="24"/>
          <w:szCs w:val="24"/>
        </w:rPr>
        <w:t>finansinių sąlygų</w:t>
      </w:r>
      <w:r w:rsidR="00E138F6" w:rsidRPr="00042D4A">
        <w:rPr>
          <w:sz w:val="24"/>
          <w:szCs w:val="24"/>
        </w:rPr>
        <w:t xml:space="preserve"> vertinimo fiskalinės drausmės reikalavimų požiūriu</w:t>
      </w:r>
      <w:r w:rsidR="001B67B8">
        <w:rPr>
          <w:sz w:val="24"/>
          <w:szCs w:val="24"/>
        </w:rPr>
        <w:t xml:space="preserve"> (toliau – statistiniu požiūriu)</w:t>
      </w:r>
      <w:r>
        <w:rPr>
          <w:sz w:val="24"/>
          <w:szCs w:val="24"/>
        </w:rPr>
        <w:t xml:space="preserve">. </w:t>
      </w:r>
    </w:p>
    <w:p w14:paraId="72C955E6" w14:textId="16F44266" w:rsidR="0034701A" w:rsidRPr="00BC348A" w:rsidRDefault="00C717BB" w:rsidP="00691BDF">
      <w:pPr>
        <w:pStyle w:val="paragrafesrasas2lygis"/>
        <w:spacing w:after="0" w:line="240" w:lineRule="auto"/>
        <w:ind w:firstLine="567"/>
        <w:rPr>
          <w:sz w:val="24"/>
          <w:szCs w:val="24"/>
        </w:rPr>
      </w:pPr>
      <w:r w:rsidRPr="00BC348A">
        <w:rPr>
          <w:sz w:val="24"/>
          <w:szCs w:val="24"/>
        </w:rPr>
        <w:t xml:space="preserve">Rašte nurodoma, kad savivaldybės administracija teikia Sutarties projektą, atsižvelgusi į Konkurso derybų rezultatus ir į </w:t>
      </w:r>
      <w:r w:rsidRPr="00BC348A">
        <w:rPr>
          <w:i/>
          <w:sz w:val="24"/>
          <w:szCs w:val="24"/>
        </w:rPr>
        <w:t>Galutinį Konkurso dalyvio pasiūlymą</w:t>
      </w:r>
      <w:r w:rsidRPr="00BC348A">
        <w:rPr>
          <w:sz w:val="24"/>
          <w:szCs w:val="24"/>
        </w:rPr>
        <w:t xml:space="preserve">. Pagal Taisyklių 23.4 ir </w:t>
      </w:r>
      <w:r w:rsidRPr="00BC348A">
        <w:rPr>
          <w:color w:val="000000"/>
          <w:sz w:val="24"/>
          <w:szCs w:val="24"/>
        </w:rPr>
        <w:t>30</w:t>
      </w:r>
      <w:r w:rsidRPr="00BC348A">
        <w:rPr>
          <w:color w:val="000000"/>
          <w:sz w:val="24"/>
          <w:szCs w:val="24"/>
          <w:vertAlign w:val="superscript"/>
        </w:rPr>
        <w:t xml:space="preserve">1 </w:t>
      </w:r>
      <w:r w:rsidRPr="00BC348A">
        <w:rPr>
          <w:sz w:val="24"/>
          <w:szCs w:val="24"/>
        </w:rPr>
        <w:t>punktus, savivaldybė galutinį sutarties projektą Fi</w:t>
      </w:r>
      <w:r w:rsidR="00221529">
        <w:rPr>
          <w:sz w:val="24"/>
          <w:szCs w:val="24"/>
        </w:rPr>
        <w:t>nansų ministerijai vertinti turėjo</w:t>
      </w:r>
      <w:r w:rsidRPr="00BC348A">
        <w:rPr>
          <w:sz w:val="24"/>
          <w:szCs w:val="24"/>
        </w:rPr>
        <w:t xml:space="preserve"> pateikti </w:t>
      </w:r>
      <w:r w:rsidRPr="00BC348A">
        <w:rPr>
          <w:i/>
          <w:sz w:val="24"/>
          <w:szCs w:val="24"/>
        </w:rPr>
        <w:t>iki baigiant derybas</w:t>
      </w:r>
      <w:r w:rsidRPr="00BC348A">
        <w:rPr>
          <w:sz w:val="24"/>
          <w:szCs w:val="24"/>
        </w:rPr>
        <w:t xml:space="preserve">, </w:t>
      </w:r>
      <w:r w:rsidR="00221529">
        <w:rPr>
          <w:sz w:val="24"/>
          <w:szCs w:val="24"/>
        </w:rPr>
        <w:t xml:space="preserve">kad iki derybų </w:t>
      </w:r>
      <w:r w:rsidRPr="00BC348A">
        <w:rPr>
          <w:sz w:val="24"/>
          <w:szCs w:val="24"/>
        </w:rPr>
        <w:t>užbaig</w:t>
      </w:r>
      <w:r w:rsidR="00221529">
        <w:rPr>
          <w:sz w:val="24"/>
          <w:szCs w:val="24"/>
        </w:rPr>
        <w:t xml:space="preserve">imo būtų galimybė pagal gautas išvados tęsti derybas ir </w:t>
      </w:r>
      <w:r w:rsidR="00E27134">
        <w:rPr>
          <w:sz w:val="24"/>
          <w:szCs w:val="24"/>
        </w:rPr>
        <w:t xml:space="preserve">sutarties šalims </w:t>
      </w:r>
      <w:r w:rsidR="00221529">
        <w:rPr>
          <w:sz w:val="24"/>
          <w:szCs w:val="24"/>
        </w:rPr>
        <w:t xml:space="preserve">vertinti galimus sutarties projekto tikslinimus. </w:t>
      </w:r>
      <w:r w:rsidR="00701306">
        <w:rPr>
          <w:sz w:val="24"/>
          <w:szCs w:val="24"/>
        </w:rPr>
        <w:t>Pažymėtina, kad d</w:t>
      </w:r>
      <w:r w:rsidRPr="00BC348A">
        <w:rPr>
          <w:sz w:val="24"/>
          <w:szCs w:val="24"/>
        </w:rPr>
        <w:t>ėl galutiniame pasiūlyme ir atitinkamai Sutarties projekte žemia</w:t>
      </w:r>
      <w:r w:rsidR="0034701A" w:rsidRPr="00BC348A">
        <w:rPr>
          <w:sz w:val="24"/>
          <w:szCs w:val="24"/>
        </w:rPr>
        <w:t>u</w:t>
      </w:r>
      <w:r w:rsidRPr="00BC348A">
        <w:rPr>
          <w:sz w:val="24"/>
          <w:szCs w:val="24"/>
        </w:rPr>
        <w:t xml:space="preserve"> išvard</w:t>
      </w:r>
      <w:r w:rsidR="0034701A" w:rsidRPr="00BC348A">
        <w:rPr>
          <w:sz w:val="24"/>
          <w:szCs w:val="24"/>
        </w:rPr>
        <w:t>yt</w:t>
      </w:r>
      <w:r w:rsidRPr="00BC348A">
        <w:rPr>
          <w:sz w:val="24"/>
          <w:szCs w:val="24"/>
        </w:rPr>
        <w:t>ų sąlygų, koncesijos sutartis gali būti laikoma balansine sutartimi</w:t>
      </w:r>
      <w:r w:rsidR="0034701A" w:rsidRPr="00BC348A">
        <w:rPr>
          <w:sz w:val="24"/>
          <w:szCs w:val="24"/>
        </w:rPr>
        <w:t xml:space="preserve">, o projekto kapitalo investicijų suma </w:t>
      </w:r>
      <w:r w:rsidR="00884451" w:rsidRPr="00BC348A">
        <w:rPr>
          <w:sz w:val="24"/>
          <w:szCs w:val="24"/>
        </w:rPr>
        <w:t>(</w:t>
      </w:r>
      <w:r w:rsidR="007F488E" w:rsidRPr="00BC348A">
        <w:rPr>
          <w:sz w:val="24"/>
          <w:szCs w:val="24"/>
        </w:rPr>
        <w:t xml:space="preserve">Finansiniame veiklos modelyje (toliau – </w:t>
      </w:r>
      <w:r w:rsidR="00884451" w:rsidRPr="00BC348A">
        <w:rPr>
          <w:sz w:val="24"/>
          <w:szCs w:val="24"/>
        </w:rPr>
        <w:t>FVM</w:t>
      </w:r>
      <w:r w:rsidR="007F488E" w:rsidRPr="00BC348A">
        <w:rPr>
          <w:sz w:val="24"/>
          <w:szCs w:val="24"/>
        </w:rPr>
        <w:t>)</w:t>
      </w:r>
      <w:r w:rsidR="00884451" w:rsidRPr="00BC348A">
        <w:rPr>
          <w:sz w:val="24"/>
          <w:szCs w:val="24"/>
        </w:rPr>
        <w:t xml:space="preserve"> nurodyti infrastruktūros sukūrimo kaštai) t</w:t>
      </w:r>
      <w:r w:rsidR="0034701A" w:rsidRPr="00BC348A">
        <w:rPr>
          <w:sz w:val="24"/>
          <w:szCs w:val="24"/>
        </w:rPr>
        <w:t>urės įtakos savivaldybės skolai:</w:t>
      </w:r>
    </w:p>
    <w:p w14:paraId="0608C893" w14:textId="77777777" w:rsidR="008D3861" w:rsidRDefault="0034701A" w:rsidP="00884451">
      <w:pPr>
        <w:jc w:val="both"/>
        <w:rPr>
          <w:rFonts w:eastAsia="Calibri"/>
          <w:szCs w:val="24"/>
        </w:rPr>
      </w:pPr>
      <w:r>
        <w:rPr>
          <w:szCs w:val="24"/>
        </w:rPr>
        <w:t xml:space="preserve"> </w:t>
      </w:r>
      <w:r w:rsidR="00884451">
        <w:rPr>
          <w:szCs w:val="24"/>
        </w:rPr>
        <w:tab/>
        <w:t xml:space="preserve">1) Sutarties projekto </w:t>
      </w:r>
      <w:r w:rsidR="007F488E">
        <w:rPr>
          <w:szCs w:val="24"/>
        </w:rPr>
        <w:t xml:space="preserve">2.2 </w:t>
      </w:r>
      <w:r w:rsidR="00884451" w:rsidRPr="00EC36B0">
        <w:rPr>
          <w:szCs w:val="24"/>
        </w:rPr>
        <w:t>punkte</w:t>
      </w:r>
      <w:r w:rsidR="007F488E">
        <w:rPr>
          <w:szCs w:val="24"/>
        </w:rPr>
        <w:t xml:space="preserve"> ir 1.1 punkte </w:t>
      </w:r>
      <w:r w:rsidR="00884451">
        <w:rPr>
          <w:szCs w:val="24"/>
        </w:rPr>
        <w:t xml:space="preserve">apibrėžiant </w:t>
      </w:r>
      <w:r w:rsidR="00884451" w:rsidRPr="00EC36B0">
        <w:rPr>
          <w:szCs w:val="24"/>
        </w:rPr>
        <w:t>sąvok</w:t>
      </w:r>
      <w:r w:rsidR="00884451">
        <w:rPr>
          <w:szCs w:val="24"/>
        </w:rPr>
        <w:t>ą</w:t>
      </w:r>
      <w:r w:rsidR="00884451" w:rsidRPr="00EC36B0">
        <w:rPr>
          <w:szCs w:val="24"/>
        </w:rPr>
        <w:t xml:space="preserve"> „Sutarties vertė“ </w:t>
      </w:r>
      <w:r w:rsidR="00884451">
        <w:rPr>
          <w:szCs w:val="24"/>
        </w:rPr>
        <w:t>nenurodyta</w:t>
      </w:r>
      <w:r w:rsidR="007F488E">
        <w:rPr>
          <w:szCs w:val="24"/>
        </w:rPr>
        <w:t xml:space="preserve"> koncesijos vertė ir jos apibrėžtis</w:t>
      </w:r>
      <w:r w:rsidR="00884451">
        <w:rPr>
          <w:szCs w:val="24"/>
        </w:rPr>
        <w:t xml:space="preserve">, kaip to reikalauja Koncesijų įstatymo 5 straipsnio 1 dalis. </w:t>
      </w:r>
      <w:r w:rsidR="007F488E">
        <w:rPr>
          <w:rFonts w:eastAsia="Calibri"/>
          <w:szCs w:val="24"/>
        </w:rPr>
        <w:t xml:space="preserve">Koncesijos vertę sudaro suteikiančiosios institucijos koncesijos sutarties vykdymo laikotarpiu apskaičiuotos </w:t>
      </w:r>
      <w:r w:rsidR="007F488E" w:rsidRPr="00682AFF">
        <w:rPr>
          <w:rFonts w:eastAsia="Calibri"/>
          <w:i/>
          <w:szCs w:val="24"/>
        </w:rPr>
        <w:t>koncesininko pajamos</w:t>
      </w:r>
      <w:r w:rsidR="007F488E">
        <w:rPr>
          <w:rFonts w:eastAsia="Calibri"/>
          <w:szCs w:val="24"/>
        </w:rPr>
        <w:t xml:space="preserve">, neįskaitant pridėtinės vertės mokesčio, </w:t>
      </w:r>
      <w:r w:rsidR="007F488E" w:rsidRPr="008D3861">
        <w:rPr>
          <w:rFonts w:eastAsia="Calibri"/>
          <w:i/>
          <w:szCs w:val="24"/>
        </w:rPr>
        <w:t>kurios bus</w:t>
      </w:r>
      <w:r w:rsidR="007F488E">
        <w:rPr>
          <w:rFonts w:eastAsia="Calibri"/>
          <w:szCs w:val="24"/>
        </w:rPr>
        <w:t xml:space="preserve"> </w:t>
      </w:r>
      <w:r w:rsidR="007F488E" w:rsidRPr="00682AFF">
        <w:rPr>
          <w:rFonts w:eastAsia="Calibri"/>
          <w:i/>
          <w:szCs w:val="24"/>
        </w:rPr>
        <w:t>gautos kaip atlygis už darbus ir paslaugas, kurie yra koncesijos dalykas</w:t>
      </w:r>
      <w:r w:rsidR="007F488E">
        <w:rPr>
          <w:rFonts w:eastAsia="Calibri"/>
          <w:szCs w:val="24"/>
        </w:rPr>
        <w:t xml:space="preserve">, taip pat už prekes, susijusias su tokiais darbais ir paslaugomis. </w:t>
      </w:r>
    </w:p>
    <w:p w14:paraId="708EA556" w14:textId="33A3F6FB" w:rsidR="00293BC2" w:rsidRDefault="008D3861" w:rsidP="00293BC2">
      <w:pPr>
        <w:jc w:val="both"/>
        <w:rPr>
          <w:rFonts w:eastAsia="Calibri"/>
          <w:szCs w:val="24"/>
        </w:rPr>
      </w:pPr>
      <w:r>
        <w:rPr>
          <w:rFonts w:eastAsia="Calibri"/>
          <w:szCs w:val="24"/>
        </w:rPr>
        <w:tab/>
      </w:r>
      <w:r w:rsidR="00682AFF">
        <w:rPr>
          <w:rFonts w:eastAsia="Calibri"/>
          <w:szCs w:val="24"/>
        </w:rPr>
        <w:t xml:space="preserve">Pažymėtina, kad pagal Koncesijų įstatymo 3 straipsnio 10 dalį </w:t>
      </w:r>
      <w:r w:rsidR="00682AFF" w:rsidRPr="00682AFF">
        <w:rPr>
          <w:rFonts w:eastAsia="Calibri"/>
          <w:i/>
          <w:szCs w:val="24"/>
        </w:rPr>
        <w:t>koncesija laikytina</w:t>
      </w:r>
      <w:r w:rsidR="00682AFF">
        <w:rPr>
          <w:rFonts w:eastAsia="Calibri"/>
          <w:szCs w:val="24"/>
        </w:rPr>
        <w:t xml:space="preserve"> </w:t>
      </w:r>
      <w:r w:rsidR="00682AFF">
        <w:rPr>
          <w:szCs w:val="24"/>
        </w:rPr>
        <w:t xml:space="preserve">suteikiančiosios institucijos koncesininkui pagal šį įstatymą ir sudaromą sutartį suteikiamas </w:t>
      </w:r>
      <w:r w:rsidR="00682AFF" w:rsidRPr="00682AFF">
        <w:rPr>
          <w:i/>
          <w:szCs w:val="24"/>
        </w:rPr>
        <w:t>leidimas vykdyti ūkinę komercinę veiklą</w:t>
      </w:r>
      <w:r w:rsidR="00682AFF">
        <w:rPr>
          <w:szCs w:val="24"/>
        </w:rPr>
        <w:t xml:space="preserve">, apimančią paslaugų teikimą ir (ar) darbų vykdymą, ir (ar) viešųjų paslaugų teikimą, </w:t>
      </w:r>
      <w:r w:rsidR="00682AFF" w:rsidRPr="00682AFF">
        <w:rPr>
          <w:i/>
          <w:szCs w:val="24"/>
        </w:rPr>
        <w:t>kai koncesininkas prisiima visą ar didžiąją dalį</w:t>
      </w:r>
      <w:r w:rsidR="00682AFF">
        <w:rPr>
          <w:szCs w:val="24"/>
        </w:rPr>
        <w:t xml:space="preserve"> </w:t>
      </w:r>
      <w:r w:rsidR="00682AFF" w:rsidRPr="00682AFF">
        <w:rPr>
          <w:i/>
          <w:szCs w:val="24"/>
        </w:rPr>
        <w:t>su tokia veikla susijusios rizikos</w:t>
      </w:r>
      <w:r w:rsidR="00682AFF">
        <w:rPr>
          <w:szCs w:val="24"/>
        </w:rPr>
        <w:t xml:space="preserve"> bei atitinkamas teises ir pareigas, o </w:t>
      </w:r>
      <w:r w:rsidR="00682AFF" w:rsidRPr="00682AFF">
        <w:rPr>
          <w:i/>
          <w:szCs w:val="24"/>
        </w:rPr>
        <w:t xml:space="preserve">jo atlygį už tokią veiklą sudaro tik teisės užsiimti atitinkama veikla suteikimas ir </w:t>
      </w:r>
      <w:r>
        <w:rPr>
          <w:i/>
          <w:szCs w:val="24"/>
        </w:rPr>
        <w:t xml:space="preserve">1) </w:t>
      </w:r>
      <w:r w:rsidR="00682AFF" w:rsidRPr="00682AFF">
        <w:rPr>
          <w:i/>
          <w:szCs w:val="24"/>
        </w:rPr>
        <w:t>pajamos iš tokios veiklos</w:t>
      </w:r>
      <w:r w:rsidR="00682AFF">
        <w:rPr>
          <w:szCs w:val="24"/>
        </w:rPr>
        <w:t xml:space="preserve"> </w:t>
      </w:r>
      <w:r w:rsidR="00682AFF" w:rsidRPr="00682AFF">
        <w:rPr>
          <w:b/>
          <w:szCs w:val="24"/>
        </w:rPr>
        <w:t>arba</w:t>
      </w:r>
      <w:r w:rsidR="00682AFF">
        <w:rPr>
          <w:szCs w:val="24"/>
        </w:rPr>
        <w:t xml:space="preserve"> tokios teisės suteikimas ir </w:t>
      </w:r>
      <w:r>
        <w:rPr>
          <w:szCs w:val="24"/>
        </w:rPr>
        <w:t xml:space="preserve">1) </w:t>
      </w:r>
      <w:r w:rsidR="00682AFF" w:rsidRPr="008D3861">
        <w:rPr>
          <w:i/>
          <w:szCs w:val="24"/>
        </w:rPr>
        <w:t xml:space="preserve">pajamos iš tokios veiklos </w:t>
      </w:r>
      <w:r>
        <w:rPr>
          <w:i/>
          <w:szCs w:val="24"/>
        </w:rPr>
        <w:t xml:space="preserve">2) </w:t>
      </w:r>
      <w:r w:rsidR="00682AFF" w:rsidRPr="008D3861">
        <w:rPr>
          <w:i/>
          <w:szCs w:val="24"/>
        </w:rPr>
        <w:t xml:space="preserve">kartu su atlygiu, mokamu koncesininkui suteikiančiosios institucijos, atsižvelgiant į jos prisiimtą riziką. </w:t>
      </w:r>
      <w:r w:rsidR="007F488E">
        <w:rPr>
          <w:rFonts w:eastAsia="Calibri"/>
          <w:szCs w:val="24"/>
        </w:rPr>
        <w:t>Galutiniame konkurso dalyvio pasiūlyme aiškiai įvardytas</w:t>
      </w:r>
      <w:r w:rsidR="00682AFF">
        <w:rPr>
          <w:rFonts w:eastAsia="Calibri"/>
          <w:szCs w:val="24"/>
        </w:rPr>
        <w:t xml:space="preserve"> </w:t>
      </w:r>
      <w:r w:rsidR="00682AFF" w:rsidRPr="00336914">
        <w:t xml:space="preserve">36 132 400,87 </w:t>
      </w:r>
      <w:r w:rsidR="00682AFF">
        <w:t xml:space="preserve">eurų (be PVM) </w:t>
      </w:r>
      <w:r>
        <w:t>S</w:t>
      </w:r>
      <w:r w:rsidR="007F488E">
        <w:rPr>
          <w:rFonts w:eastAsia="Calibri"/>
          <w:szCs w:val="24"/>
        </w:rPr>
        <w:t>uteikiančiosios institucijos</w:t>
      </w:r>
      <w:r>
        <w:rPr>
          <w:rFonts w:eastAsia="Calibri"/>
          <w:szCs w:val="24"/>
        </w:rPr>
        <w:t xml:space="preserve"> (SI)</w:t>
      </w:r>
      <w:r w:rsidR="007F488E">
        <w:rPr>
          <w:rFonts w:eastAsia="Calibri"/>
          <w:szCs w:val="24"/>
        </w:rPr>
        <w:t xml:space="preserve"> </w:t>
      </w:r>
      <w:r w:rsidR="00682AFF">
        <w:rPr>
          <w:rFonts w:eastAsia="Calibri"/>
          <w:szCs w:val="24"/>
        </w:rPr>
        <w:t xml:space="preserve">įsipareigojimas kasmet </w:t>
      </w:r>
      <w:r w:rsidR="00E27134">
        <w:rPr>
          <w:rFonts w:eastAsia="Calibri"/>
          <w:szCs w:val="24"/>
        </w:rPr>
        <w:t xml:space="preserve">dalimis </w:t>
      </w:r>
      <w:r w:rsidR="00682AFF">
        <w:rPr>
          <w:rFonts w:eastAsia="Calibri"/>
          <w:szCs w:val="24"/>
        </w:rPr>
        <w:t xml:space="preserve">mokėti koncesininkui atlygį (pradedant trečiaisiais sutarties metais). Kita dalis </w:t>
      </w:r>
      <w:r>
        <w:rPr>
          <w:rFonts w:eastAsia="Calibri"/>
          <w:szCs w:val="24"/>
        </w:rPr>
        <w:t xml:space="preserve">koncesininko pajamų, susijusi teise vykdyti komercines veiklas ir gauti pajamas iš jos nėra </w:t>
      </w:r>
      <w:r w:rsidR="00C70E74">
        <w:rPr>
          <w:rFonts w:eastAsia="Calibri"/>
          <w:szCs w:val="24"/>
        </w:rPr>
        <w:t xml:space="preserve">įvardijama taip </w:t>
      </w:r>
      <w:r>
        <w:rPr>
          <w:rFonts w:eastAsia="Calibri"/>
          <w:szCs w:val="24"/>
        </w:rPr>
        <w:t>aiškiai, kaip IS atlygis</w:t>
      </w:r>
      <w:r w:rsidR="008F5841">
        <w:rPr>
          <w:rFonts w:eastAsia="Calibri"/>
          <w:szCs w:val="24"/>
        </w:rPr>
        <w:t>. Todėl yra pagrindo teigti, kad ši koncesijos sutartis, remiantis Koncesijų įstatymo 11 straipsnio 1 dalies 2 punktu, gali būti laikoma mišria sutartimi, kurioje yra tiek su koncesija, tiek su viešaisiais pirkimais susijusios dalys. Kita vertus, pagal koncesijos apibrėžim</w:t>
      </w:r>
      <w:r w:rsidR="005C14C5">
        <w:rPr>
          <w:rFonts w:eastAsia="Calibri"/>
          <w:szCs w:val="24"/>
        </w:rPr>
        <w:t xml:space="preserve">o imperatyvią nuostatą, kad </w:t>
      </w:r>
      <w:r w:rsidR="005C14C5" w:rsidRPr="00682AFF">
        <w:rPr>
          <w:i/>
          <w:szCs w:val="24"/>
        </w:rPr>
        <w:t>koncesininkas prisiima visą ar didžiąją dalį</w:t>
      </w:r>
      <w:r w:rsidR="005C14C5">
        <w:rPr>
          <w:i/>
          <w:szCs w:val="24"/>
        </w:rPr>
        <w:t xml:space="preserve"> su veikla susijusios rizikos</w:t>
      </w:r>
      <w:r w:rsidR="008F5841">
        <w:rPr>
          <w:rFonts w:eastAsia="Calibri"/>
          <w:szCs w:val="24"/>
        </w:rPr>
        <w:t xml:space="preserve">, </w:t>
      </w:r>
      <w:r w:rsidR="005C14C5" w:rsidRPr="005C14C5">
        <w:rPr>
          <w:rFonts w:eastAsia="Calibri"/>
          <w:i/>
          <w:szCs w:val="24"/>
        </w:rPr>
        <w:t xml:space="preserve">o </w:t>
      </w:r>
      <w:r w:rsidR="008F5841" w:rsidRPr="005C14C5">
        <w:rPr>
          <w:rFonts w:eastAsia="Calibri"/>
          <w:i/>
          <w:szCs w:val="24"/>
        </w:rPr>
        <w:t xml:space="preserve">SI atlygio dydis yra susietas su SI prisiimta </w:t>
      </w:r>
      <w:r w:rsidR="008F5841" w:rsidRPr="005C14C5">
        <w:rPr>
          <w:rFonts w:eastAsia="Calibri"/>
          <w:i/>
          <w:szCs w:val="24"/>
        </w:rPr>
        <w:lastRenderedPageBreak/>
        <w:t>rizika</w:t>
      </w:r>
      <w:r w:rsidR="005C14C5" w:rsidRPr="005C14C5">
        <w:rPr>
          <w:rFonts w:eastAsia="Calibri"/>
          <w:szCs w:val="24"/>
        </w:rPr>
        <w:t xml:space="preserve">, </w:t>
      </w:r>
      <w:r w:rsidR="005C14C5">
        <w:rPr>
          <w:rFonts w:eastAsia="Calibri"/>
          <w:szCs w:val="24"/>
        </w:rPr>
        <w:t xml:space="preserve"> SI </w:t>
      </w:r>
      <w:r w:rsidR="001B67B8">
        <w:rPr>
          <w:rFonts w:eastAsia="Calibri"/>
          <w:szCs w:val="24"/>
        </w:rPr>
        <w:t>mokėtinas atlygio dydis, kelia pagrįstų abejonių dėl atitikties imperatyvioms koncesijos nuostatoms, siejančioms riziką su IS atlygiu</w:t>
      </w:r>
      <w:r w:rsidR="008F5841" w:rsidRPr="005C14C5">
        <w:rPr>
          <w:rFonts w:eastAsia="Calibri"/>
          <w:szCs w:val="24"/>
        </w:rPr>
        <w:t>.</w:t>
      </w:r>
    </w:p>
    <w:p w14:paraId="19FDCDC7" w14:textId="544B5FBA" w:rsidR="00B00327" w:rsidRDefault="00293BC2" w:rsidP="00B00327">
      <w:pPr>
        <w:pStyle w:val="paragrafesrasas2lygis"/>
        <w:tabs>
          <w:tab w:val="left" w:pos="993"/>
        </w:tabs>
        <w:spacing w:after="0" w:line="240" w:lineRule="auto"/>
        <w:ind w:firstLine="568"/>
        <w:rPr>
          <w:sz w:val="24"/>
          <w:szCs w:val="24"/>
        </w:rPr>
      </w:pPr>
      <w:r w:rsidRPr="00D95916">
        <w:rPr>
          <w:sz w:val="24"/>
          <w:szCs w:val="24"/>
        </w:rPr>
        <w:t xml:space="preserve">Pažymėtina, </w:t>
      </w:r>
      <w:r>
        <w:rPr>
          <w:sz w:val="24"/>
          <w:szCs w:val="24"/>
        </w:rPr>
        <w:t xml:space="preserve">kad </w:t>
      </w:r>
      <w:r w:rsidR="006D4FEC">
        <w:rPr>
          <w:sz w:val="24"/>
          <w:szCs w:val="24"/>
        </w:rPr>
        <w:t xml:space="preserve">panašios nuostatos buvo deklaruotos </w:t>
      </w:r>
      <w:r w:rsidR="00701306">
        <w:rPr>
          <w:sz w:val="24"/>
          <w:szCs w:val="24"/>
        </w:rPr>
        <w:t xml:space="preserve">savivaldybės paskelbtame </w:t>
      </w:r>
      <w:r>
        <w:rPr>
          <w:sz w:val="24"/>
          <w:szCs w:val="24"/>
        </w:rPr>
        <w:t>Koncesijos konkurso sąlygų apraše</w:t>
      </w:r>
      <w:r w:rsidR="006D4FEC">
        <w:rPr>
          <w:sz w:val="24"/>
          <w:szCs w:val="24"/>
        </w:rPr>
        <w:t xml:space="preserve">, kuriame </w:t>
      </w:r>
      <w:r>
        <w:rPr>
          <w:sz w:val="24"/>
          <w:szCs w:val="24"/>
        </w:rPr>
        <w:t xml:space="preserve">nurodyta, kad </w:t>
      </w:r>
      <w:r w:rsidRPr="00293BC2">
        <w:rPr>
          <w:i/>
          <w:sz w:val="24"/>
          <w:szCs w:val="24"/>
        </w:rPr>
        <w:t xml:space="preserve">„pagal Europos Komisijos aiškinamąjį komunikatą dėl koncesijų pagal Europos Bendrijos teisę 2000/C 121/02, koncesijos apibrėžimas leidžia valstybei sumokėti atlygį už atliktą darbą tuo atveju, jei tai nepanaikina reikšmingo rizikos elemento, neatskiriamo nuo eksploatavimo. Atsižvelgiant į tai, laikytina, kad koncesijos atveju negalimi suteikiančiosios institucijos mokėjimai, kompensuojantys pagrindines koncesininko rizikas, t. y. atliktų investicijų grąžą, nes tai reikštų, kad pagrindines rizikas prisiima suteikiančioji institucija. Todėl koncesijos būdu vykdomo projekto </w:t>
      </w:r>
      <w:r w:rsidRPr="00293BC2">
        <w:rPr>
          <w:b/>
          <w:i/>
          <w:sz w:val="24"/>
          <w:szCs w:val="24"/>
        </w:rPr>
        <w:t>didesnė dalis pajamų turės būti generuojama iš trečiųjų šalių</w:t>
      </w:r>
      <w:r w:rsidRPr="00293BC2">
        <w:rPr>
          <w:i/>
          <w:sz w:val="24"/>
          <w:szCs w:val="24"/>
        </w:rPr>
        <w:t xml:space="preserve"> (ne iš viešojo sektoriaus subjekto) mokėjimų</w:t>
      </w:r>
      <w:r>
        <w:rPr>
          <w:i/>
          <w:sz w:val="24"/>
          <w:szCs w:val="24"/>
        </w:rPr>
        <w:t>“</w:t>
      </w:r>
      <w:r w:rsidRPr="00D95916">
        <w:rPr>
          <w:sz w:val="24"/>
          <w:szCs w:val="24"/>
        </w:rPr>
        <w:t>.</w:t>
      </w:r>
      <w:r w:rsidR="00C70E74">
        <w:rPr>
          <w:sz w:val="24"/>
          <w:szCs w:val="24"/>
        </w:rPr>
        <w:t xml:space="preserve"> Manytume, kad </w:t>
      </w:r>
      <w:r w:rsidR="006D4FEC">
        <w:rPr>
          <w:sz w:val="24"/>
          <w:szCs w:val="24"/>
        </w:rPr>
        <w:t xml:space="preserve">savivaldybei prisiėmus įsipareigojimus dengti </w:t>
      </w:r>
      <w:r w:rsidR="00C70E74">
        <w:rPr>
          <w:sz w:val="24"/>
          <w:szCs w:val="24"/>
        </w:rPr>
        <w:t>50 proc.</w:t>
      </w:r>
      <w:r w:rsidR="006D4FEC">
        <w:rPr>
          <w:sz w:val="24"/>
          <w:szCs w:val="24"/>
        </w:rPr>
        <w:t xml:space="preserve"> ir/arba daugiau koncesininko pajamų, </w:t>
      </w:r>
      <w:r w:rsidR="00B00327">
        <w:rPr>
          <w:sz w:val="24"/>
          <w:szCs w:val="24"/>
        </w:rPr>
        <w:t>yra pagrindas teikti, kad pagrindines rizikas prisiima SI. Norėtume taip pat atkreipti dėmesį, kad Sutarties projekte nurodyti S</w:t>
      </w:r>
      <w:r w:rsidR="00051C4B">
        <w:rPr>
          <w:sz w:val="24"/>
          <w:szCs w:val="24"/>
        </w:rPr>
        <w:t>I</w:t>
      </w:r>
      <w:r w:rsidR="00B00327">
        <w:rPr>
          <w:sz w:val="24"/>
          <w:szCs w:val="24"/>
        </w:rPr>
        <w:t xml:space="preserve"> įsipareigojimai viršija savivaldybės tarybos sprendime nurodytus įsipareigojimus.</w:t>
      </w:r>
    </w:p>
    <w:p w14:paraId="18A8417C" w14:textId="181BBEAD" w:rsidR="00701306" w:rsidRDefault="00B00327" w:rsidP="00BA7BC3">
      <w:pPr>
        <w:pStyle w:val="paragrafesrasas2lygis"/>
        <w:tabs>
          <w:tab w:val="left" w:pos="993"/>
        </w:tabs>
        <w:spacing w:after="0" w:line="240" w:lineRule="auto"/>
        <w:ind w:firstLine="568"/>
        <w:rPr>
          <w:sz w:val="24"/>
          <w:szCs w:val="24"/>
        </w:rPr>
      </w:pPr>
      <w:r w:rsidRPr="00BC348A">
        <w:rPr>
          <w:sz w:val="24"/>
          <w:szCs w:val="24"/>
        </w:rPr>
        <w:t xml:space="preserve">2) vertindami </w:t>
      </w:r>
      <w:r w:rsidR="00BA7BC3" w:rsidRPr="00BC348A">
        <w:rPr>
          <w:sz w:val="24"/>
          <w:szCs w:val="24"/>
        </w:rPr>
        <w:t xml:space="preserve">praktinę patirtį, t. y. </w:t>
      </w:r>
      <w:r w:rsidRPr="00BC348A">
        <w:rPr>
          <w:sz w:val="24"/>
          <w:szCs w:val="24"/>
        </w:rPr>
        <w:t>dėl kitų viešojo ir privataus sektorių partnerystės sutarčių Eurostato pateiktas pastabas, kurios</w:t>
      </w:r>
      <w:r w:rsidR="00BA7BC3" w:rsidRPr="00BC348A">
        <w:rPr>
          <w:sz w:val="24"/>
          <w:szCs w:val="24"/>
        </w:rPr>
        <w:t xml:space="preserve"> </w:t>
      </w:r>
      <w:r w:rsidR="00F7310F">
        <w:rPr>
          <w:sz w:val="24"/>
          <w:szCs w:val="24"/>
        </w:rPr>
        <w:t xml:space="preserve">buvo </w:t>
      </w:r>
      <w:r w:rsidR="00E27134">
        <w:rPr>
          <w:sz w:val="24"/>
          <w:szCs w:val="24"/>
        </w:rPr>
        <w:t>įvardytos</w:t>
      </w:r>
      <w:r w:rsidR="00F7310F">
        <w:rPr>
          <w:sz w:val="24"/>
          <w:szCs w:val="24"/>
        </w:rPr>
        <w:t xml:space="preserve">, kaip turinčios </w:t>
      </w:r>
      <w:r w:rsidRPr="00BC348A">
        <w:rPr>
          <w:sz w:val="24"/>
          <w:szCs w:val="24"/>
        </w:rPr>
        <w:t>įtak</w:t>
      </w:r>
      <w:r w:rsidR="00F7310F">
        <w:rPr>
          <w:sz w:val="24"/>
          <w:szCs w:val="24"/>
        </w:rPr>
        <w:t xml:space="preserve">os </w:t>
      </w:r>
      <w:r w:rsidRPr="00BC348A">
        <w:rPr>
          <w:sz w:val="24"/>
          <w:szCs w:val="24"/>
        </w:rPr>
        <w:t>sutarties vertinimui statistiniu požiūriu, paminėtinos šios Sutarties projekto nuostatos:</w:t>
      </w:r>
    </w:p>
    <w:p w14:paraId="2BD1B5DB" w14:textId="5F28E57A" w:rsidR="00701306" w:rsidRPr="00C61DA5" w:rsidRDefault="00BA7BC3" w:rsidP="00701306">
      <w:pPr>
        <w:pStyle w:val="paragrafesrasas2lygis"/>
        <w:tabs>
          <w:tab w:val="left" w:pos="993"/>
        </w:tabs>
        <w:spacing w:after="0" w:line="240" w:lineRule="auto"/>
        <w:ind w:firstLine="568"/>
        <w:rPr>
          <w:sz w:val="24"/>
          <w:szCs w:val="24"/>
        </w:rPr>
      </w:pPr>
      <w:r w:rsidRPr="00C61DA5">
        <w:rPr>
          <w:rFonts w:eastAsia="Calibri"/>
          <w:sz w:val="24"/>
          <w:szCs w:val="24"/>
        </w:rPr>
        <w:t xml:space="preserve">2.1) dėl Sutarties Projekto 11 punkto nuostatų, susijusių su koncesininko atliktų darbų patikrinimu/priėmimu, turėtų </w:t>
      </w:r>
      <w:r w:rsidR="0034701A" w:rsidRPr="00C61DA5">
        <w:rPr>
          <w:sz w:val="24"/>
          <w:szCs w:val="24"/>
        </w:rPr>
        <w:t xml:space="preserve">būti nustatyti kriterijai, apimtys, elementai, kurie yra tikrinami priimant Darbus. Todėl </w:t>
      </w:r>
      <w:r w:rsidR="00E27134" w:rsidRPr="00C61DA5">
        <w:rPr>
          <w:sz w:val="24"/>
          <w:szCs w:val="24"/>
        </w:rPr>
        <w:t xml:space="preserve">rekomenduotina </w:t>
      </w:r>
      <w:r w:rsidRPr="00C61DA5">
        <w:rPr>
          <w:sz w:val="24"/>
          <w:szCs w:val="24"/>
        </w:rPr>
        <w:t xml:space="preserve">tai nustatyti </w:t>
      </w:r>
      <w:r w:rsidR="0034701A" w:rsidRPr="00C61DA5">
        <w:rPr>
          <w:sz w:val="24"/>
          <w:szCs w:val="24"/>
        </w:rPr>
        <w:t>arba Sutart</w:t>
      </w:r>
      <w:r w:rsidR="00E27134" w:rsidRPr="00C61DA5">
        <w:rPr>
          <w:sz w:val="24"/>
          <w:szCs w:val="24"/>
        </w:rPr>
        <w:t>ies projekte</w:t>
      </w:r>
      <w:r w:rsidR="0034701A" w:rsidRPr="00C61DA5">
        <w:rPr>
          <w:sz w:val="24"/>
          <w:szCs w:val="24"/>
        </w:rPr>
        <w:t>, arba parengti atskirą priedą prie Sutarties</w:t>
      </w:r>
      <w:r w:rsidR="00701306" w:rsidRPr="00C61DA5">
        <w:rPr>
          <w:sz w:val="24"/>
          <w:szCs w:val="24"/>
        </w:rPr>
        <w:t>;</w:t>
      </w:r>
    </w:p>
    <w:p w14:paraId="2F50FDFB" w14:textId="68B0EFEF" w:rsidR="00701306" w:rsidRPr="00C61DA5" w:rsidRDefault="00BA7BC3" w:rsidP="00701306">
      <w:pPr>
        <w:pStyle w:val="paragrafesrasas2lygis"/>
        <w:tabs>
          <w:tab w:val="left" w:pos="993"/>
        </w:tabs>
        <w:spacing w:after="0" w:line="240" w:lineRule="auto"/>
        <w:ind w:firstLine="568"/>
        <w:rPr>
          <w:sz w:val="24"/>
          <w:szCs w:val="24"/>
        </w:rPr>
      </w:pPr>
      <w:r w:rsidRPr="00C61DA5">
        <w:rPr>
          <w:sz w:val="24"/>
          <w:szCs w:val="24"/>
        </w:rPr>
        <w:t xml:space="preserve">2.2) </w:t>
      </w:r>
      <w:r w:rsidR="00701306" w:rsidRPr="00C61DA5">
        <w:rPr>
          <w:sz w:val="24"/>
          <w:szCs w:val="24"/>
        </w:rPr>
        <w:t>Sutarties projekto 15.1 punkte nurodyta, kad koncesininkas įsipareigoja laiku, efektyviai ir kokybiškai atlikti Darbus, laiku, efektyviai ir kokybiškai visą Sutarties galiojimo terminą teikti Paslaugas,</w:t>
      </w:r>
      <w:r w:rsidR="00701306" w:rsidRPr="00C61DA5">
        <w:rPr>
          <w:i/>
          <w:sz w:val="24"/>
          <w:szCs w:val="24"/>
        </w:rPr>
        <w:t xml:space="preserve"> suteikti </w:t>
      </w:r>
      <w:r w:rsidR="00F7310F" w:rsidRPr="00C61DA5">
        <w:rPr>
          <w:i/>
          <w:sz w:val="24"/>
          <w:szCs w:val="24"/>
        </w:rPr>
        <w:t xml:space="preserve">SI </w:t>
      </w:r>
      <w:r w:rsidR="00701306" w:rsidRPr="00C61DA5">
        <w:rPr>
          <w:i/>
          <w:sz w:val="24"/>
          <w:szCs w:val="24"/>
        </w:rPr>
        <w:t>ar jos nurodytiems tretiesiems asmenims nemokamas Paslaugas apimtyje, nurodytoje Investuotojo pasiūlyme</w:t>
      </w:r>
      <w:r w:rsidR="00F435D4" w:rsidRPr="00C61DA5">
        <w:rPr>
          <w:i/>
          <w:sz w:val="24"/>
          <w:szCs w:val="24"/>
        </w:rPr>
        <w:t xml:space="preserve">. </w:t>
      </w:r>
      <w:r w:rsidR="00701306" w:rsidRPr="00C61DA5">
        <w:rPr>
          <w:sz w:val="24"/>
          <w:szCs w:val="24"/>
        </w:rPr>
        <w:t xml:space="preserve">Tačiau galutiniame pasiūlyme nurodoma, kad </w:t>
      </w:r>
      <w:r w:rsidR="00701306" w:rsidRPr="00C61DA5">
        <w:rPr>
          <w:color w:val="000000" w:themeColor="text1"/>
          <w:sz w:val="24"/>
          <w:szCs w:val="24"/>
        </w:rPr>
        <w:t xml:space="preserve">nuolaida </w:t>
      </w:r>
      <w:r w:rsidR="00701306" w:rsidRPr="00C61DA5">
        <w:rPr>
          <w:rFonts w:eastAsia="Calibri"/>
          <w:bCs/>
          <w:color w:val="000000" w:themeColor="text1"/>
          <w:sz w:val="24"/>
          <w:szCs w:val="24"/>
        </w:rPr>
        <w:t>Multifunkciniame</w:t>
      </w:r>
      <w:r w:rsidR="00701306" w:rsidRPr="00C61DA5">
        <w:rPr>
          <w:rFonts w:eastAsia="Calibri"/>
          <w:color w:val="000000" w:themeColor="text1"/>
          <w:sz w:val="24"/>
          <w:szCs w:val="24"/>
        </w:rPr>
        <w:t xml:space="preserve"> komplekse teikiamoms paslaugoms </w:t>
      </w:r>
      <w:r w:rsidR="00701306" w:rsidRPr="00C61DA5">
        <w:rPr>
          <w:color w:val="000000" w:themeColor="text1"/>
          <w:sz w:val="24"/>
          <w:szCs w:val="24"/>
        </w:rPr>
        <w:t>Suteikiančiosios institucijos poreikiams siekia 50 proc.</w:t>
      </w:r>
      <w:r w:rsidR="00F7310F" w:rsidRPr="00C61DA5">
        <w:rPr>
          <w:color w:val="000000" w:themeColor="text1"/>
          <w:sz w:val="24"/>
          <w:szCs w:val="24"/>
        </w:rPr>
        <w:t xml:space="preserve"> nuo komercinių kainų. Iš to galima daryti išvadas, kad dalis ar visos SI </w:t>
      </w:r>
      <w:r w:rsidR="00E27134" w:rsidRPr="00C61DA5">
        <w:rPr>
          <w:color w:val="000000" w:themeColor="text1"/>
          <w:sz w:val="24"/>
          <w:szCs w:val="24"/>
        </w:rPr>
        <w:t xml:space="preserve">gaunamos </w:t>
      </w:r>
      <w:r w:rsidR="00F7310F" w:rsidRPr="00C61DA5">
        <w:rPr>
          <w:color w:val="000000" w:themeColor="text1"/>
          <w:sz w:val="24"/>
          <w:szCs w:val="24"/>
        </w:rPr>
        <w:t xml:space="preserve"> paslaugos nėra nemokamos. Rekomenduotina identifikuoti, kas dengia likusius 50 proc. </w:t>
      </w:r>
      <w:r w:rsidR="00E27134" w:rsidRPr="00C61DA5">
        <w:rPr>
          <w:color w:val="000000" w:themeColor="text1"/>
          <w:sz w:val="24"/>
          <w:szCs w:val="24"/>
        </w:rPr>
        <w:t>SI</w:t>
      </w:r>
      <w:r w:rsidR="00F7310F" w:rsidRPr="00C61DA5">
        <w:rPr>
          <w:color w:val="000000" w:themeColor="text1"/>
          <w:sz w:val="24"/>
          <w:szCs w:val="24"/>
        </w:rPr>
        <w:t xml:space="preserve"> poreikiams teikiamų paslaugų kainos –  </w:t>
      </w:r>
      <w:r w:rsidR="00E27134" w:rsidRPr="00C61DA5">
        <w:rPr>
          <w:color w:val="000000" w:themeColor="text1"/>
          <w:sz w:val="24"/>
          <w:szCs w:val="24"/>
        </w:rPr>
        <w:t>SI</w:t>
      </w:r>
      <w:r w:rsidR="00F7310F" w:rsidRPr="00C61DA5">
        <w:rPr>
          <w:color w:val="000000" w:themeColor="text1"/>
          <w:sz w:val="24"/>
          <w:szCs w:val="24"/>
        </w:rPr>
        <w:t xml:space="preserve"> ar tretieji asmenys;  </w:t>
      </w:r>
    </w:p>
    <w:p w14:paraId="4ED967FF" w14:textId="15916AA8" w:rsidR="00BC348A" w:rsidRPr="00C61DA5" w:rsidRDefault="00F7310F" w:rsidP="00701306">
      <w:pPr>
        <w:pStyle w:val="paragrafesrasas2lygis"/>
        <w:tabs>
          <w:tab w:val="left" w:pos="993"/>
        </w:tabs>
        <w:spacing w:after="0" w:line="240" w:lineRule="auto"/>
        <w:ind w:firstLine="568"/>
        <w:rPr>
          <w:sz w:val="24"/>
          <w:szCs w:val="24"/>
        </w:rPr>
      </w:pPr>
      <w:r w:rsidRPr="00C61DA5">
        <w:rPr>
          <w:sz w:val="24"/>
          <w:szCs w:val="24"/>
        </w:rPr>
        <w:t xml:space="preserve">2.3) </w:t>
      </w:r>
      <w:r w:rsidR="0034701A" w:rsidRPr="00C61DA5">
        <w:rPr>
          <w:sz w:val="24"/>
          <w:szCs w:val="24"/>
        </w:rPr>
        <w:t>Sutarties 15.8 punkt</w:t>
      </w:r>
      <w:r w:rsidR="00BC348A" w:rsidRPr="00C61DA5">
        <w:rPr>
          <w:sz w:val="24"/>
          <w:szCs w:val="24"/>
        </w:rPr>
        <w:t>ą</w:t>
      </w:r>
      <w:r w:rsidR="0034701A" w:rsidRPr="00C61DA5">
        <w:rPr>
          <w:sz w:val="24"/>
          <w:szCs w:val="24"/>
        </w:rPr>
        <w:t xml:space="preserve">  </w:t>
      </w:r>
      <w:r w:rsidR="00BA7BC3" w:rsidRPr="00C61DA5">
        <w:rPr>
          <w:sz w:val="24"/>
          <w:szCs w:val="24"/>
        </w:rPr>
        <w:t xml:space="preserve">rekomenduotina papildyti nuostatomis, kad </w:t>
      </w:r>
      <w:r w:rsidR="00BC348A" w:rsidRPr="00C61DA5">
        <w:rPr>
          <w:sz w:val="24"/>
          <w:szCs w:val="24"/>
        </w:rPr>
        <w:t xml:space="preserve">koncesininko </w:t>
      </w:r>
      <w:r w:rsidR="0034701A" w:rsidRPr="00C61DA5">
        <w:rPr>
          <w:sz w:val="24"/>
          <w:szCs w:val="24"/>
        </w:rPr>
        <w:t xml:space="preserve">finansiniai įsipareigojimai pagal susitarimus su Subtiekėjais, numatyti Finansiniame veiklos modelyje, nelaikomi esminiais </w:t>
      </w:r>
      <w:r w:rsidR="00701306" w:rsidRPr="00C61DA5">
        <w:rPr>
          <w:sz w:val="24"/>
          <w:szCs w:val="24"/>
        </w:rPr>
        <w:t xml:space="preserve">šios </w:t>
      </w:r>
      <w:r w:rsidR="0034701A" w:rsidRPr="00C61DA5">
        <w:rPr>
          <w:sz w:val="24"/>
          <w:szCs w:val="24"/>
        </w:rPr>
        <w:t xml:space="preserve">Sutarties 15.8 punkto prasme, </w:t>
      </w:r>
      <w:r w:rsidR="0034701A" w:rsidRPr="00C61DA5">
        <w:rPr>
          <w:i/>
          <w:sz w:val="24"/>
          <w:szCs w:val="24"/>
        </w:rPr>
        <w:t>jei</w:t>
      </w:r>
      <w:r w:rsidR="00701306" w:rsidRPr="00C61DA5">
        <w:rPr>
          <w:i/>
          <w:sz w:val="24"/>
          <w:szCs w:val="24"/>
        </w:rPr>
        <w:t>gu</w:t>
      </w:r>
      <w:r w:rsidR="0034701A" w:rsidRPr="00C61DA5">
        <w:rPr>
          <w:i/>
          <w:sz w:val="24"/>
          <w:szCs w:val="24"/>
        </w:rPr>
        <w:t xml:space="preserve"> jie nedidina S</w:t>
      </w:r>
      <w:r w:rsidR="00BC348A" w:rsidRPr="00C61DA5">
        <w:rPr>
          <w:i/>
          <w:sz w:val="24"/>
          <w:szCs w:val="24"/>
        </w:rPr>
        <w:t xml:space="preserve">I </w:t>
      </w:r>
      <w:r w:rsidR="0034701A" w:rsidRPr="00C61DA5">
        <w:rPr>
          <w:i/>
          <w:sz w:val="24"/>
          <w:szCs w:val="24"/>
        </w:rPr>
        <w:t>įsipareigojimų</w:t>
      </w:r>
      <w:r w:rsidR="00701306" w:rsidRPr="00C61DA5">
        <w:rPr>
          <w:sz w:val="24"/>
          <w:szCs w:val="24"/>
        </w:rPr>
        <w:t>;</w:t>
      </w:r>
    </w:p>
    <w:p w14:paraId="0A1BD0D7" w14:textId="66F18D8C" w:rsidR="00BC348A" w:rsidRPr="00C61DA5" w:rsidRDefault="00F7310F" w:rsidP="00F7310F">
      <w:pPr>
        <w:pStyle w:val="paragrafesrasas2lygis"/>
        <w:tabs>
          <w:tab w:val="left" w:pos="993"/>
        </w:tabs>
        <w:spacing w:after="0" w:line="240" w:lineRule="auto"/>
        <w:ind w:firstLine="568"/>
        <w:rPr>
          <w:sz w:val="24"/>
          <w:szCs w:val="24"/>
        </w:rPr>
      </w:pPr>
      <w:r w:rsidRPr="00C61DA5">
        <w:rPr>
          <w:sz w:val="24"/>
          <w:szCs w:val="24"/>
        </w:rPr>
        <w:t xml:space="preserve">2.4) </w:t>
      </w:r>
      <w:r w:rsidR="0034701A" w:rsidRPr="00C61DA5">
        <w:rPr>
          <w:sz w:val="24"/>
          <w:szCs w:val="24"/>
        </w:rPr>
        <w:t xml:space="preserve">Sutarties </w:t>
      </w:r>
      <w:r w:rsidR="00B36BCD" w:rsidRPr="00C61DA5">
        <w:rPr>
          <w:sz w:val="24"/>
          <w:szCs w:val="24"/>
        </w:rPr>
        <w:t xml:space="preserve">projekto </w:t>
      </w:r>
      <w:r w:rsidR="0034701A" w:rsidRPr="00C61DA5">
        <w:rPr>
          <w:sz w:val="24"/>
          <w:szCs w:val="24"/>
        </w:rPr>
        <w:t>22.1 punkt</w:t>
      </w:r>
      <w:r w:rsidR="00B36BCD" w:rsidRPr="00C61DA5">
        <w:rPr>
          <w:sz w:val="24"/>
          <w:szCs w:val="24"/>
        </w:rPr>
        <w:t xml:space="preserve">e nustatyti Atleidimo atvejai, kai koncesininkas turi teisę </w:t>
      </w:r>
      <w:r w:rsidR="00B36BCD" w:rsidRPr="00C61DA5">
        <w:rPr>
          <w:i/>
          <w:sz w:val="24"/>
          <w:szCs w:val="24"/>
        </w:rPr>
        <w:t>laikinai sustabdyti</w:t>
      </w:r>
      <w:r w:rsidR="00B36BCD" w:rsidRPr="00C61DA5">
        <w:rPr>
          <w:sz w:val="24"/>
          <w:szCs w:val="24"/>
        </w:rPr>
        <w:t xml:space="preserve"> Darbų atlikimą ir/ar Paslaugų teikimą</w:t>
      </w:r>
      <w:r w:rsidR="0034701A" w:rsidRPr="00C61DA5">
        <w:rPr>
          <w:sz w:val="24"/>
          <w:szCs w:val="24"/>
        </w:rPr>
        <w:t xml:space="preserve">. </w:t>
      </w:r>
      <w:r w:rsidR="00B36BCD" w:rsidRPr="00C61DA5">
        <w:rPr>
          <w:sz w:val="24"/>
          <w:szCs w:val="24"/>
        </w:rPr>
        <w:t>Tačiau k</w:t>
      </w:r>
      <w:r w:rsidR="0034701A" w:rsidRPr="00C61DA5">
        <w:rPr>
          <w:sz w:val="24"/>
          <w:szCs w:val="24"/>
        </w:rPr>
        <w:t xml:space="preserve">oncesininkas turi imtis </w:t>
      </w:r>
      <w:r w:rsidR="00E27134" w:rsidRPr="00C61DA5">
        <w:rPr>
          <w:sz w:val="24"/>
          <w:szCs w:val="24"/>
        </w:rPr>
        <w:t xml:space="preserve">visų </w:t>
      </w:r>
      <w:r w:rsidR="0034701A" w:rsidRPr="00C61DA5">
        <w:rPr>
          <w:sz w:val="24"/>
          <w:szCs w:val="24"/>
        </w:rPr>
        <w:t>priemonių užtikrinti kad Darbai/Paslaugos būtų vykdomi/teikiami, t.</w:t>
      </w:r>
      <w:r w:rsidR="00B36BCD" w:rsidRPr="00C61DA5">
        <w:rPr>
          <w:sz w:val="24"/>
          <w:szCs w:val="24"/>
        </w:rPr>
        <w:t xml:space="preserve"> </w:t>
      </w:r>
      <w:r w:rsidR="0034701A" w:rsidRPr="00C61DA5">
        <w:rPr>
          <w:sz w:val="24"/>
          <w:szCs w:val="24"/>
        </w:rPr>
        <w:t xml:space="preserve">y. Darbai/Paslaugos nestabdomi. </w:t>
      </w:r>
      <w:r w:rsidR="00B36BCD" w:rsidRPr="00C61DA5">
        <w:rPr>
          <w:sz w:val="24"/>
          <w:szCs w:val="24"/>
        </w:rPr>
        <w:t>Sustabdymas nėra tinkama formuluotė, manytume, kad 22.1 punkte turėtų būti nustatyti atvejai, kai k</w:t>
      </w:r>
      <w:r w:rsidR="0034701A" w:rsidRPr="00C61DA5">
        <w:rPr>
          <w:sz w:val="24"/>
          <w:szCs w:val="24"/>
        </w:rPr>
        <w:t xml:space="preserve">oncesininkas pilnai ar iš dalies negali vykdyti Darbų ar teikti Paslaugų. </w:t>
      </w:r>
    </w:p>
    <w:p w14:paraId="4D16DA82" w14:textId="6397DD13" w:rsidR="00AA2309" w:rsidRPr="00C61DA5" w:rsidRDefault="00B36BCD" w:rsidP="00AA2309">
      <w:pPr>
        <w:pStyle w:val="paragrafesrasas2lygis"/>
        <w:tabs>
          <w:tab w:val="left" w:pos="993"/>
        </w:tabs>
        <w:spacing w:after="0" w:line="240" w:lineRule="auto"/>
        <w:ind w:firstLine="568"/>
        <w:rPr>
          <w:sz w:val="24"/>
          <w:szCs w:val="24"/>
        </w:rPr>
      </w:pPr>
      <w:r w:rsidRPr="00C61DA5">
        <w:rPr>
          <w:sz w:val="24"/>
          <w:szCs w:val="24"/>
        </w:rPr>
        <w:t xml:space="preserve">2.5) </w:t>
      </w:r>
      <w:r w:rsidR="0034701A" w:rsidRPr="00C61DA5">
        <w:rPr>
          <w:sz w:val="24"/>
          <w:szCs w:val="24"/>
        </w:rPr>
        <w:t>Atleidimo atvejų sąrašas turi būti galutinis</w:t>
      </w:r>
      <w:r w:rsidR="00E27134" w:rsidRPr="00C61DA5">
        <w:rPr>
          <w:sz w:val="24"/>
          <w:szCs w:val="24"/>
        </w:rPr>
        <w:t xml:space="preserve">. </w:t>
      </w:r>
      <w:r w:rsidRPr="00C61DA5">
        <w:rPr>
          <w:sz w:val="24"/>
          <w:szCs w:val="24"/>
        </w:rPr>
        <w:t xml:space="preserve">Rekomenduotina Atleidimo atvejus papildyti </w:t>
      </w:r>
      <w:r w:rsidR="0034701A" w:rsidRPr="00C61DA5">
        <w:rPr>
          <w:sz w:val="24"/>
          <w:szCs w:val="24"/>
        </w:rPr>
        <w:t>atveju, kai vėluojama vykdyti Darbus dėl archeologinių radinių, kultūros paveldo</w:t>
      </w:r>
      <w:r w:rsidRPr="00C61DA5">
        <w:rPr>
          <w:sz w:val="24"/>
          <w:szCs w:val="24"/>
        </w:rPr>
        <w:t>;</w:t>
      </w:r>
    </w:p>
    <w:p w14:paraId="4DC2588F" w14:textId="6DD5EBB8" w:rsidR="00AA2309" w:rsidRPr="00C61DA5" w:rsidRDefault="00B36BCD" w:rsidP="00AA2309">
      <w:pPr>
        <w:pStyle w:val="paragrafesrasas2lygis"/>
        <w:tabs>
          <w:tab w:val="left" w:pos="993"/>
        </w:tabs>
        <w:spacing w:after="0" w:line="240" w:lineRule="auto"/>
        <w:ind w:firstLine="568"/>
        <w:rPr>
          <w:sz w:val="24"/>
          <w:szCs w:val="24"/>
        </w:rPr>
      </w:pPr>
      <w:r w:rsidRPr="00C61DA5">
        <w:rPr>
          <w:sz w:val="24"/>
          <w:szCs w:val="24"/>
        </w:rPr>
        <w:t>2.6) SI</w:t>
      </w:r>
      <w:r w:rsidR="0034701A" w:rsidRPr="00C61DA5">
        <w:rPr>
          <w:sz w:val="24"/>
          <w:szCs w:val="24"/>
        </w:rPr>
        <w:t xml:space="preserve"> turi </w:t>
      </w:r>
      <w:r w:rsidR="00AA2309" w:rsidRPr="00C61DA5">
        <w:rPr>
          <w:sz w:val="24"/>
          <w:szCs w:val="24"/>
        </w:rPr>
        <w:t xml:space="preserve">pati nuolat </w:t>
      </w:r>
      <w:r w:rsidR="0034701A" w:rsidRPr="00C61DA5">
        <w:rPr>
          <w:sz w:val="24"/>
          <w:szCs w:val="24"/>
        </w:rPr>
        <w:t>vykdyt</w:t>
      </w:r>
      <w:r w:rsidR="00051C4B" w:rsidRPr="00C61DA5">
        <w:rPr>
          <w:sz w:val="24"/>
          <w:szCs w:val="24"/>
        </w:rPr>
        <w:t>i</w:t>
      </w:r>
      <w:r w:rsidR="0034701A" w:rsidRPr="00C61DA5">
        <w:rPr>
          <w:sz w:val="24"/>
          <w:szCs w:val="24"/>
        </w:rPr>
        <w:t xml:space="preserve"> </w:t>
      </w:r>
      <w:r w:rsidR="00AA2309" w:rsidRPr="00C61DA5">
        <w:rPr>
          <w:sz w:val="24"/>
          <w:szCs w:val="24"/>
        </w:rPr>
        <w:t xml:space="preserve">paslaugų teikimo </w:t>
      </w:r>
      <w:r w:rsidR="0034701A" w:rsidRPr="00C61DA5">
        <w:rPr>
          <w:sz w:val="24"/>
          <w:szCs w:val="24"/>
        </w:rPr>
        <w:t xml:space="preserve">patikrą, todėl </w:t>
      </w:r>
      <w:r w:rsidR="00AA2309" w:rsidRPr="00C61DA5">
        <w:rPr>
          <w:sz w:val="24"/>
          <w:szCs w:val="24"/>
        </w:rPr>
        <w:t xml:space="preserve">rekomenduotina </w:t>
      </w:r>
      <w:r w:rsidR="0034701A" w:rsidRPr="00C61DA5">
        <w:rPr>
          <w:sz w:val="24"/>
          <w:szCs w:val="24"/>
        </w:rPr>
        <w:t xml:space="preserve">Sutarties </w:t>
      </w:r>
      <w:r w:rsidR="0034701A" w:rsidRPr="00C61DA5">
        <w:rPr>
          <w:sz w:val="24"/>
          <w:szCs w:val="24"/>
          <w:lang w:val="en-US"/>
        </w:rPr>
        <w:t>27</w:t>
      </w:r>
      <w:r w:rsidR="0034701A" w:rsidRPr="00C61DA5">
        <w:rPr>
          <w:sz w:val="24"/>
          <w:szCs w:val="24"/>
        </w:rPr>
        <w:t xml:space="preserve"> punktą papildyti nauju punktu</w:t>
      </w:r>
      <w:r w:rsidR="00AA2309" w:rsidRPr="00C61DA5">
        <w:rPr>
          <w:sz w:val="24"/>
          <w:szCs w:val="24"/>
        </w:rPr>
        <w:t>, kuris nustatytų pareigą SI</w:t>
      </w:r>
      <w:r w:rsidR="0034701A" w:rsidRPr="00C61DA5">
        <w:rPr>
          <w:sz w:val="24"/>
          <w:szCs w:val="24"/>
        </w:rPr>
        <w:t xml:space="preserve"> atlik</w:t>
      </w:r>
      <w:r w:rsidR="00AA2309" w:rsidRPr="00C61DA5">
        <w:rPr>
          <w:sz w:val="24"/>
          <w:szCs w:val="24"/>
        </w:rPr>
        <w:t>ti</w:t>
      </w:r>
      <w:r w:rsidR="0034701A" w:rsidRPr="00C61DA5">
        <w:rPr>
          <w:sz w:val="24"/>
          <w:szCs w:val="24"/>
        </w:rPr>
        <w:t xml:space="preserve"> </w:t>
      </w:r>
      <w:r w:rsidR="00716EA1" w:rsidRPr="00C61DA5">
        <w:rPr>
          <w:sz w:val="24"/>
          <w:szCs w:val="24"/>
        </w:rPr>
        <w:t>k</w:t>
      </w:r>
      <w:r w:rsidR="0034701A" w:rsidRPr="00C61DA5">
        <w:rPr>
          <w:sz w:val="24"/>
          <w:szCs w:val="24"/>
        </w:rPr>
        <w:t>oncesininko veiklos patikrinimą</w:t>
      </w:r>
      <w:r w:rsidR="00AA2309" w:rsidRPr="00C61DA5">
        <w:rPr>
          <w:sz w:val="24"/>
          <w:szCs w:val="24"/>
        </w:rPr>
        <w:t xml:space="preserve">, </w:t>
      </w:r>
      <w:r w:rsidR="0034701A" w:rsidRPr="00C61DA5">
        <w:rPr>
          <w:sz w:val="24"/>
          <w:szCs w:val="24"/>
        </w:rPr>
        <w:t xml:space="preserve"> atsižvelgiant į Paslaugų teikimo planą bei </w:t>
      </w:r>
      <w:r w:rsidR="00716EA1" w:rsidRPr="00C61DA5">
        <w:rPr>
          <w:sz w:val="24"/>
          <w:szCs w:val="24"/>
        </w:rPr>
        <w:t>k</w:t>
      </w:r>
      <w:r w:rsidR="0034701A" w:rsidRPr="00C61DA5">
        <w:rPr>
          <w:sz w:val="24"/>
          <w:szCs w:val="24"/>
        </w:rPr>
        <w:t>oncesininko mėnesinėje ataskaitoje pateiktą informaciją</w:t>
      </w:r>
      <w:r w:rsidR="00AA2309" w:rsidRPr="00C61DA5">
        <w:rPr>
          <w:sz w:val="24"/>
          <w:szCs w:val="24"/>
        </w:rPr>
        <w:t xml:space="preserve">. Be to, reikalinga papildyti Sutarties </w:t>
      </w:r>
      <w:r w:rsidR="00AA2309" w:rsidRPr="00C61DA5">
        <w:rPr>
          <w:sz w:val="24"/>
          <w:szCs w:val="24"/>
          <w:lang w:val="en-US"/>
        </w:rPr>
        <w:t>27</w:t>
      </w:r>
      <w:r w:rsidR="00AA2309" w:rsidRPr="00C61DA5">
        <w:rPr>
          <w:sz w:val="24"/>
          <w:szCs w:val="24"/>
        </w:rPr>
        <w:t xml:space="preserve"> punktą nuostata, kad </w:t>
      </w:r>
      <w:r w:rsidR="00716EA1" w:rsidRPr="00C61DA5">
        <w:rPr>
          <w:sz w:val="24"/>
          <w:szCs w:val="24"/>
        </w:rPr>
        <w:t>k</w:t>
      </w:r>
      <w:r w:rsidR="00AA2309" w:rsidRPr="00C61DA5">
        <w:rPr>
          <w:sz w:val="24"/>
          <w:szCs w:val="24"/>
        </w:rPr>
        <w:t>oncesininkas privalo sudaryti sąlygas pagal teisės aktų reikalavimus veikiančioms valdžios ar kontrolės institucijoms, įskaitant, bet neapsiribojant Valstybės kontrolę, Valstybinę mokesčių inspekciją prie Finansų ministerijos, Viešųjų pirkimų tarnyb</w:t>
      </w:r>
      <w:r w:rsidR="00993308" w:rsidRPr="00C61DA5">
        <w:rPr>
          <w:sz w:val="24"/>
          <w:szCs w:val="24"/>
        </w:rPr>
        <w:t>ą</w:t>
      </w:r>
      <w:r w:rsidR="00AA2309" w:rsidRPr="00C61DA5">
        <w:rPr>
          <w:sz w:val="24"/>
          <w:szCs w:val="24"/>
        </w:rPr>
        <w:t>, atlikti atitikimo Sutartyje nustatytiems reikalavimams ir/ar kitus patikrinimus;</w:t>
      </w:r>
    </w:p>
    <w:p w14:paraId="7D92A1A1" w14:textId="77777777" w:rsidR="00AA2309" w:rsidRPr="00C61DA5" w:rsidRDefault="00AA2309" w:rsidP="00AA2309">
      <w:pPr>
        <w:pStyle w:val="paragrafesrasas2lygis"/>
        <w:tabs>
          <w:tab w:val="left" w:pos="993"/>
        </w:tabs>
        <w:spacing w:after="0" w:line="240" w:lineRule="auto"/>
        <w:ind w:firstLine="568"/>
        <w:rPr>
          <w:sz w:val="24"/>
          <w:szCs w:val="24"/>
        </w:rPr>
      </w:pPr>
      <w:r w:rsidRPr="00C61DA5">
        <w:rPr>
          <w:sz w:val="24"/>
          <w:szCs w:val="24"/>
        </w:rPr>
        <w:t xml:space="preserve">2.7) rekomenduotina </w:t>
      </w:r>
      <w:r w:rsidR="0034701A" w:rsidRPr="00C61DA5">
        <w:rPr>
          <w:sz w:val="24"/>
          <w:szCs w:val="24"/>
        </w:rPr>
        <w:t xml:space="preserve">Sutarties </w:t>
      </w:r>
      <w:r w:rsidRPr="00C61DA5">
        <w:rPr>
          <w:sz w:val="24"/>
          <w:szCs w:val="24"/>
        </w:rPr>
        <w:t xml:space="preserve">projekto </w:t>
      </w:r>
      <w:r w:rsidR="0034701A" w:rsidRPr="00C61DA5">
        <w:rPr>
          <w:sz w:val="24"/>
          <w:szCs w:val="24"/>
          <w:lang w:val="en-US"/>
        </w:rPr>
        <w:t>27.2.1</w:t>
      </w:r>
      <w:r w:rsidR="0034701A" w:rsidRPr="00C61DA5">
        <w:rPr>
          <w:sz w:val="24"/>
          <w:szCs w:val="24"/>
        </w:rPr>
        <w:t xml:space="preserve"> punktą papildyti „ir Koncesininkas neištaiso šių trūkumų arba nepateikia paaiškinimų per Suteikiančiosios institucijos nustatytą terminą“</w:t>
      </w:r>
      <w:r w:rsidRPr="00C61DA5">
        <w:rPr>
          <w:sz w:val="24"/>
          <w:szCs w:val="24"/>
        </w:rPr>
        <w:t>;</w:t>
      </w:r>
    </w:p>
    <w:p w14:paraId="3359A1FF" w14:textId="7B0FB2C4" w:rsidR="00AA2309" w:rsidRPr="00C61DA5" w:rsidRDefault="00AA2309" w:rsidP="00AA2309">
      <w:pPr>
        <w:pStyle w:val="paragrafesrasas2lygis"/>
        <w:tabs>
          <w:tab w:val="left" w:pos="993"/>
        </w:tabs>
        <w:spacing w:after="0" w:line="240" w:lineRule="auto"/>
        <w:ind w:firstLine="568"/>
        <w:rPr>
          <w:sz w:val="24"/>
          <w:szCs w:val="24"/>
        </w:rPr>
      </w:pPr>
      <w:r w:rsidRPr="00C61DA5">
        <w:rPr>
          <w:sz w:val="24"/>
          <w:szCs w:val="24"/>
        </w:rPr>
        <w:t xml:space="preserve">2.8) rekomenduotina atsisakyti </w:t>
      </w:r>
      <w:r w:rsidR="0034701A" w:rsidRPr="00C61DA5">
        <w:rPr>
          <w:sz w:val="24"/>
          <w:szCs w:val="24"/>
        </w:rPr>
        <w:t xml:space="preserve">Sutarties </w:t>
      </w:r>
      <w:r w:rsidR="0034701A" w:rsidRPr="00C61DA5">
        <w:rPr>
          <w:sz w:val="24"/>
          <w:szCs w:val="24"/>
          <w:lang w:val="en-US"/>
        </w:rPr>
        <w:t>29.3.2</w:t>
      </w:r>
      <w:r w:rsidR="0034701A" w:rsidRPr="00C61DA5">
        <w:rPr>
          <w:sz w:val="24"/>
          <w:szCs w:val="24"/>
        </w:rPr>
        <w:t xml:space="preserve"> punkte nuorodos į </w:t>
      </w:r>
      <w:r w:rsidR="0034701A" w:rsidRPr="00C61DA5">
        <w:rPr>
          <w:sz w:val="24"/>
          <w:szCs w:val="24"/>
          <w:lang w:val="en-US"/>
        </w:rPr>
        <w:t>40.2</w:t>
      </w:r>
      <w:r w:rsidR="0034701A" w:rsidRPr="00C61DA5">
        <w:rPr>
          <w:sz w:val="24"/>
          <w:szCs w:val="24"/>
        </w:rPr>
        <w:t xml:space="preserve"> punktą, kadangi laikinas įsipareigojimų vykdymo perleidimas turi įvykti dėl </w:t>
      </w:r>
      <w:r w:rsidRPr="00C61DA5">
        <w:rPr>
          <w:sz w:val="24"/>
          <w:szCs w:val="24"/>
        </w:rPr>
        <w:t>k</w:t>
      </w:r>
      <w:r w:rsidR="0034701A" w:rsidRPr="00C61DA5">
        <w:rPr>
          <w:sz w:val="24"/>
          <w:szCs w:val="24"/>
        </w:rPr>
        <w:t xml:space="preserve">oncesininko kaltės, o ne dėl </w:t>
      </w:r>
      <w:r w:rsidRPr="00C61DA5">
        <w:rPr>
          <w:sz w:val="24"/>
          <w:szCs w:val="24"/>
        </w:rPr>
        <w:t xml:space="preserve">SI </w:t>
      </w:r>
      <w:r w:rsidR="0034701A" w:rsidRPr="00C61DA5">
        <w:rPr>
          <w:sz w:val="24"/>
          <w:szCs w:val="24"/>
        </w:rPr>
        <w:t xml:space="preserve">kaltės. </w:t>
      </w:r>
      <w:r w:rsidRPr="00C61DA5">
        <w:rPr>
          <w:sz w:val="24"/>
          <w:szCs w:val="24"/>
        </w:rPr>
        <w:t xml:space="preserve">Dėl SI </w:t>
      </w:r>
      <w:r w:rsidR="0034701A" w:rsidRPr="00C61DA5">
        <w:rPr>
          <w:sz w:val="24"/>
          <w:szCs w:val="24"/>
        </w:rPr>
        <w:t>kalt</w:t>
      </w:r>
      <w:r w:rsidRPr="00C61DA5">
        <w:rPr>
          <w:sz w:val="24"/>
          <w:szCs w:val="24"/>
        </w:rPr>
        <w:t>ės</w:t>
      </w:r>
      <w:r w:rsidR="0034701A" w:rsidRPr="00C61DA5">
        <w:rPr>
          <w:sz w:val="24"/>
          <w:szCs w:val="24"/>
        </w:rPr>
        <w:t xml:space="preserve"> ne įsipareigojimų perėmim</w:t>
      </w:r>
      <w:r w:rsidRPr="00C61DA5">
        <w:rPr>
          <w:sz w:val="24"/>
          <w:szCs w:val="24"/>
        </w:rPr>
        <w:t>as</w:t>
      </w:r>
      <w:r w:rsidR="0034701A" w:rsidRPr="00C61DA5">
        <w:rPr>
          <w:sz w:val="24"/>
          <w:szCs w:val="24"/>
        </w:rPr>
        <w:t>, o Sutarties nutraukim</w:t>
      </w:r>
      <w:r w:rsidRPr="00C61DA5">
        <w:rPr>
          <w:sz w:val="24"/>
          <w:szCs w:val="24"/>
        </w:rPr>
        <w:t>as turėtų būti inicijuojamas</w:t>
      </w:r>
      <w:r w:rsidR="0034701A" w:rsidRPr="00C61DA5">
        <w:rPr>
          <w:sz w:val="24"/>
          <w:szCs w:val="24"/>
        </w:rPr>
        <w:t xml:space="preserve">. Atitinkamai </w:t>
      </w:r>
      <w:r w:rsidRPr="00C61DA5">
        <w:rPr>
          <w:sz w:val="24"/>
          <w:szCs w:val="24"/>
        </w:rPr>
        <w:t xml:space="preserve">siūlytina </w:t>
      </w:r>
      <w:r w:rsidR="0034701A" w:rsidRPr="00C61DA5">
        <w:rPr>
          <w:sz w:val="24"/>
          <w:szCs w:val="24"/>
        </w:rPr>
        <w:t xml:space="preserve">atsisakyti </w:t>
      </w:r>
      <w:r w:rsidR="0034701A" w:rsidRPr="00C61DA5">
        <w:rPr>
          <w:sz w:val="24"/>
          <w:szCs w:val="24"/>
          <w:lang w:val="en-US"/>
        </w:rPr>
        <w:t>29.4.1</w:t>
      </w:r>
      <w:r w:rsidR="0034701A" w:rsidRPr="00C61DA5">
        <w:rPr>
          <w:sz w:val="24"/>
          <w:szCs w:val="24"/>
        </w:rPr>
        <w:t xml:space="preserve"> punkto</w:t>
      </w:r>
      <w:r w:rsidRPr="00C61DA5">
        <w:rPr>
          <w:sz w:val="24"/>
          <w:szCs w:val="24"/>
        </w:rPr>
        <w:t>;</w:t>
      </w:r>
    </w:p>
    <w:p w14:paraId="02563ACC" w14:textId="3E382DBD" w:rsidR="00DB3DBE" w:rsidRPr="00C61DA5" w:rsidRDefault="00AA2309" w:rsidP="00DB3DBE">
      <w:pPr>
        <w:pStyle w:val="Komentarotekstas"/>
        <w:ind w:firstLine="360"/>
        <w:jc w:val="both"/>
        <w:rPr>
          <w:sz w:val="24"/>
          <w:szCs w:val="24"/>
        </w:rPr>
      </w:pPr>
      <w:r w:rsidRPr="00C61DA5">
        <w:rPr>
          <w:sz w:val="24"/>
          <w:szCs w:val="24"/>
        </w:rPr>
        <w:t>2.9) siūlome</w:t>
      </w:r>
      <w:r w:rsidR="0034701A" w:rsidRPr="00C61DA5">
        <w:rPr>
          <w:sz w:val="24"/>
          <w:szCs w:val="24"/>
        </w:rPr>
        <w:t xml:space="preserve"> </w:t>
      </w:r>
      <w:r w:rsidR="00376226" w:rsidRPr="00C61DA5">
        <w:rPr>
          <w:sz w:val="24"/>
          <w:szCs w:val="24"/>
        </w:rPr>
        <w:t xml:space="preserve">papildyti </w:t>
      </w:r>
      <w:r w:rsidR="0034701A" w:rsidRPr="00C61DA5">
        <w:rPr>
          <w:sz w:val="24"/>
          <w:szCs w:val="24"/>
        </w:rPr>
        <w:t xml:space="preserve">Sutarties </w:t>
      </w:r>
      <w:r w:rsidRPr="00C61DA5">
        <w:rPr>
          <w:sz w:val="24"/>
          <w:szCs w:val="24"/>
        </w:rPr>
        <w:t xml:space="preserve">projekto </w:t>
      </w:r>
      <w:r w:rsidR="0034701A" w:rsidRPr="00C61DA5">
        <w:rPr>
          <w:sz w:val="24"/>
          <w:szCs w:val="24"/>
          <w:lang w:val="en-US"/>
        </w:rPr>
        <w:t>30.1</w:t>
      </w:r>
      <w:r w:rsidR="0034701A" w:rsidRPr="00C61DA5">
        <w:rPr>
          <w:sz w:val="24"/>
          <w:szCs w:val="24"/>
        </w:rPr>
        <w:t xml:space="preserve"> punktą</w:t>
      </w:r>
      <w:r w:rsidR="00376226" w:rsidRPr="00C61DA5">
        <w:rPr>
          <w:sz w:val="24"/>
          <w:szCs w:val="24"/>
        </w:rPr>
        <w:t xml:space="preserve">, kad </w:t>
      </w:r>
      <w:r w:rsidR="0034701A" w:rsidRPr="00C61DA5">
        <w:rPr>
          <w:sz w:val="24"/>
          <w:szCs w:val="24"/>
        </w:rPr>
        <w:t xml:space="preserve">Tiesioginio susitarimo nuostatos </w:t>
      </w:r>
      <w:r w:rsidR="0034701A" w:rsidRPr="00C61DA5">
        <w:rPr>
          <w:i/>
          <w:sz w:val="24"/>
          <w:szCs w:val="24"/>
        </w:rPr>
        <w:t>negali didinti</w:t>
      </w:r>
      <w:r w:rsidR="0034701A" w:rsidRPr="00C61DA5">
        <w:rPr>
          <w:sz w:val="24"/>
          <w:szCs w:val="24"/>
        </w:rPr>
        <w:t xml:space="preserve"> </w:t>
      </w:r>
      <w:r w:rsidR="00376226" w:rsidRPr="00C61DA5">
        <w:rPr>
          <w:sz w:val="24"/>
          <w:szCs w:val="24"/>
        </w:rPr>
        <w:t>SI</w:t>
      </w:r>
      <w:r w:rsidR="0034701A" w:rsidRPr="00C61DA5">
        <w:rPr>
          <w:sz w:val="24"/>
          <w:szCs w:val="24"/>
        </w:rPr>
        <w:t xml:space="preserve"> Sutartimi prisiimtų įsipareigojimų</w:t>
      </w:r>
      <w:r w:rsidR="005158AC" w:rsidRPr="00C61DA5">
        <w:rPr>
          <w:sz w:val="24"/>
          <w:szCs w:val="24"/>
        </w:rPr>
        <w:t>;</w:t>
      </w:r>
    </w:p>
    <w:p w14:paraId="5B6757F9" w14:textId="1F4FD55A" w:rsidR="00DB3DBE" w:rsidRPr="00C61DA5" w:rsidRDefault="00376226" w:rsidP="00DB3DBE">
      <w:pPr>
        <w:pStyle w:val="Komentarotekstas"/>
        <w:ind w:firstLine="360"/>
        <w:jc w:val="both"/>
        <w:rPr>
          <w:sz w:val="24"/>
          <w:szCs w:val="24"/>
        </w:rPr>
      </w:pPr>
      <w:r w:rsidRPr="00C61DA5">
        <w:rPr>
          <w:sz w:val="24"/>
          <w:szCs w:val="24"/>
        </w:rPr>
        <w:t xml:space="preserve">2.10) pagal Konkurso sąlygas iš koncesininko reikalaujama civilinės atsakomybės draudimo ir turto draudimo bei nurodoma, kad remiantis Koncesijų įstatymo 16 straipsnio  7 dalimi  </w:t>
      </w:r>
      <w:r w:rsidR="00716EA1" w:rsidRPr="00C61DA5">
        <w:rPr>
          <w:sz w:val="24"/>
          <w:szCs w:val="24"/>
        </w:rPr>
        <w:t>k</w:t>
      </w:r>
      <w:r w:rsidRPr="00C61DA5">
        <w:rPr>
          <w:sz w:val="24"/>
          <w:szCs w:val="24"/>
        </w:rPr>
        <w:t xml:space="preserve">oncesininkas visam </w:t>
      </w:r>
      <w:r w:rsidR="00716EA1" w:rsidRPr="00C61DA5">
        <w:rPr>
          <w:sz w:val="24"/>
          <w:szCs w:val="24"/>
        </w:rPr>
        <w:t>K</w:t>
      </w:r>
      <w:r w:rsidRPr="00C61DA5">
        <w:rPr>
          <w:sz w:val="24"/>
          <w:szCs w:val="24"/>
        </w:rPr>
        <w:t xml:space="preserve">oncesijos sutarties galiojimo laikotarpiui privalo apdrausti jam Multifunkcinį kompleksą bei Naują turtą maksimalaus dydžio turto atkuriamosios vertės draudimu nuo visų galimų drausti draudžiamųjų rizikų </w:t>
      </w:r>
      <w:r w:rsidRPr="00C61DA5">
        <w:rPr>
          <w:i/>
          <w:sz w:val="24"/>
          <w:szCs w:val="24"/>
        </w:rPr>
        <w:t>Koncesijos sutartyje nustatomomis sąlygomis</w:t>
      </w:r>
      <w:r w:rsidRPr="00C61DA5">
        <w:rPr>
          <w:sz w:val="24"/>
          <w:szCs w:val="24"/>
        </w:rPr>
        <w:t>.</w:t>
      </w:r>
      <w:r w:rsidR="00DB3DBE" w:rsidRPr="00C61DA5">
        <w:rPr>
          <w:sz w:val="24"/>
          <w:szCs w:val="24"/>
        </w:rPr>
        <w:t xml:space="preserve"> Sutarties projekto 33.4 ir </w:t>
      </w:r>
      <w:r w:rsidR="0034701A" w:rsidRPr="00C61DA5">
        <w:rPr>
          <w:sz w:val="24"/>
          <w:szCs w:val="24"/>
          <w:lang w:val="en-US"/>
        </w:rPr>
        <w:t>33.5</w:t>
      </w:r>
      <w:r w:rsidR="0034701A" w:rsidRPr="00C61DA5">
        <w:rPr>
          <w:sz w:val="24"/>
          <w:szCs w:val="24"/>
        </w:rPr>
        <w:t xml:space="preserve"> punkt</w:t>
      </w:r>
      <w:r w:rsidR="00DB3DBE" w:rsidRPr="00C61DA5">
        <w:rPr>
          <w:sz w:val="24"/>
          <w:szCs w:val="24"/>
        </w:rPr>
        <w:t xml:space="preserve">e </w:t>
      </w:r>
      <w:bookmarkStart w:id="1" w:name="_Ref283646269"/>
      <w:bookmarkStart w:id="2" w:name="_Toc284496789"/>
      <w:r w:rsidR="00DB3DBE" w:rsidRPr="00C61DA5">
        <w:rPr>
          <w:sz w:val="24"/>
          <w:szCs w:val="24"/>
        </w:rPr>
        <w:t xml:space="preserve">nustatyta, kad tuo atveju, jeigu </w:t>
      </w:r>
      <w:r w:rsidR="00716EA1" w:rsidRPr="00C61DA5">
        <w:rPr>
          <w:sz w:val="24"/>
          <w:szCs w:val="24"/>
        </w:rPr>
        <w:t>k</w:t>
      </w:r>
      <w:r w:rsidR="00DB3DBE" w:rsidRPr="00C61DA5">
        <w:rPr>
          <w:sz w:val="24"/>
          <w:szCs w:val="24"/>
        </w:rPr>
        <w:t xml:space="preserve">oncesininkas laiku neįvykdo savo įsipareigojimo sudaryti Sutarties </w:t>
      </w:r>
      <w:r w:rsidR="00DB3DBE" w:rsidRPr="00C61DA5">
        <w:rPr>
          <w:sz w:val="24"/>
          <w:szCs w:val="24"/>
        </w:rPr>
        <w:fldChar w:fldCharType="begin"/>
      </w:r>
      <w:r w:rsidR="00DB3DBE" w:rsidRPr="00C61DA5">
        <w:rPr>
          <w:sz w:val="24"/>
          <w:szCs w:val="24"/>
        </w:rPr>
        <w:instrText xml:space="preserve"> REF _Ref342466358 \r \h  \* MERGEFORMAT </w:instrText>
      </w:r>
      <w:r w:rsidR="00DB3DBE" w:rsidRPr="00C61DA5">
        <w:rPr>
          <w:sz w:val="24"/>
          <w:szCs w:val="24"/>
        </w:rPr>
      </w:r>
      <w:r w:rsidR="00DB3DBE" w:rsidRPr="00C61DA5">
        <w:rPr>
          <w:sz w:val="24"/>
          <w:szCs w:val="24"/>
        </w:rPr>
        <w:fldChar w:fldCharType="separate"/>
      </w:r>
      <w:r w:rsidR="00DB3DBE" w:rsidRPr="00C61DA5">
        <w:rPr>
          <w:sz w:val="24"/>
          <w:szCs w:val="24"/>
        </w:rPr>
        <w:t>7</w:t>
      </w:r>
      <w:r w:rsidR="00DB3DBE" w:rsidRPr="00C61DA5">
        <w:rPr>
          <w:sz w:val="24"/>
          <w:szCs w:val="24"/>
        </w:rPr>
        <w:fldChar w:fldCharType="end"/>
      </w:r>
      <w:r w:rsidR="00DB3DBE" w:rsidRPr="00C61DA5">
        <w:rPr>
          <w:sz w:val="24"/>
          <w:szCs w:val="24"/>
        </w:rPr>
        <w:t xml:space="preserve"> priede numatytų Draudimo sutarčių, jas </w:t>
      </w:r>
      <w:r w:rsidR="00716EA1" w:rsidRPr="00C61DA5">
        <w:rPr>
          <w:sz w:val="24"/>
          <w:szCs w:val="24"/>
        </w:rPr>
        <w:t>k</w:t>
      </w:r>
      <w:r w:rsidR="00DB3DBE" w:rsidRPr="00C61DA5">
        <w:rPr>
          <w:sz w:val="24"/>
          <w:szCs w:val="24"/>
        </w:rPr>
        <w:t xml:space="preserve">oncesininko sąskaita gali sudaryti </w:t>
      </w:r>
      <w:r w:rsidR="00EF2D86" w:rsidRPr="00C61DA5">
        <w:rPr>
          <w:sz w:val="24"/>
          <w:szCs w:val="24"/>
        </w:rPr>
        <w:t>SI</w:t>
      </w:r>
      <w:r w:rsidR="00DB3DBE" w:rsidRPr="00C61DA5">
        <w:rPr>
          <w:sz w:val="24"/>
          <w:szCs w:val="24"/>
        </w:rPr>
        <w:t>.</w:t>
      </w:r>
      <w:bookmarkEnd w:id="1"/>
      <w:bookmarkEnd w:id="2"/>
      <w:r w:rsidR="00DB3DBE" w:rsidRPr="00C61DA5">
        <w:rPr>
          <w:sz w:val="24"/>
          <w:szCs w:val="24"/>
        </w:rPr>
        <w:t xml:space="preserve"> Be to, </w:t>
      </w:r>
      <w:r w:rsidR="00716EA1" w:rsidRPr="00C61DA5">
        <w:rPr>
          <w:sz w:val="24"/>
          <w:szCs w:val="24"/>
        </w:rPr>
        <w:t>k</w:t>
      </w:r>
      <w:r w:rsidR="00DB3DBE" w:rsidRPr="00C61DA5">
        <w:rPr>
          <w:sz w:val="24"/>
          <w:szCs w:val="24"/>
        </w:rPr>
        <w:t xml:space="preserve">oncesininkas gali nesudaryti draudimo sutarčių, jeigu draudimo sutarties nėra galimybės sudaryti dėl situacijos draudimo rinkoje, arba </w:t>
      </w:r>
      <w:r w:rsidR="00DB3DBE" w:rsidRPr="00C61DA5">
        <w:rPr>
          <w:i/>
          <w:sz w:val="24"/>
          <w:szCs w:val="24"/>
        </w:rPr>
        <w:t>tokios draudimo sutarties kaštai viršytų 5% Multifunkcinio komplekso vertės.</w:t>
      </w:r>
      <w:r w:rsidR="00DB3DBE" w:rsidRPr="00C61DA5">
        <w:rPr>
          <w:sz w:val="24"/>
          <w:szCs w:val="24"/>
        </w:rPr>
        <w:t xml:space="preserve"> Atvejis, paremtas draudimo sutarties kaštų 5% </w:t>
      </w:r>
      <w:r w:rsidR="00716EA1" w:rsidRPr="00C61DA5">
        <w:rPr>
          <w:sz w:val="24"/>
          <w:szCs w:val="24"/>
        </w:rPr>
        <w:t xml:space="preserve">riba </w:t>
      </w:r>
      <w:r w:rsidR="00DB3DBE" w:rsidRPr="00C61DA5">
        <w:rPr>
          <w:sz w:val="24"/>
          <w:szCs w:val="24"/>
        </w:rPr>
        <w:t>vertintina</w:t>
      </w:r>
      <w:r w:rsidR="00716EA1" w:rsidRPr="00C61DA5">
        <w:rPr>
          <w:sz w:val="24"/>
          <w:szCs w:val="24"/>
        </w:rPr>
        <w:t>s</w:t>
      </w:r>
      <w:r w:rsidR="00DB3DBE" w:rsidRPr="00C61DA5">
        <w:rPr>
          <w:sz w:val="24"/>
          <w:szCs w:val="24"/>
        </w:rPr>
        <w:t xml:space="preserve">, kaip </w:t>
      </w:r>
      <w:r w:rsidR="00EB0E24" w:rsidRPr="00C61DA5">
        <w:rPr>
          <w:sz w:val="24"/>
          <w:szCs w:val="24"/>
        </w:rPr>
        <w:t xml:space="preserve">turintis </w:t>
      </w:r>
      <w:r w:rsidR="00DB3DBE" w:rsidRPr="00C61DA5">
        <w:rPr>
          <w:sz w:val="24"/>
          <w:szCs w:val="24"/>
        </w:rPr>
        <w:t xml:space="preserve">įtakos </w:t>
      </w:r>
      <w:r w:rsidR="00716EA1" w:rsidRPr="00C61DA5">
        <w:rPr>
          <w:sz w:val="24"/>
          <w:szCs w:val="24"/>
        </w:rPr>
        <w:t>statistiniu požiūriu;</w:t>
      </w:r>
      <w:r w:rsidR="00DB3DBE" w:rsidRPr="00C61DA5">
        <w:rPr>
          <w:sz w:val="24"/>
          <w:szCs w:val="24"/>
        </w:rPr>
        <w:t xml:space="preserve"> </w:t>
      </w:r>
    </w:p>
    <w:p w14:paraId="2B519001" w14:textId="5919F7FC" w:rsidR="00AB6343" w:rsidRPr="00C61DA5" w:rsidRDefault="00DB3DBE" w:rsidP="00BC348A">
      <w:pPr>
        <w:pStyle w:val="Komentarotekstas"/>
        <w:ind w:firstLine="360"/>
        <w:jc w:val="both"/>
        <w:rPr>
          <w:sz w:val="24"/>
          <w:szCs w:val="24"/>
        </w:rPr>
      </w:pPr>
      <w:r w:rsidRPr="00C61DA5">
        <w:rPr>
          <w:sz w:val="24"/>
          <w:szCs w:val="24"/>
        </w:rPr>
        <w:t xml:space="preserve">2.11) </w:t>
      </w:r>
      <w:r w:rsidR="0034701A" w:rsidRPr="00C61DA5">
        <w:rPr>
          <w:sz w:val="24"/>
          <w:szCs w:val="24"/>
        </w:rPr>
        <w:t>Rekomenduojama papildyti</w:t>
      </w:r>
      <w:r w:rsidRPr="00C61DA5">
        <w:rPr>
          <w:sz w:val="24"/>
          <w:szCs w:val="24"/>
        </w:rPr>
        <w:t xml:space="preserve"> Sutarties projektą nuostatomis, kad S</w:t>
      </w:r>
      <w:r w:rsidR="0034701A" w:rsidRPr="00C61DA5">
        <w:rPr>
          <w:sz w:val="24"/>
          <w:szCs w:val="24"/>
        </w:rPr>
        <w:t xml:space="preserve">utartis gali būti keičiama pagal oficialius Europos Sąjungos ir (ar) Lietuvos Respublikos valstybės institucijų reikalavimus (raštus) siekiant užtikrinti, kad Sutartis nebūtų apskaitoma valdžios sektoriaus balanse. Tokiu atveju </w:t>
      </w:r>
      <w:r w:rsidR="00EF2D86" w:rsidRPr="00C61DA5">
        <w:rPr>
          <w:sz w:val="24"/>
          <w:szCs w:val="24"/>
        </w:rPr>
        <w:t xml:space="preserve">SI </w:t>
      </w:r>
      <w:r w:rsidR="0034701A" w:rsidRPr="00C61DA5">
        <w:rPr>
          <w:sz w:val="24"/>
          <w:szCs w:val="24"/>
        </w:rPr>
        <w:t>raštu informuoja Koncesininką ir Investuotoją apie Europos Sąjungos ir (ar) Lietuvos Respublikos valstybės institucijų reikalavimus bei suderina su Koncesininku ir Investuotoju būtinus Sutarties pakeitimus, jeigu tokie yra būtini ir jeigu jie nekeičia Šalių ekonominės pusiausvyros.</w:t>
      </w:r>
      <w:r w:rsidR="00D07708" w:rsidRPr="00C61DA5">
        <w:rPr>
          <w:sz w:val="24"/>
          <w:szCs w:val="24"/>
        </w:rPr>
        <w:t xml:space="preserve"> </w:t>
      </w:r>
    </w:p>
    <w:p w14:paraId="54A5D6A6" w14:textId="06076DBE" w:rsidR="00BC348A" w:rsidRPr="00C61DA5" w:rsidRDefault="00AB6343" w:rsidP="00BC348A">
      <w:pPr>
        <w:pStyle w:val="Komentarotekstas"/>
        <w:ind w:firstLine="360"/>
        <w:jc w:val="both"/>
        <w:rPr>
          <w:sz w:val="24"/>
          <w:szCs w:val="24"/>
        </w:rPr>
      </w:pPr>
      <w:r w:rsidRPr="00C61DA5">
        <w:rPr>
          <w:sz w:val="24"/>
          <w:szCs w:val="24"/>
        </w:rPr>
        <w:t xml:space="preserve">2.12) </w:t>
      </w:r>
      <w:r w:rsidR="0034701A" w:rsidRPr="00C61DA5">
        <w:rPr>
          <w:sz w:val="24"/>
          <w:szCs w:val="24"/>
        </w:rPr>
        <w:t xml:space="preserve">Sutarties </w:t>
      </w:r>
      <w:r w:rsidR="0034701A" w:rsidRPr="00C61DA5">
        <w:rPr>
          <w:sz w:val="24"/>
          <w:szCs w:val="24"/>
          <w:lang w:val="en-US"/>
        </w:rPr>
        <w:t xml:space="preserve">43.1 </w:t>
      </w:r>
      <w:r w:rsidR="0034701A" w:rsidRPr="00C61DA5">
        <w:rPr>
          <w:sz w:val="24"/>
          <w:szCs w:val="24"/>
        </w:rPr>
        <w:t xml:space="preserve">punkte prie reikšmės „NK“ </w:t>
      </w:r>
      <w:r w:rsidRPr="00C61DA5">
        <w:rPr>
          <w:sz w:val="24"/>
          <w:szCs w:val="24"/>
        </w:rPr>
        <w:t xml:space="preserve">(nutraukimo kompensacija)  </w:t>
      </w:r>
      <w:r w:rsidR="0034701A" w:rsidRPr="00C61DA5">
        <w:rPr>
          <w:sz w:val="24"/>
          <w:szCs w:val="24"/>
        </w:rPr>
        <w:t>tur</w:t>
      </w:r>
      <w:r w:rsidRPr="00C61DA5">
        <w:rPr>
          <w:sz w:val="24"/>
          <w:szCs w:val="24"/>
        </w:rPr>
        <w:t>ėtų</w:t>
      </w:r>
      <w:r w:rsidR="0034701A" w:rsidRPr="00C61DA5">
        <w:rPr>
          <w:sz w:val="24"/>
          <w:szCs w:val="24"/>
        </w:rPr>
        <w:t xml:space="preserve"> būti nurodyta, kad maksimali kompensacija negali būti didesnė nei Multifunkcinio komplekso vertė, kuri nustatoma nepriklausomo turto vertintojo. Atitinkamai turi būti tikslinama nuostata prie reikšmės „TV“</w:t>
      </w:r>
      <w:r w:rsidRPr="00C61DA5">
        <w:rPr>
          <w:sz w:val="24"/>
          <w:szCs w:val="24"/>
        </w:rPr>
        <w:t>, nes k</w:t>
      </w:r>
      <w:r w:rsidR="0034701A" w:rsidRPr="00C61DA5">
        <w:rPr>
          <w:sz w:val="24"/>
          <w:szCs w:val="24"/>
        </w:rPr>
        <w:t xml:space="preserve">onkretaus </w:t>
      </w:r>
      <w:r w:rsidR="00506C56" w:rsidRPr="00C61DA5">
        <w:rPr>
          <w:sz w:val="24"/>
          <w:szCs w:val="24"/>
        </w:rPr>
        <w:t xml:space="preserve">turto vertinimo metodo </w:t>
      </w:r>
      <w:r w:rsidRPr="00C61DA5">
        <w:rPr>
          <w:sz w:val="24"/>
          <w:szCs w:val="24"/>
        </w:rPr>
        <w:t xml:space="preserve">– išlaidų metodo </w:t>
      </w:r>
      <w:r w:rsidR="00D07708" w:rsidRPr="00C61DA5">
        <w:rPr>
          <w:sz w:val="24"/>
          <w:szCs w:val="24"/>
        </w:rPr>
        <w:t xml:space="preserve">nurodymas </w:t>
      </w:r>
      <w:r w:rsidR="0034701A" w:rsidRPr="00C61DA5">
        <w:rPr>
          <w:sz w:val="24"/>
          <w:szCs w:val="24"/>
        </w:rPr>
        <w:t xml:space="preserve">įtakoja </w:t>
      </w:r>
      <w:r w:rsidR="00D07708" w:rsidRPr="00C61DA5">
        <w:rPr>
          <w:sz w:val="24"/>
          <w:szCs w:val="24"/>
        </w:rPr>
        <w:t>s</w:t>
      </w:r>
      <w:r w:rsidR="0034701A" w:rsidRPr="00C61DA5">
        <w:rPr>
          <w:sz w:val="24"/>
          <w:szCs w:val="24"/>
        </w:rPr>
        <w:t>utarties vertinimą</w:t>
      </w:r>
      <w:r w:rsidR="00D07708" w:rsidRPr="00C61DA5">
        <w:rPr>
          <w:sz w:val="24"/>
          <w:szCs w:val="24"/>
        </w:rPr>
        <w:t xml:space="preserve"> statistiniu požiūriu;</w:t>
      </w:r>
      <w:r w:rsidR="0034701A" w:rsidRPr="00C61DA5">
        <w:rPr>
          <w:sz w:val="24"/>
          <w:szCs w:val="24"/>
        </w:rPr>
        <w:t xml:space="preserve"> </w:t>
      </w:r>
    </w:p>
    <w:p w14:paraId="785A198E" w14:textId="13BDF1D1" w:rsidR="00BC348A" w:rsidRPr="00C61DA5" w:rsidRDefault="00D07708" w:rsidP="00BC348A">
      <w:pPr>
        <w:pStyle w:val="Komentarotekstas"/>
        <w:ind w:firstLine="360"/>
        <w:jc w:val="both"/>
        <w:rPr>
          <w:sz w:val="24"/>
          <w:szCs w:val="24"/>
        </w:rPr>
      </w:pPr>
      <w:r w:rsidRPr="00C61DA5">
        <w:rPr>
          <w:sz w:val="24"/>
          <w:szCs w:val="24"/>
        </w:rPr>
        <w:t>2.13) Atlygio mokėjimui nepakanka vien tik PVM sąskaitos faktūros įvertinimo, nes turi būti įvertinta mėnesinė ataskaita ir jeigu yra nustatyti pažeidimai, Atlygis atitinkamai turi būti mažinamas, todėl siūlytume t</w:t>
      </w:r>
      <w:r w:rsidR="0034701A" w:rsidRPr="00C61DA5">
        <w:rPr>
          <w:sz w:val="24"/>
          <w:szCs w:val="24"/>
        </w:rPr>
        <w:t xml:space="preserve">ikslinti Sutarties </w:t>
      </w:r>
      <w:r w:rsidR="0034701A" w:rsidRPr="00C61DA5">
        <w:rPr>
          <w:sz w:val="24"/>
          <w:szCs w:val="24"/>
          <w:lang w:val="en-US"/>
        </w:rPr>
        <w:t>3</w:t>
      </w:r>
      <w:r w:rsidR="0034701A" w:rsidRPr="00C61DA5">
        <w:rPr>
          <w:sz w:val="24"/>
          <w:szCs w:val="24"/>
        </w:rPr>
        <w:t xml:space="preserve"> priedo </w:t>
      </w:r>
      <w:r w:rsidR="0034701A" w:rsidRPr="00C61DA5">
        <w:rPr>
          <w:sz w:val="24"/>
          <w:szCs w:val="24"/>
          <w:lang w:val="en-US"/>
        </w:rPr>
        <w:t>3.7</w:t>
      </w:r>
      <w:r w:rsidR="0034701A" w:rsidRPr="00C61DA5">
        <w:rPr>
          <w:sz w:val="24"/>
          <w:szCs w:val="24"/>
        </w:rPr>
        <w:t xml:space="preserve"> punktą</w:t>
      </w:r>
      <w:r w:rsidRPr="00C61DA5">
        <w:rPr>
          <w:sz w:val="24"/>
          <w:szCs w:val="24"/>
        </w:rPr>
        <w:t xml:space="preserve">. </w:t>
      </w:r>
      <w:r w:rsidR="0034701A" w:rsidRPr="00C61DA5">
        <w:rPr>
          <w:sz w:val="24"/>
          <w:szCs w:val="24"/>
        </w:rPr>
        <w:t xml:space="preserve"> </w:t>
      </w:r>
    </w:p>
    <w:p w14:paraId="36104DE7" w14:textId="6609D7DB" w:rsidR="0034701A" w:rsidRPr="00C61DA5" w:rsidRDefault="00D07708" w:rsidP="00BC348A">
      <w:pPr>
        <w:pStyle w:val="Komentarotekstas"/>
        <w:ind w:firstLine="360"/>
        <w:jc w:val="both"/>
        <w:rPr>
          <w:color w:val="000000"/>
          <w:sz w:val="24"/>
          <w:szCs w:val="24"/>
        </w:rPr>
      </w:pPr>
      <w:r w:rsidRPr="00C61DA5">
        <w:rPr>
          <w:sz w:val="24"/>
          <w:szCs w:val="24"/>
        </w:rPr>
        <w:t xml:space="preserve">3) </w:t>
      </w:r>
      <w:r w:rsidR="0034701A" w:rsidRPr="00C61DA5">
        <w:rPr>
          <w:sz w:val="24"/>
          <w:szCs w:val="24"/>
        </w:rPr>
        <w:t xml:space="preserve">Siūloma papildyti Sutarties </w:t>
      </w:r>
      <w:r w:rsidR="0034701A" w:rsidRPr="00C61DA5">
        <w:rPr>
          <w:sz w:val="24"/>
          <w:szCs w:val="24"/>
          <w:lang w:val="en-US"/>
        </w:rPr>
        <w:t>4</w:t>
      </w:r>
      <w:r w:rsidR="0034701A" w:rsidRPr="00C61DA5">
        <w:rPr>
          <w:sz w:val="24"/>
          <w:szCs w:val="24"/>
        </w:rPr>
        <w:t xml:space="preserve"> priedo </w:t>
      </w:r>
      <w:r w:rsidR="0034701A" w:rsidRPr="00C61DA5">
        <w:rPr>
          <w:sz w:val="24"/>
          <w:szCs w:val="24"/>
          <w:lang w:val="en-US"/>
        </w:rPr>
        <w:t>2</w:t>
      </w:r>
      <w:r w:rsidR="0034701A" w:rsidRPr="00C61DA5">
        <w:rPr>
          <w:sz w:val="24"/>
          <w:szCs w:val="24"/>
        </w:rPr>
        <w:t xml:space="preserve"> rizik</w:t>
      </w:r>
      <w:r w:rsidRPr="00C61DA5">
        <w:rPr>
          <w:sz w:val="24"/>
          <w:szCs w:val="24"/>
        </w:rPr>
        <w:t>os</w:t>
      </w:r>
      <w:r w:rsidR="0034701A" w:rsidRPr="00C61DA5">
        <w:rPr>
          <w:sz w:val="24"/>
          <w:szCs w:val="24"/>
        </w:rPr>
        <w:t xml:space="preserve"> grupę „Įsigyjamų (atliekamų) Darbų kokybės rizika</w:t>
      </w:r>
      <w:r w:rsidRPr="00C61DA5">
        <w:rPr>
          <w:sz w:val="24"/>
          <w:szCs w:val="24"/>
        </w:rPr>
        <w:t xml:space="preserve">“ </w:t>
      </w:r>
      <w:r w:rsidR="00716EA1" w:rsidRPr="00C61DA5">
        <w:rPr>
          <w:sz w:val="24"/>
          <w:szCs w:val="24"/>
        </w:rPr>
        <w:t>k</w:t>
      </w:r>
      <w:r w:rsidRPr="00C61DA5">
        <w:rPr>
          <w:sz w:val="24"/>
          <w:szCs w:val="24"/>
        </w:rPr>
        <w:t>oncesininkui priskiriamos rizikos atvejais</w:t>
      </w:r>
      <w:r w:rsidR="0034701A" w:rsidRPr="00C61DA5">
        <w:rPr>
          <w:sz w:val="24"/>
          <w:szCs w:val="24"/>
        </w:rPr>
        <w:t xml:space="preserve">: </w:t>
      </w:r>
      <w:r w:rsidRPr="00C61DA5">
        <w:rPr>
          <w:sz w:val="24"/>
          <w:szCs w:val="24"/>
        </w:rPr>
        <w:t xml:space="preserve">1) </w:t>
      </w:r>
      <w:r w:rsidR="0034701A" w:rsidRPr="00C61DA5">
        <w:rPr>
          <w:color w:val="000000"/>
          <w:sz w:val="24"/>
          <w:szCs w:val="24"/>
        </w:rPr>
        <w:t xml:space="preserve">Darbų  kaina nukrypsta nuo planuotos; </w:t>
      </w:r>
      <w:r w:rsidRPr="00C61DA5">
        <w:rPr>
          <w:color w:val="000000"/>
          <w:sz w:val="24"/>
          <w:szCs w:val="24"/>
        </w:rPr>
        <w:t xml:space="preserve">2) </w:t>
      </w:r>
      <w:r w:rsidR="0034701A" w:rsidRPr="00C61DA5">
        <w:rPr>
          <w:color w:val="000000"/>
          <w:sz w:val="24"/>
          <w:szCs w:val="24"/>
        </w:rPr>
        <w:t>Darbų atlikimo terminas nukry</w:t>
      </w:r>
      <w:r w:rsidRPr="00C61DA5">
        <w:rPr>
          <w:color w:val="000000"/>
          <w:sz w:val="24"/>
          <w:szCs w:val="24"/>
        </w:rPr>
        <w:t>p</w:t>
      </w:r>
      <w:r w:rsidR="0034701A" w:rsidRPr="00C61DA5">
        <w:rPr>
          <w:color w:val="000000"/>
          <w:sz w:val="24"/>
          <w:szCs w:val="24"/>
        </w:rPr>
        <w:t>sta nuo planuoto, jeigu tai nėra Atleidimo atvejis ir/ar Kompensavimo įvykis.</w:t>
      </w:r>
    </w:p>
    <w:p w14:paraId="6AD72AF2" w14:textId="77777777" w:rsidR="00B90CF1" w:rsidRDefault="00B90CF1" w:rsidP="00D07B26">
      <w:pPr>
        <w:spacing w:line="260" w:lineRule="atLeast"/>
        <w:ind w:firstLine="720"/>
        <w:jc w:val="both"/>
        <w:rPr>
          <w:szCs w:val="24"/>
        </w:rPr>
      </w:pPr>
    </w:p>
    <w:p w14:paraId="7BD44C1C" w14:textId="77777777" w:rsidR="00BC348A" w:rsidRDefault="00BC348A" w:rsidP="00D07B26">
      <w:pPr>
        <w:spacing w:line="260" w:lineRule="atLeast"/>
        <w:ind w:firstLine="720"/>
        <w:jc w:val="both"/>
        <w:rPr>
          <w:szCs w:val="24"/>
        </w:rPr>
      </w:pPr>
    </w:p>
    <w:p w14:paraId="15612AD1" w14:textId="77777777" w:rsidR="005158AC" w:rsidRDefault="005158AC" w:rsidP="00D07B26">
      <w:pPr>
        <w:spacing w:line="260" w:lineRule="atLeast"/>
        <w:ind w:firstLine="720"/>
        <w:jc w:val="both"/>
        <w:rPr>
          <w:szCs w:val="24"/>
        </w:rPr>
      </w:pPr>
    </w:p>
    <w:p w14:paraId="4BB45377" w14:textId="77777777" w:rsidR="005158AC" w:rsidRDefault="005158AC" w:rsidP="00D07B26">
      <w:pPr>
        <w:spacing w:line="260" w:lineRule="atLeast"/>
        <w:ind w:firstLine="720"/>
        <w:jc w:val="both"/>
        <w:rPr>
          <w:szCs w:val="24"/>
        </w:rPr>
      </w:pPr>
    </w:p>
    <w:p w14:paraId="5FF2D744" w14:textId="77777777" w:rsidR="005158AC" w:rsidRDefault="005158AC" w:rsidP="00D07B26">
      <w:pPr>
        <w:spacing w:line="260" w:lineRule="atLeast"/>
        <w:ind w:firstLine="720"/>
        <w:jc w:val="both"/>
        <w:rPr>
          <w:szCs w:val="24"/>
        </w:rPr>
      </w:pPr>
    </w:p>
    <w:p w14:paraId="02394025" w14:textId="77777777" w:rsidR="005158AC" w:rsidRDefault="005158AC" w:rsidP="00D07B26">
      <w:pPr>
        <w:spacing w:line="260" w:lineRule="atLeast"/>
        <w:ind w:firstLine="720"/>
        <w:jc w:val="both"/>
        <w:rPr>
          <w:szCs w:val="24"/>
        </w:rPr>
      </w:pPr>
    </w:p>
    <w:p w14:paraId="695E8941" w14:textId="77777777" w:rsidR="005158AC" w:rsidRDefault="005158AC" w:rsidP="00D07B26">
      <w:pPr>
        <w:spacing w:line="260" w:lineRule="atLeast"/>
        <w:ind w:firstLine="720"/>
        <w:jc w:val="both"/>
        <w:rPr>
          <w:szCs w:val="24"/>
        </w:rPr>
      </w:pPr>
    </w:p>
    <w:p w14:paraId="6AC47D32" w14:textId="77777777" w:rsidR="005158AC" w:rsidRDefault="005158AC" w:rsidP="00D07B26">
      <w:pPr>
        <w:spacing w:line="260" w:lineRule="atLeast"/>
        <w:ind w:firstLine="720"/>
        <w:jc w:val="both"/>
        <w:rPr>
          <w:szCs w:val="24"/>
        </w:rPr>
      </w:pPr>
    </w:p>
    <w:p w14:paraId="0F03DE4E" w14:textId="77777777" w:rsidR="005158AC" w:rsidRDefault="005158AC" w:rsidP="00D07B26">
      <w:pPr>
        <w:spacing w:line="260" w:lineRule="atLeast"/>
        <w:ind w:firstLine="720"/>
        <w:jc w:val="both"/>
        <w:rPr>
          <w:szCs w:val="24"/>
        </w:rPr>
      </w:pPr>
    </w:p>
    <w:p w14:paraId="22740279" w14:textId="77777777" w:rsidR="005158AC" w:rsidRDefault="005158AC" w:rsidP="00D07B26">
      <w:pPr>
        <w:spacing w:line="260" w:lineRule="atLeast"/>
        <w:ind w:firstLine="720"/>
        <w:jc w:val="both"/>
        <w:rPr>
          <w:szCs w:val="24"/>
        </w:rPr>
      </w:pPr>
    </w:p>
    <w:p w14:paraId="578F8EE8" w14:textId="77777777" w:rsidR="005158AC" w:rsidRDefault="005158AC" w:rsidP="00D07B26">
      <w:pPr>
        <w:spacing w:line="260" w:lineRule="atLeast"/>
        <w:ind w:firstLine="720"/>
        <w:jc w:val="both"/>
        <w:rPr>
          <w:szCs w:val="24"/>
        </w:rPr>
      </w:pPr>
    </w:p>
    <w:p w14:paraId="396A47E7" w14:textId="77777777" w:rsidR="005158AC" w:rsidRDefault="005158AC" w:rsidP="00D07B26">
      <w:pPr>
        <w:spacing w:line="260" w:lineRule="atLeast"/>
        <w:ind w:firstLine="720"/>
        <w:jc w:val="both"/>
        <w:rPr>
          <w:szCs w:val="24"/>
        </w:rPr>
      </w:pPr>
    </w:p>
    <w:p w14:paraId="3D5538CB" w14:textId="77777777" w:rsidR="005158AC" w:rsidRDefault="005158AC" w:rsidP="00D07B26">
      <w:pPr>
        <w:spacing w:line="260" w:lineRule="atLeast"/>
        <w:ind w:firstLine="720"/>
        <w:jc w:val="both"/>
        <w:rPr>
          <w:szCs w:val="24"/>
        </w:rPr>
      </w:pPr>
    </w:p>
    <w:p w14:paraId="1A78D8DE" w14:textId="77777777" w:rsidR="00BC348A" w:rsidRDefault="00BC348A" w:rsidP="00D07B26">
      <w:pPr>
        <w:spacing w:line="260" w:lineRule="atLeast"/>
        <w:ind w:firstLine="720"/>
        <w:jc w:val="both"/>
        <w:rPr>
          <w:szCs w:val="24"/>
        </w:rPr>
      </w:pPr>
    </w:p>
    <w:p w14:paraId="29247885" w14:textId="77777777" w:rsidR="00BC348A" w:rsidRDefault="00BC348A" w:rsidP="00D07B26">
      <w:pPr>
        <w:spacing w:line="260" w:lineRule="atLeast"/>
        <w:ind w:firstLine="720"/>
        <w:jc w:val="both"/>
        <w:rPr>
          <w:szCs w:val="24"/>
        </w:rPr>
      </w:pPr>
    </w:p>
    <w:p w14:paraId="77303ECF" w14:textId="77777777" w:rsidR="00BC348A" w:rsidRDefault="00BC348A" w:rsidP="00D07B26">
      <w:pPr>
        <w:spacing w:line="260" w:lineRule="atLeast"/>
        <w:ind w:firstLine="720"/>
        <w:jc w:val="both"/>
        <w:rPr>
          <w:szCs w:val="24"/>
        </w:rPr>
      </w:pPr>
    </w:p>
    <w:p w14:paraId="10E689C2" w14:textId="77777777" w:rsidR="00BC348A" w:rsidRDefault="00BC348A" w:rsidP="00D07B26">
      <w:pPr>
        <w:spacing w:line="260" w:lineRule="atLeast"/>
        <w:ind w:firstLine="720"/>
        <w:jc w:val="both"/>
        <w:rPr>
          <w:szCs w:val="24"/>
        </w:rPr>
      </w:pPr>
    </w:p>
    <w:p w14:paraId="773F8302" w14:textId="77777777" w:rsidR="00BC348A" w:rsidRPr="00BC348A" w:rsidRDefault="00BC348A" w:rsidP="00D07B26">
      <w:pPr>
        <w:spacing w:line="260" w:lineRule="atLeast"/>
        <w:ind w:firstLine="720"/>
        <w:jc w:val="both"/>
        <w:rPr>
          <w:szCs w:val="24"/>
        </w:rPr>
      </w:pPr>
    </w:p>
    <w:p w14:paraId="0A449926" w14:textId="374A5487" w:rsidR="000838C4" w:rsidRPr="00B90CF1" w:rsidRDefault="00525042" w:rsidP="00D07B26">
      <w:pPr>
        <w:spacing w:line="360" w:lineRule="auto"/>
        <w:rPr>
          <w:sz w:val="20"/>
        </w:rPr>
      </w:pPr>
      <w:r w:rsidRPr="005158AC">
        <w:rPr>
          <w:sz w:val="20"/>
        </w:rPr>
        <w:t>L. Kalinauskienė</w:t>
      </w:r>
      <w:r w:rsidR="00D07B26" w:rsidRPr="005158AC">
        <w:rPr>
          <w:sz w:val="20"/>
        </w:rPr>
        <w:t>, 8 (5) 239 01</w:t>
      </w:r>
      <w:r w:rsidRPr="005158AC">
        <w:rPr>
          <w:sz w:val="20"/>
        </w:rPr>
        <w:t>27</w:t>
      </w:r>
      <w:r w:rsidR="00D07B26" w:rsidRPr="005158AC">
        <w:rPr>
          <w:sz w:val="20"/>
        </w:rPr>
        <w:t>, el.paštas</w:t>
      </w:r>
      <w:r w:rsidR="00D07B26">
        <w:rPr>
          <w:sz w:val="20"/>
        </w:rPr>
        <w:t xml:space="preserve"> </w:t>
      </w:r>
      <w:r>
        <w:rPr>
          <w:sz w:val="20"/>
        </w:rPr>
        <w:t>laima.kalinauskiene</w:t>
      </w:r>
      <w:r w:rsidR="00D07B26">
        <w:rPr>
          <w:sz w:val="20"/>
          <w:lang w:val="en-US"/>
        </w:rPr>
        <w:t>@finmin.lt</w:t>
      </w:r>
      <w:permEnd w:id="495521706"/>
    </w:p>
    <w:sectPr w:rsidR="000838C4" w:rsidRPr="00B90CF1" w:rsidSect="00B90CF1">
      <w:footerReference w:type="default" r:id="rId14"/>
      <w:type w:val="continuous"/>
      <w:pgSz w:w="11906" w:h="16838" w:code="9"/>
      <w:pgMar w:top="1134" w:right="707" w:bottom="992" w:left="1560"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CEB06" w14:textId="77777777" w:rsidR="00A2736D" w:rsidRDefault="00A2736D">
      <w:r>
        <w:separator/>
      </w:r>
    </w:p>
  </w:endnote>
  <w:endnote w:type="continuationSeparator" w:id="0">
    <w:p w14:paraId="309534B6" w14:textId="77777777" w:rsidR="00A2736D" w:rsidRDefault="00A2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6FD08"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4317A9">
      <w:rPr>
        <w:noProof/>
        <w:sz w:val="10"/>
      </w:rPr>
      <w:t>SAM_Santariskiu nutarimo projekto pakeitimas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337F1AA2" w14:textId="77777777">
      <w:tc>
        <w:tcPr>
          <w:tcW w:w="3119" w:type="dxa"/>
        </w:tcPr>
        <w:p w14:paraId="2C9603C2" w14:textId="77777777" w:rsidR="00676E45" w:rsidRDefault="00676E45">
          <w:pPr>
            <w:pStyle w:val="Porat"/>
            <w:rPr>
              <w:sz w:val="16"/>
            </w:rPr>
          </w:pPr>
          <w:r>
            <w:rPr>
              <w:sz w:val="16"/>
            </w:rPr>
            <w:t xml:space="preserve">Kodas 8860165 </w:t>
          </w:r>
        </w:p>
      </w:tc>
      <w:tc>
        <w:tcPr>
          <w:tcW w:w="1615" w:type="dxa"/>
        </w:tcPr>
        <w:p w14:paraId="121AF9E1" w14:textId="77777777" w:rsidR="00676E45" w:rsidRDefault="00676E45">
          <w:pPr>
            <w:pStyle w:val="Porat"/>
            <w:rPr>
              <w:sz w:val="16"/>
            </w:rPr>
          </w:pPr>
          <w:r>
            <w:rPr>
              <w:sz w:val="16"/>
            </w:rPr>
            <w:t>Telefonas  39 00 05</w:t>
          </w:r>
        </w:p>
      </w:tc>
      <w:tc>
        <w:tcPr>
          <w:tcW w:w="2212" w:type="dxa"/>
        </w:tcPr>
        <w:p w14:paraId="2FF0DC65" w14:textId="77777777" w:rsidR="00676E45" w:rsidRDefault="00676E45">
          <w:pPr>
            <w:pStyle w:val="Porat"/>
            <w:rPr>
              <w:sz w:val="16"/>
            </w:rPr>
          </w:pPr>
          <w:r>
            <w:rPr>
              <w:sz w:val="16"/>
            </w:rPr>
            <w:t>El. paštas: finmin@finmin.lt</w:t>
          </w:r>
        </w:p>
      </w:tc>
      <w:tc>
        <w:tcPr>
          <w:tcW w:w="2552" w:type="dxa"/>
        </w:tcPr>
        <w:p w14:paraId="4643D63F" w14:textId="77777777" w:rsidR="00676E45" w:rsidRDefault="00676E45">
          <w:pPr>
            <w:pStyle w:val="Porat"/>
            <w:rPr>
              <w:sz w:val="16"/>
            </w:rPr>
          </w:pPr>
          <w:r>
            <w:rPr>
              <w:sz w:val="16"/>
            </w:rPr>
            <w:t>Atsiskait. sąsk. Nr. 253002007</w:t>
          </w:r>
        </w:p>
      </w:tc>
    </w:tr>
    <w:tr w:rsidR="00676E45" w14:paraId="144417D8" w14:textId="77777777">
      <w:tc>
        <w:tcPr>
          <w:tcW w:w="3119" w:type="dxa"/>
        </w:tcPr>
        <w:p w14:paraId="2E2D9A56"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268694C9" w14:textId="77777777" w:rsidR="00676E45" w:rsidRDefault="00676E45">
          <w:pPr>
            <w:pStyle w:val="Porat"/>
            <w:rPr>
              <w:sz w:val="16"/>
            </w:rPr>
          </w:pPr>
          <w:r>
            <w:rPr>
              <w:sz w:val="16"/>
            </w:rPr>
            <w:t>Faksas     79 14 81</w:t>
          </w:r>
        </w:p>
      </w:tc>
      <w:tc>
        <w:tcPr>
          <w:tcW w:w="2212" w:type="dxa"/>
        </w:tcPr>
        <w:p w14:paraId="140697B2" w14:textId="77777777" w:rsidR="00676E45" w:rsidRDefault="00676E45">
          <w:pPr>
            <w:pStyle w:val="Porat"/>
            <w:rPr>
              <w:sz w:val="16"/>
            </w:rPr>
          </w:pPr>
          <w:r>
            <w:rPr>
              <w:sz w:val="16"/>
            </w:rPr>
            <w:t>http://www.finmin.lt</w:t>
          </w:r>
        </w:p>
      </w:tc>
      <w:tc>
        <w:tcPr>
          <w:tcW w:w="2552" w:type="dxa"/>
        </w:tcPr>
        <w:p w14:paraId="5BF655BD" w14:textId="77777777" w:rsidR="00676E45" w:rsidRDefault="00676E45">
          <w:pPr>
            <w:pStyle w:val="Porat"/>
            <w:rPr>
              <w:sz w:val="16"/>
            </w:rPr>
          </w:pPr>
          <w:r>
            <w:rPr>
              <w:sz w:val="16"/>
            </w:rPr>
            <w:t>LTB Sostinės skyrius, kodas 60111</w:t>
          </w:r>
        </w:p>
      </w:tc>
    </w:tr>
  </w:tbl>
  <w:p w14:paraId="13536754"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9C99"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4317A9">
      <w:rPr>
        <w:noProof/>
        <w:sz w:val="10"/>
      </w:rPr>
      <w:t>SAM_Santariskiu nutarimo projekto pakeitimas</w:t>
    </w:r>
    <w:r w:rsidRPr="00775CB5">
      <w:rPr>
        <w:sz w:val="10"/>
      </w:rPr>
      <w:fldChar w:fldCharType="end"/>
    </w:r>
  </w:p>
  <w:p w14:paraId="5192675B"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45CC0C34" w14:textId="77777777">
      <w:tc>
        <w:tcPr>
          <w:tcW w:w="3215" w:type="dxa"/>
        </w:tcPr>
        <w:p w14:paraId="7893FCB9"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60535046"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773B6C10" w14:textId="77777777" w:rsidR="00676E45" w:rsidRPr="00775CB5" w:rsidRDefault="00676E45">
          <w:pPr>
            <w:pStyle w:val="Porat"/>
            <w:rPr>
              <w:sz w:val="16"/>
            </w:rPr>
          </w:pPr>
          <w:r w:rsidRPr="00775CB5">
            <w:rPr>
              <w:sz w:val="16"/>
            </w:rPr>
            <w:t>El. paštas finmin@finmin.lt</w:t>
          </w:r>
        </w:p>
      </w:tc>
      <w:tc>
        <w:tcPr>
          <w:tcW w:w="2836" w:type="dxa"/>
        </w:tcPr>
        <w:p w14:paraId="3DAD8B76"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7AE5B1F4" w14:textId="77777777">
      <w:tc>
        <w:tcPr>
          <w:tcW w:w="3215" w:type="dxa"/>
        </w:tcPr>
        <w:p w14:paraId="3FFCF4AB"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66430C6D"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3540964D" w14:textId="77777777" w:rsidR="00676E45" w:rsidRPr="00775CB5" w:rsidRDefault="00676E45">
          <w:pPr>
            <w:pStyle w:val="Porat"/>
            <w:rPr>
              <w:sz w:val="16"/>
            </w:rPr>
          </w:pPr>
          <w:r w:rsidRPr="00775CB5">
            <w:rPr>
              <w:sz w:val="16"/>
            </w:rPr>
            <w:t>http://www.finmin.lt</w:t>
          </w:r>
        </w:p>
      </w:tc>
      <w:tc>
        <w:tcPr>
          <w:tcW w:w="2836" w:type="dxa"/>
        </w:tcPr>
        <w:p w14:paraId="09D2E69C"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58E8E230"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210FF"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A0FBD" w14:textId="77777777" w:rsidR="00A2736D" w:rsidRDefault="00A2736D">
      <w:r>
        <w:separator/>
      </w:r>
    </w:p>
  </w:footnote>
  <w:footnote w:type="continuationSeparator" w:id="0">
    <w:p w14:paraId="42FF0EED" w14:textId="77777777" w:rsidR="00A2736D" w:rsidRDefault="00A27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32B6"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8D4D8D"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C5A24" w14:textId="54FB5AA0"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7D4E">
      <w:rPr>
        <w:rStyle w:val="Puslapionumeris"/>
        <w:noProof/>
      </w:rPr>
      <w:t>3</w:t>
    </w:r>
    <w:r>
      <w:rPr>
        <w:rStyle w:val="Puslapionumeris"/>
      </w:rPr>
      <w:fldChar w:fldCharType="end"/>
    </w:r>
  </w:p>
  <w:p w14:paraId="1CFADEDD"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BB15" w14:textId="77777777"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F7A"/>
    <w:multiLevelType w:val="hybridMultilevel"/>
    <w:tmpl w:val="F15AB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C4112F"/>
    <w:multiLevelType w:val="hybridMultilevel"/>
    <w:tmpl w:val="ADD2FE8A"/>
    <w:lvl w:ilvl="0" w:tplc="383829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F6E5121"/>
    <w:multiLevelType w:val="hybridMultilevel"/>
    <w:tmpl w:val="F5AC83C8"/>
    <w:lvl w:ilvl="0" w:tplc="3840717A">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4DF1306"/>
    <w:multiLevelType w:val="hybridMultilevel"/>
    <w:tmpl w:val="2DC44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DD3634"/>
    <w:multiLevelType w:val="multilevel"/>
    <w:tmpl w:val="C01ED7EA"/>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paragrafai"/>
      <w:lvlText w:val="%1.%2."/>
      <w:lvlJc w:val="left"/>
      <w:pPr>
        <w:tabs>
          <w:tab w:val="num" w:pos="1346"/>
        </w:tabs>
        <w:ind w:left="1346" w:hanging="495"/>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720"/>
        </w:tabs>
        <w:ind w:left="720" w:hanging="720"/>
      </w:pPr>
      <w:rPr>
        <w:rFonts w:cs="Times New Roman" w:hint="default"/>
        <w:b w:val="0"/>
        <w:color w:val="auto"/>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5" w15:restartNumberingAfterBreak="0">
    <w:nsid w:val="48E820FC"/>
    <w:multiLevelType w:val="multilevel"/>
    <w:tmpl w:val="7D5460CE"/>
    <w:lvl w:ilvl="0">
      <w:start w:val="1"/>
      <w:numFmt w:val="upperRoman"/>
      <w:lvlText w:val="%1."/>
      <w:lvlJc w:val="left"/>
      <w:pPr>
        <w:ind w:left="720" w:hanging="720"/>
      </w:pPr>
      <w:rPr>
        <w:rFonts w:hint="default"/>
      </w:rPr>
    </w:lvl>
    <w:lvl w:ilvl="1">
      <w:start w:val="1"/>
      <w:numFmt w:val="decimal"/>
      <w:lvlRestart w:val="0"/>
      <w:isLgl/>
      <w:lvlText w:val="%2."/>
      <w:lvlJc w:val="left"/>
      <w:pPr>
        <w:ind w:left="69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058" w:hanging="567"/>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4CF63A0"/>
    <w:multiLevelType w:val="hybridMultilevel"/>
    <w:tmpl w:val="993862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1EAf0shIjTAEjsWrUU8Y01354Y=" w:salt="BMdlm1BKcVleZJipCnRxI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F1"/>
    <w:rsid w:val="0004204F"/>
    <w:rsid w:val="00042D4A"/>
    <w:rsid w:val="0004460C"/>
    <w:rsid w:val="00045F43"/>
    <w:rsid w:val="00051C4B"/>
    <w:rsid w:val="00056604"/>
    <w:rsid w:val="0006460C"/>
    <w:rsid w:val="00065157"/>
    <w:rsid w:val="00066BC1"/>
    <w:rsid w:val="0006773A"/>
    <w:rsid w:val="00076760"/>
    <w:rsid w:val="000838C4"/>
    <w:rsid w:val="00092850"/>
    <w:rsid w:val="00095573"/>
    <w:rsid w:val="000A67A5"/>
    <w:rsid w:val="000B73F3"/>
    <w:rsid w:val="000D343A"/>
    <w:rsid w:val="000F137B"/>
    <w:rsid w:val="00106272"/>
    <w:rsid w:val="001303BC"/>
    <w:rsid w:val="00134DF5"/>
    <w:rsid w:val="00144A3E"/>
    <w:rsid w:val="00160F78"/>
    <w:rsid w:val="001742C1"/>
    <w:rsid w:val="001A1D75"/>
    <w:rsid w:val="001B25B8"/>
    <w:rsid w:val="001B67B8"/>
    <w:rsid w:val="001C5E67"/>
    <w:rsid w:val="00214CDC"/>
    <w:rsid w:val="00215B65"/>
    <w:rsid w:val="00221529"/>
    <w:rsid w:val="0025434A"/>
    <w:rsid w:val="00262817"/>
    <w:rsid w:val="00293BC2"/>
    <w:rsid w:val="002B1EF3"/>
    <w:rsid w:val="002C675F"/>
    <w:rsid w:val="002E0C0C"/>
    <w:rsid w:val="002E2EFB"/>
    <w:rsid w:val="002F325D"/>
    <w:rsid w:val="002F5078"/>
    <w:rsid w:val="00302703"/>
    <w:rsid w:val="00317D73"/>
    <w:rsid w:val="003246DB"/>
    <w:rsid w:val="00333D7A"/>
    <w:rsid w:val="0034701A"/>
    <w:rsid w:val="00354D1E"/>
    <w:rsid w:val="00376226"/>
    <w:rsid w:val="00387D4E"/>
    <w:rsid w:val="00390C4A"/>
    <w:rsid w:val="00390EEB"/>
    <w:rsid w:val="003D7384"/>
    <w:rsid w:val="003F21BB"/>
    <w:rsid w:val="004317A9"/>
    <w:rsid w:val="00433699"/>
    <w:rsid w:val="0045222B"/>
    <w:rsid w:val="00457911"/>
    <w:rsid w:val="00460F3C"/>
    <w:rsid w:val="00463CCB"/>
    <w:rsid w:val="00471A03"/>
    <w:rsid w:val="00475CED"/>
    <w:rsid w:val="004D33EC"/>
    <w:rsid w:val="004D6DC3"/>
    <w:rsid w:val="004E25B1"/>
    <w:rsid w:val="004F04DF"/>
    <w:rsid w:val="004F1AE4"/>
    <w:rsid w:val="00506C56"/>
    <w:rsid w:val="005158AC"/>
    <w:rsid w:val="00525042"/>
    <w:rsid w:val="0059189B"/>
    <w:rsid w:val="005B57F9"/>
    <w:rsid w:val="005B5EFC"/>
    <w:rsid w:val="005C0B1A"/>
    <w:rsid w:val="005C14C5"/>
    <w:rsid w:val="005F7A8D"/>
    <w:rsid w:val="00607612"/>
    <w:rsid w:val="00676E45"/>
    <w:rsid w:val="00682AFF"/>
    <w:rsid w:val="00686FC9"/>
    <w:rsid w:val="00691BDF"/>
    <w:rsid w:val="006D4FEC"/>
    <w:rsid w:val="006E7A3C"/>
    <w:rsid w:val="006F49A6"/>
    <w:rsid w:val="00701306"/>
    <w:rsid w:val="00716EA1"/>
    <w:rsid w:val="00732BE0"/>
    <w:rsid w:val="00740C5F"/>
    <w:rsid w:val="00741C12"/>
    <w:rsid w:val="007537A6"/>
    <w:rsid w:val="00770CE3"/>
    <w:rsid w:val="00775CB5"/>
    <w:rsid w:val="007957D3"/>
    <w:rsid w:val="007A71C3"/>
    <w:rsid w:val="007B1827"/>
    <w:rsid w:val="007D3DD9"/>
    <w:rsid w:val="007D4597"/>
    <w:rsid w:val="007F488E"/>
    <w:rsid w:val="0080493D"/>
    <w:rsid w:val="008151E8"/>
    <w:rsid w:val="008361AA"/>
    <w:rsid w:val="00845E35"/>
    <w:rsid w:val="00884451"/>
    <w:rsid w:val="00893F1D"/>
    <w:rsid w:val="008C5A49"/>
    <w:rsid w:val="008D3861"/>
    <w:rsid w:val="008F5841"/>
    <w:rsid w:val="009116FB"/>
    <w:rsid w:val="009129E7"/>
    <w:rsid w:val="0091680D"/>
    <w:rsid w:val="0091728F"/>
    <w:rsid w:val="00922CF1"/>
    <w:rsid w:val="009247B0"/>
    <w:rsid w:val="0096013A"/>
    <w:rsid w:val="00966BC1"/>
    <w:rsid w:val="00993308"/>
    <w:rsid w:val="009D7311"/>
    <w:rsid w:val="00A01B43"/>
    <w:rsid w:val="00A2736D"/>
    <w:rsid w:val="00A57589"/>
    <w:rsid w:val="00A67F99"/>
    <w:rsid w:val="00A73A16"/>
    <w:rsid w:val="00A82F32"/>
    <w:rsid w:val="00A841C1"/>
    <w:rsid w:val="00A9560C"/>
    <w:rsid w:val="00AA0209"/>
    <w:rsid w:val="00AA2309"/>
    <w:rsid w:val="00AA767B"/>
    <w:rsid w:val="00AB6343"/>
    <w:rsid w:val="00AE35C4"/>
    <w:rsid w:val="00B00327"/>
    <w:rsid w:val="00B36BCD"/>
    <w:rsid w:val="00B57EE2"/>
    <w:rsid w:val="00B62CC5"/>
    <w:rsid w:val="00B90CF1"/>
    <w:rsid w:val="00B93C2F"/>
    <w:rsid w:val="00BA7BC3"/>
    <w:rsid w:val="00BC348A"/>
    <w:rsid w:val="00BD3725"/>
    <w:rsid w:val="00BD3865"/>
    <w:rsid w:val="00BE0EF1"/>
    <w:rsid w:val="00BE102C"/>
    <w:rsid w:val="00BE634D"/>
    <w:rsid w:val="00C230C2"/>
    <w:rsid w:val="00C23425"/>
    <w:rsid w:val="00C36B99"/>
    <w:rsid w:val="00C42950"/>
    <w:rsid w:val="00C54A8A"/>
    <w:rsid w:val="00C56A11"/>
    <w:rsid w:val="00C61DA5"/>
    <w:rsid w:val="00C70E74"/>
    <w:rsid w:val="00C717BB"/>
    <w:rsid w:val="00C76A35"/>
    <w:rsid w:val="00C80881"/>
    <w:rsid w:val="00C8451A"/>
    <w:rsid w:val="00CA1512"/>
    <w:rsid w:val="00CA6BA9"/>
    <w:rsid w:val="00CA7055"/>
    <w:rsid w:val="00CC0385"/>
    <w:rsid w:val="00CF662A"/>
    <w:rsid w:val="00D07708"/>
    <w:rsid w:val="00D07B26"/>
    <w:rsid w:val="00D10E74"/>
    <w:rsid w:val="00D135F6"/>
    <w:rsid w:val="00D364CE"/>
    <w:rsid w:val="00D5063D"/>
    <w:rsid w:val="00D925FB"/>
    <w:rsid w:val="00DA6D32"/>
    <w:rsid w:val="00DA7DCE"/>
    <w:rsid w:val="00DB3DBE"/>
    <w:rsid w:val="00DB6DC3"/>
    <w:rsid w:val="00E11803"/>
    <w:rsid w:val="00E138F6"/>
    <w:rsid w:val="00E27134"/>
    <w:rsid w:val="00E43B49"/>
    <w:rsid w:val="00E71E2E"/>
    <w:rsid w:val="00E859B6"/>
    <w:rsid w:val="00EB0E24"/>
    <w:rsid w:val="00EB2421"/>
    <w:rsid w:val="00EE0990"/>
    <w:rsid w:val="00EE792D"/>
    <w:rsid w:val="00EF14ED"/>
    <w:rsid w:val="00EF2D86"/>
    <w:rsid w:val="00F23A6E"/>
    <w:rsid w:val="00F24EC4"/>
    <w:rsid w:val="00F25253"/>
    <w:rsid w:val="00F435D4"/>
    <w:rsid w:val="00F6174F"/>
    <w:rsid w:val="00F61D64"/>
    <w:rsid w:val="00F64FDA"/>
    <w:rsid w:val="00F66332"/>
    <w:rsid w:val="00F7310F"/>
    <w:rsid w:val="00F82BF7"/>
    <w:rsid w:val="00F8408A"/>
    <w:rsid w:val="00FA05DB"/>
    <w:rsid w:val="00FA2E23"/>
    <w:rsid w:val="00FA43B3"/>
    <w:rsid w:val="00FB6B16"/>
    <w:rsid w:val="00FE7F6A"/>
    <w:rsid w:val="00FF66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1FE35"/>
  <w15:docId w15:val="{3124E75B-F25C-4852-A8A8-9B6DAA61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7013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Antrat1"/>
    <w:next w:val="prastasis"/>
    <w:link w:val="Antrat2Diagrama"/>
    <w:uiPriority w:val="9"/>
    <w:qFormat/>
    <w:rsid w:val="00701306"/>
    <w:pPr>
      <w:keepLines w:val="0"/>
      <w:numPr>
        <w:numId w:val="7"/>
      </w:numPr>
      <w:spacing w:before="0" w:after="120" w:line="276" w:lineRule="auto"/>
      <w:jc w:val="both"/>
      <w:outlineLvl w:val="1"/>
    </w:pPr>
    <w:rPr>
      <w:rFonts w:ascii="Times New Roman" w:eastAsia="Times New Roman" w:hAnsi="Times New Roman" w:cs="Times New Roman"/>
      <w:color w:val="943634"/>
      <w:sz w:val="22"/>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customStyle="1" w:styleId="tablecontents">
    <w:name w:val="tablecontents"/>
    <w:basedOn w:val="prastasis"/>
    <w:rsid w:val="00F25253"/>
    <w:pPr>
      <w:spacing w:before="100" w:beforeAutospacing="1" w:after="100" w:afterAutospacing="1"/>
    </w:pPr>
    <w:rPr>
      <w:szCs w:val="24"/>
    </w:rPr>
  </w:style>
  <w:style w:type="paragraph" w:customStyle="1" w:styleId="DiagramaCharCharCharDiagramaCharDiagramaCharCharDiagramaChar">
    <w:name w:val="Diagrama Char Char Char Diagrama Char Diagrama Char Char Diagrama Char"/>
    <w:basedOn w:val="prastasis"/>
    <w:rsid w:val="006E7A3C"/>
    <w:pPr>
      <w:spacing w:after="160" w:line="240" w:lineRule="exact"/>
    </w:pPr>
    <w:rPr>
      <w:rFonts w:ascii="Tahoma" w:hAnsi="Tahoma"/>
      <w:sz w:val="20"/>
      <w:lang w:val="en-US" w:eastAsia="en-US"/>
    </w:rPr>
  </w:style>
  <w:style w:type="paragraph" w:customStyle="1" w:styleId="CharCharDiagramaCharChar">
    <w:name w:val="Char Char Diagrama Char Char"/>
    <w:basedOn w:val="prastasis"/>
    <w:rsid w:val="004E25B1"/>
    <w:pPr>
      <w:widowControl w:val="0"/>
      <w:adjustRightInd w:val="0"/>
      <w:spacing w:after="160" w:line="240" w:lineRule="exact"/>
      <w:jc w:val="both"/>
      <w:textAlignment w:val="baseline"/>
    </w:pPr>
    <w:rPr>
      <w:rFonts w:ascii="Tahoma" w:hAnsi="Tahoma"/>
      <w:sz w:val="20"/>
      <w:lang w:val="en-US" w:eastAsia="en-US"/>
    </w:rPr>
  </w:style>
  <w:style w:type="character" w:styleId="Hipersaitas">
    <w:name w:val="Hyperlink"/>
    <w:basedOn w:val="Numatytasispastraiposriftas"/>
    <w:uiPriority w:val="99"/>
    <w:semiHidden/>
    <w:unhideWhenUsed/>
    <w:rsid w:val="007957D3"/>
    <w:rPr>
      <w:color w:val="0000FF"/>
      <w:u w:val="single"/>
    </w:rPr>
  </w:style>
  <w:style w:type="paragraph" w:styleId="HTMLiankstoformatuotas">
    <w:name w:val="HTML Preformatted"/>
    <w:basedOn w:val="prastasis"/>
    <w:link w:val="HTMLiankstoformatuotasDiagrama"/>
    <w:uiPriority w:val="99"/>
    <w:unhideWhenUsed/>
    <w:rsid w:val="0079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7957D3"/>
    <w:rPr>
      <w:rFonts w:ascii="Courier New" w:hAnsi="Courier New" w:cs="Courier New"/>
    </w:rPr>
  </w:style>
  <w:style w:type="character" w:styleId="Komentaronuoroda">
    <w:name w:val="annotation reference"/>
    <w:basedOn w:val="Numatytasispastraiposriftas"/>
    <w:unhideWhenUsed/>
    <w:qFormat/>
    <w:rsid w:val="00A73A16"/>
    <w:rPr>
      <w:sz w:val="16"/>
      <w:szCs w:val="16"/>
    </w:rPr>
  </w:style>
  <w:style w:type="paragraph" w:styleId="Komentarotekstas">
    <w:name w:val="annotation text"/>
    <w:basedOn w:val="prastasis"/>
    <w:link w:val="KomentarotekstasDiagrama"/>
    <w:uiPriority w:val="99"/>
    <w:unhideWhenUsed/>
    <w:rsid w:val="00A73A16"/>
    <w:rPr>
      <w:sz w:val="20"/>
    </w:rPr>
  </w:style>
  <w:style w:type="character" w:customStyle="1" w:styleId="KomentarotekstasDiagrama">
    <w:name w:val="Komentaro tekstas Diagrama"/>
    <w:basedOn w:val="Numatytasispastraiposriftas"/>
    <w:link w:val="Komentarotekstas"/>
    <w:uiPriority w:val="99"/>
    <w:rsid w:val="00A73A16"/>
  </w:style>
  <w:style w:type="paragraph" w:styleId="Komentarotema">
    <w:name w:val="annotation subject"/>
    <w:basedOn w:val="Komentarotekstas"/>
    <w:next w:val="Komentarotekstas"/>
    <w:link w:val="KomentarotemaDiagrama"/>
    <w:uiPriority w:val="99"/>
    <w:semiHidden/>
    <w:unhideWhenUsed/>
    <w:rsid w:val="00A73A16"/>
    <w:rPr>
      <w:b/>
      <w:bCs/>
    </w:rPr>
  </w:style>
  <w:style w:type="character" w:customStyle="1" w:styleId="KomentarotemaDiagrama">
    <w:name w:val="Komentaro tema Diagrama"/>
    <w:basedOn w:val="KomentarotekstasDiagrama"/>
    <w:link w:val="Komentarotema"/>
    <w:uiPriority w:val="99"/>
    <w:semiHidden/>
    <w:rsid w:val="00A73A16"/>
    <w:rPr>
      <w:b/>
      <w:bCs/>
    </w:rPr>
  </w:style>
  <w:style w:type="paragraph" w:styleId="Sraopastraipa">
    <w:name w:val="List Paragraph"/>
    <w:basedOn w:val="prastasis"/>
    <w:uiPriority w:val="34"/>
    <w:qFormat/>
    <w:rsid w:val="00E138F6"/>
    <w:pPr>
      <w:ind w:left="720"/>
      <w:contextualSpacing/>
    </w:pPr>
  </w:style>
  <w:style w:type="paragraph" w:customStyle="1" w:styleId="paragrafesrasas2lygis">
    <w:name w:val="_paragrafe sąrasas 2 lygis"/>
    <w:basedOn w:val="Pagrindiniotekstotrauka2"/>
    <w:link w:val="paragrafesrasas2lygisDiagrama"/>
    <w:qFormat/>
    <w:rsid w:val="00042D4A"/>
    <w:pPr>
      <w:autoSpaceDN w:val="0"/>
      <w:spacing w:line="276" w:lineRule="auto"/>
      <w:ind w:left="0"/>
      <w:jc w:val="both"/>
    </w:pPr>
    <w:rPr>
      <w:sz w:val="22"/>
      <w:szCs w:val="22"/>
      <w:lang w:eastAsia="en-US"/>
    </w:rPr>
  </w:style>
  <w:style w:type="paragraph" w:styleId="Pagrindiniotekstotrauka2">
    <w:name w:val="Body Text Indent 2"/>
    <w:basedOn w:val="prastasis"/>
    <w:link w:val="Pagrindiniotekstotrauka2Diagrama"/>
    <w:uiPriority w:val="99"/>
    <w:semiHidden/>
    <w:unhideWhenUsed/>
    <w:rsid w:val="00042D4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42D4A"/>
    <w:rPr>
      <w:sz w:val="24"/>
    </w:rPr>
  </w:style>
  <w:style w:type="character" w:customStyle="1" w:styleId="paragrafesrasas2lygisDiagrama">
    <w:name w:val="_paragrafe sąrasas 2 lygis Diagrama"/>
    <w:basedOn w:val="Numatytasispastraiposriftas"/>
    <w:link w:val="paragrafesrasas2lygis"/>
    <w:rsid w:val="00293BC2"/>
    <w:rPr>
      <w:sz w:val="22"/>
      <w:szCs w:val="22"/>
      <w:lang w:eastAsia="en-US"/>
    </w:rPr>
  </w:style>
  <w:style w:type="character" w:customStyle="1" w:styleId="Antrat2Diagrama">
    <w:name w:val="Antraštė 2 Diagrama"/>
    <w:basedOn w:val="Numatytasispastraiposriftas"/>
    <w:link w:val="Antrat2"/>
    <w:uiPriority w:val="9"/>
    <w:rsid w:val="00701306"/>
    <w:rPr>
      <w:b/>
      <w:bCs/>
      <w:color w:val="943634"/>
      <w:sz w:val="22"/>
      <w:lang w:eastAsia="x-none"/>
    </w:rPr>
  </w:style>
  <w:style w:type="paragraph" w:customStyle="1" w:styleId="paragrafesraas">
    <w:name w:val="_paragrafe sąrašas"/>
    <w:basedOn w:val="Pagrindiniotekstotrauka"/>
    <w:qFormat/>
    <w:rsid w:val="00701306"/>
    <w:pPr>
      <w:numPr>
        <w:ilvl w:val="2"/>
        <w:numId w:val="7"/>
      </w:numPr>
      <w:tabs>
        <w:tab w:val="clear" w:pos="720"/>
      </w:tabs>
      <w:suppressAutoHyphens/>
      <w:spacing w:line="276" w:lineRule="auto"/>
      <w:ind w:left="2520" w:hanging="180"/>
      <w:jc w:val="both"/>
    </w:pPr>
    <w:rPr>
      <w:spacing w:val="-3"/>
      <w:sz w:val="20"/>
      <w:szCs w:val="22"/>
      <w:lang w:eastAsia="x-none"/>
    </w:rPr>
  </w:style>
  <w:style w:type="paragraph" w:customStyle="1" w:styleId="paragrafai">
    <w:name w:val="_paragrafai"/>
    <w:basedOn w:val="Pagrindiniotekstotrauka2"/>
    <w:link w:val="paragrafaiChar"/>
    <w:qFormat/>
    <w:rsid w:val="00701306"/>
    <w:pPr>
      <w:numPr>
        <w:ilvl w:val="1"/>
        <w:numId w:val="7"/>
      </w:numPr>
      <w:tabs>
        <w:tab w:val="clear" w:pos="1346"/>
        <w:tab w:val="num" w:pos="4465"/>
      </w:tabs>
      <w:spacing w:line="276" w:lineRule="auto"/>
      <w:ind w:left="4465"/>
      <w:jc w:val="both"/>
    </w:pPr>
    <w:rPr>
      <w:sz w:val="22"/>
      <w:szCs w:val="22"/>
      <w:lang w:eastAsia="x-none"/>
    </w:rPr>
  </w:style>
  <w:style w:type="character" w:customStyle="1" w:styleId="paragrafaiChar">
    <w:name w:val="_paragrafai Char"/>
    <w:link w:val="paragrafai"/>
    <w:locked/>
    <w:rsid w:val="00701306"/>
    <w:rPr>
      <w:sz w:val="22"/>
      <w:szCs w:val="22"/>
      <w:lang w:eastAsia="x-none"/>
    </w:rPr>
  </w:style>
  <w:style w:type="character" w:customStyle="1" w:styleId="Antrat1Diagrama">
    <w:name w:val="Antraštė 1 Diagrama"/>
    <w:basedOn w:val="Numatytasispastraiposriftas"/>
    <w:link w:val="Antrat1"/>
    <w:uiPriority w:val="9"/>
    <w:rsid w:val="00701306"/>
    <w:rPr>
      <w:rFonts w:asciiTheme="majorHAnsi" w:eastAsiaTheme="majorEastAsia" w:hAnsiTheme="majorHAnsi" w:cstheme="majorBidi"/>
      <w:b/>
      <w:bCs/>
      <w:color w:val="365F91" w:themeColor="accent1" w:themeShade="BF"/>
      <w:sz w:val="28"/>
      <w:szCs w:val="28"/>
    </w:rPr>
  </w:style>
  <w:style w:type="paragraph" w:styleId="Pagrindiniotekstotrauka">
    <w:name w:val="Body Text Indent"/>
    <w:basedOn w:val="prastasis"/>
    <w:link w:val="PagrindiniotekstotraukaDiagrama"/>
    <w:uiPriority w:val="99"/>
    <w:semiHidden/>
    <w:unhideWhenUsed/>
    <w:rsid w:val="007013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01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D9E1-0EAB-4979-9B61-0B14B9E7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1357</Words>
  <Characters>9853</Characters>
  <Application>Microsoft Office Word</Application>
  <DocSecurity>12</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Žutautienė</dc:creator>
  <cp:lastModifiedBy>Virginija Palaimiene</cp:lastModifiedBy>
  <cp:revision>2</cp:revision>
  <cp:lastPrinted>2017-03-21T14:31:00Z</cp:lastPrinted>
  <dcterms:created xsi:type="dcterms:W3CDTF">2022-05-10T07:59:00Z</dcterms:created>
  <dcterms:modified xsi:type="dcterms:W3CDTF">2022-05-10T07:59:00Z</dcterms:modified>
</cp:coreProperties>
</file>