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40C74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5C00EA" w:rsidRPr="005C00EA">
        <w:rPr>
          <w:b/>
          <w:caps/>
        </w:rPr>
        <w:t>KLAIPĖDOS MIESTO SAVIVALDYBĖS TARYBOS 2020 M. LIEPOS 30 D. SPRENDIMO NR. T2-197 „DĖL IKIMOKYKLINIO IR PRIEŠMOKYKLINIO UGDYMO ORGANIZAVIMO MODELIŲ KLAIPĖDOS MIESTO SAVIVALDYBĖS ŠVIETIMO ĮSTAIGOSE APRAŠO PATVIRTINIMO“ PAKEITIMO</w:t>
      </w:r>
    </w:p>
    <w:p w:rsidR="005C00EA" w:rsidRDefault="005C00EA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00DA3" w:rsidRDefault="00E00DA3" w:rsidP="00E00DA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87276">
        <w:t xml:space="preserve">Lietuvos Respublikos vietos savivaldos įstatymo </w:t>
      </w:r>
      <w:r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00DA3" w:rsidRDefault="00E00DA3" w:rsidP="00E00DA3">
      <w:pPr>
        <w:ind w:firstLine="709"/>
        <w:jc w:val="both"/>
      </w:pPr>
      <w:r>
        <w:t xml:space="preserve">1. </w:t>
      </w:r>
      <w:r w:rsidRPr="00E87276">
        <w:t>Pakeisti</w:t>
      </w:r>
      <w:r w:rsidRPr="00394351">
        <w:t xml:space="preserve"> </w:t>
      </w:r>
      <w:r>
        <w:t>I</w:t>
      </w:r>
      <w:r w:rsidRPr="00394351">
        <w:t xml:space="preserve">kimokyklinio ir priešmokyklinio ugdymo organizavimo modelių </w:t>
      </w:r>
      <w:r>
        <w:t>K</w:t>
      </w:r>
      <w:r w:rsidRPr="00394351">
        <w:t>laipėdos miesto savivaldybės švietimo įstaigose apraš</w:t>
      </w:r>
      <w:r>
        <w:t>ą, patvirtintą</w:t>
      </w:r>
      <w:r w:rsidRPr="00394351">
        <w:t xml:space="preserve"> </w:t>
      </w:r>
      <w:r>
        <w:t>K</w:t>
      </w:r>
      <w:r w:rsidRPr="00394351">
        <w:t>laipėdos miesto savivaldybės tarybos 2020 m. liepos 30 d. sprendim</w:t>
      </w:r>
      <w:r>
        <w:t>u</w:t>
      </w:r>
      <w:r w:rsidRPr="00394351">
        <w:t xml:space="preserve"> </w:t>
      </w:r>
      <w:r>
        <w:t>N</w:t>
      </w:r>
      <w:r w:rsidRPr="00394351">
        <w:t xml:space="preserve">r. </w:t>
      </w:r>
      <w:r>
        <w:t>T</w:t>
      </w:r>
      <w:r w:rsidRPr="00394351">
        <w:t>2-197 „</w:t>
      </w:r>
      <w:r>
        <w:t>Dėl I</w:t>
      </w:r>
      <w:r w:rsidRPr="00394351">
        <w:t xml:space="preserve">kimokyklinio ir priešmokyklinio ugdymo organizavimo modelių </w:t>
      </w:r>
      <w:r>
        <w:t>K</w:t>
      </w:r>
      <w:r w:rsidRPr="00394351">
        <w:t>laipėdos miesto savivaldybės švietimo įstaigose aprašo patvirtinimo“</w:t>
      </w:r>
      <w:r>
        <w:t>:</w:t>
      </w:r>
    </w:p>
    <w:p w:rsidR="00E00DA3" w:rsidRDefault="00E00DA3" w:rsidP="00E00DA3">
      <w:pPr>
        <w:pStyle w:val="Sraopastraipa"/>
        <w:tabs>
          <w:tab w:val="left" w:pos="993"/>
          <w:tab w:val="left" w:pos="1134"/>
        </w:tabs>
        <w:ind w:left="709"/>
        <w:jc w:val="both"/>
      </w:pPr>
      <w:r>
        <w:t>1.1. pa</w:t>
      </w:r>
      <w:r w:rsidRPr="00901012">
        <w:t xml:space="preserve">keisti </w:t>
      </w:r>
      <w:r>
        <w:t xml:space="preserve">11 </w:t>
      </w:r>
      <w:r w:rsidRPr="00901012">
        <w:t>punktą ir jį išdėstyti taip:</w:t>
      </w:r>
    </w:p>
    <w:p w:rsidR="00E00DA3" w:rsidRPr="00C00621" w:rsidRDefault="00E00DA3" w:rsidP="00E00DA3">
      <w:pPr>
        <w:ind w:firstLine="720"/>
        <w:jc w:val="both"/>
        <w:rPr>
          <w:color w:val="000000"/>
        </w:rPr>
      </w:pPr>
      <w:r w:rsidRPr="00C00621">
        <w:t xml:space="preserve">„11. </w:t>
      </w:r>
      <w:r w:rsidRPr="00C00621">
        <w:rPr>
          <w:color w:val="000000"/>
        </w:rPr>
        <w:t>Privalomas</w:t>
      </w:r>
      <w:r w:rsidRPr="00C00621">
        <w:t xml:space="preserve"> </w:t>
      </w:r>
      <w:r w:rsidRPr="00C00621">
        <w:rPr>
          <w:color w:val="000000"/>
        </w:rPr>
        <w:t xml:space="preserve">priešmokyklinis ugdymas </w:t>
      </w:r>
      <w:r w:rsidRPr="00C00621">
        <w:t>teikiamas vienus metus vaikui, kuriam yra 6 arba 5 metai pagal Švietimo įstatymo nuostatas. Švietimo, mokslo ir sporto ministro nustatytais atvejais ir tvarka, įvertinus vaiko ugdymo ir ugdymosi poreikius, pažangą, priešmokyklinis ugdymas gali trukti dvejus metus.</w:t>
      </w:r>
      <w:r>
        <w:t>“;</w:t>
      </w:r>
    </w:p>
    <w:p w:rsidR="00E00DA3" w:rsidRPr="00394351" w:rsidRDefault="00E00DA3" w:rsidP="00E00DA3">
      <w:pPr>
        <w:ind w:firstLine="709"/>
        <w:jc w:val="both"/>
      </w:pPr>
      <w:r>
        <w:t>1.2. pa</w:t>
      </w:r>
      <w:r w:rsidRPr="00901012">
        <w:t xml:space="preserve">keisti </w:t>
      </w:r>
      <w:r>
        <w:t xml:space="preserve">15 </w:t>
      </w:r>
      <w:r w:rsidRPr="00901012">
        <w:t>punktą ir jį išdėstyti taip:</w:t>
      </w:r>
    </w:p>
    <w:p w:rsidR="00E00DA3" w:rsidRPr="00137971" w:rsidRDefault="00E00DA3" w:rsidP="00E00DA3">
      <w:pPr>
        <w:ind w:firstLine="680"/>
        <w:jc w:val="both"/>
        <w:rPr>
          <w:lang w:eastAsia="lt-LT"/>
        </w:rPr>
      </w:pPr>
      <w:r w:rsidRPr="00FA060B">
        <w:rPr>
          <w:color w:val="000000"/>
        </w:rPr>
        <w:t>„15. Pagrindiniai Grupės veiklos Modeliai pagal</w:t>
      </w:r>
      <w:r w:rsidRPr="00FA060B">
        <w:rPr>
          <w:lang w:eastAsia="lt-LT"/>
        </w:rPr>
        <w:t xml:space="preserve"> Grupės veiklos trukmę, Grupės ugdomosios veiklos trukmę, ugdomąją kalbą, darbuotojų etatų skaičių ir ugdymo vietą pateikti 3 ir 4 lentelėse</w:t>
      </w:r>
      <w:r>
        <w:rPr>
          <w:lang w:eastAsia="lt-LT"/>
        </w:rPr>
        <w:t>:</w:t>
      </w:r>
    </w:p>
    <w:p w:rsidR="00E00DA3" w:rsidRDefault="00E00DA3" w:rsidP="00E00DA3">
      <w:pPr>
        <w:tabs>
          <w:tab w:val="left" w:pos="993"/>
        </w:tabs>
        <w:ind w:firstLine="878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 lentelė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518"/>
        <w:gridCol w:w="1459"/>
        <w:gridCol w:w="1418"/>
        <w:gridCol w:w="2126"/>
        <w:gridCol w:w="1559"/>
        <w:gridCol w:w="1649"/>
      </w:tblGrid>
      <w:tr w:rsidR="00E00DA3" w:rsidRPr="00365E40" w:rsidTr="00E00DA3">
        <w:trPr>
          <w:trHeight w:val="150"/>
          <w:jc w:val="center"/>
        </w:trPr>
        <w:tc>
          <w:tcPr>
            <w:tcW w:w="1518" w:type="dxa"/>
            <w:vMerge w:val="restart"/>
            <w:vAlign w:val="center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Grupės veiklos trukmė (val. per parą)</w:t>
            </w:r>
          </w:p>
        </w:tc>
        <w:tc>
          <w:tcPr>
            <w:tcW w:w="1459" w:type="dxa"/>
            <w:vMerge w:val="restart"/>
            <w:vAlign w:val="center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Grupės ugdomosios veiklos trukmė (val. per parą)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Ugdomoji kalba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Darbuotojų etatų skaičius</w:t>
            </w:r>
            <w:r w:rsidRPr="00365E40">
              <w:rPr>
                <w:b/>
                <w:lang w:eastAsia="lt-LT"/>
              </w:rPr>
              <w:t>*</w:t>
            </w:r>
          </w:p>
        </w:tc>
        <w:tc>
          <w:tcPr>
            <w:tcW w:w="1649" w:type="dxa"/>
            <w:vMerge w:val="restart"/>
            <w:vAlign w:val="center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Ugdymo vieta</w:t>
            </w:r>
          </w:p>
        </w:tc>
      </w:tr>
      <w:tr w:rsidR="00E00DA3" w:rsidRPr="00365E40" w:rsidTr="00E00DA3">
        <w:trPr>
          <w:trHeight w:val="977"/>
          <w:jc w:val="center"/>
        </w:trPr>
        <w:tc>
          <w:tcPr>
            <w:tcW w:w="1518" w:type="dxa"/>
            <w:vMerge/>
            <w:vAlign w:val="center"/>
            <w:hideMark/>
          </w:tcPr>
          <w:p w:rsidR="00E00DA3" w:rsidRPr="00365E40" w:rsidRDefault="00E00DA3" w:rsidP="00D2098F">
            <w:pPr>
              <w:rPr>
                <w:lang w:eastAsia="lt-LT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E00DA3" w:rsidRPr="00365E40" w:rsidRDefault="00E00DA3" w:rsidP="00D2098F">
            <w:pPr>
              <w:rPr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00DA3" w:rsidRPr="00365E40" w:rsidRDefault="00E00DA3" w:rsidP="00D2098F">
            <w:pPr>
              <w:rPr>
                <w:lang w:eastAsia="lt-LT"/>
              </w:rPr>
            </w:pPr>
          </w:p>
        </w:tc>
        <w:tc>
          <w:tcPr>
            <w:tcW w:w="2126" w:type="dxa"/>
            <w:vAlign w:val="center"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ikimokyklinio, priešmokyklinio ugdymo mokytojas</w:t>
            </w:r>
          </w:p>
        </w:tc>
        <w:tc>
          <w:tcPr>
            <w:tcW w:w="1559" w:type="dxa"/>
            <w:vAlign w:val="center"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color w:val="000000"/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auklėtojo padėjėjas / naktinė auklė</w:t>
            </w:r>
          </w:p>
        </w:tc>
        <w:tc>
          <w:tcPr>
            <w:tcW w:w="1649" w:type="dxa"/>
            <w:vMerge/>
            <w:vAlign w:val="center"/>
            <w:hideMark/>
          </w:tcPr>
          <w:p w:rsidR="00E00DA3" w:rsidRPr="00365E40" w:rsidRDefault="00E00DA3" w:rsidP="00D2098F">
            <w:pPr>
              <w:rPr>
                <w:lang w:eastAsia="lt-LT"/>
              </w:rPr>
            </w:pPr>
          </w:p>
        </w:tc>
      </w:tr>
      <w:tr w:rsidR="00E00DA3" w:rsidRPr="00365E40" w:rsidTr="00E00DA3">
        <w:trPr>
          <w:trHeight w:val="170"/>
          <w:jc w:val="center"/>
        </w:trPr>
        <w:tc>
          <w:tcPr>
            <w:tcW w:w="9729" w:type="dxa"/>
            <w:gridSpan w:val="6"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both"/>
              <w:rPr>
                <w:color w:val="000000"/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Bendrosios ir specializuotos paskirties Grupėje</w:t>
            </w:r>
          </w:p>
        </w:tc>
      </w:tr>
      <w:tr w:rsidR="00E00DA3" w:rsidRPr="00365E40" w:rsidTr="00E00DA3">
        <w:trPr>
          <w:trHeight w:val="374"/>
          <w:jc w:val="center"/>
        </w:trPr>
        <w:tc>
          <w:tcPr>
            <w:tcW w:w="1518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10,5</w:t>
            </w:r>
          </w:p>
        </w:tc>
        <w:tc>
          <w:tcPr>
            <w:tcW w:w="1459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9</w:t>
            </w:r>
          </w:p>
        </w:tc>
        <w:tc>
          <w:tcPr>
            <w:tcW w:w="1418" w:type="dxa"/>
            <w:vMerge w:val="restart"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Švietimo įstaigos nuostatuose įteisinta ugdomoji kalba</w:t>
            </w:r>
          </w:p>
        </w:tc>
        <w:tc>
          <w:tcPr>
            <w:tcW w:w="2126" w:type="dxa"/>
            <w:hideMark/>
          </w:tcPr>
          <w:p w:rsidR="00E00DA3" w:rsidRPr="00365E40" w:rsidRDefault="00E00DA3" w:rsidP="00D2098F">
            <w:pPr>
              <w:jc w:val="center"/>
              <w:rPr>
                <w:strike/>
                <w:lang w:eastAsia="lt-LT"/>
              </w:rPr>
            </w:pPr>
            <w:r w:rsidRPr="00365E40">
              <w:rPr>
                <w:lang w:eastAsia="lt-LT"/>
              </w:rPr>
              <w:t>1,6</w:t>
            </w:r>
          </w:p>
        </w:tc>
        <w:tc>
          <w:tcPr>
            <w:tcW w:w="1559" w:type="dxa"/>
            <w:hideMark/>
          </w:tcPr>
          <w:p w:rsidR="00E00DA3" w:rsidRPr="00365E40" w:rsidRDefault="00E00DA3" w:rsidP="00D2098F">
            <w:pPr>
              <w:jc w:val="center"/>
              <w:rPr>
                <w:strike/>
                <w:lang w:eastAsia="lt-LT"/>
              </w:rPr>
            </w:pPr>
            <w:r w:rsidRPr="00365E40">
              <w:rPr>
                <w:lang w:eastAsia="lt-LT"/>
              </w:rPr>
              <w:t>1,13</w:t>
            </w:r>
          </w:p>
        </w:tc>
        <w:tc>
          <w:tcPr>
            <w:tcW w:w="1649" w:type="dxa"/>
            <w:vMerge w:val="restart"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Švietimo įstaigos nuostatuose įteisinta ugdymo vieta</w:t>
            </w:r>
          </w:p>
        </w:tc>
      </w:tr>
      <w:tr w:rsidR="00E00DA3" w:rsidRPr="00365E40" w:rsidTr="00E00DA3">
        <w:trPr>
          <w:trHeight w:val="421"/>
          <w:jc w:val="center"/>
        </w:trPr>
        <w:tc>
          <w:tcPr>
            <w:tcW w:w="1518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4,5</w:t>
            </w:r>
          </w:p>
        </w:tc>
        <w:tc>
          <w:tcPr>
            <w:tcW w:w="1459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vMerge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0,7</w:t>
            </w:r>
          </w:p>
        </w:tc>
        <w:tc>
          <w:tcPr>
            <w:tcW w:w="1559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0,5</w:t>
            </w:r>
          </w:p>
        </w:tc>
        <w:tc>
          <w:tcPr>
            <w:tcW w:w="1649" w:type="dxa"/>
            <w:vMerge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</w:p>
        </w:tc>
      </w:tr>
      <w:tr w:rsidR="00E00DA3" w:rsidRPr="00365E40" w:rsidTr="00E00DA3">
        <w:trPr>
          <w:trHeight w:val="425"/>
          <w:jc w:val="center"/>
        </w:trPr>
        <w:tc>
          <w:tcPr>
            <w:tcW w:w="1518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12</w:t>
            </w:r>
          </w:p>
        </w:tc>
        <w:tc>
          <w:tcPr>
            <w:tcW w:w="1459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9</w:t>
            </w:r>
          </w:p>
        </w:tc>
        <w:tc>
          <w:tcPr>
            <w:tcW w:w="1418" w:type="dxa"/>
            <w:vMerge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1,82</w:t>
            </w:r>
          </w:p>
        </w:tc>
        <w:tc>
          <w:tcPr>
            <w:tcW w:w="1559" w:type="dxa"/>
            <w:hideMark/>
          </w:tcPr>
          <w:p w:rsidR="00E00DA3" w:rsidRPr="00365E40" w:rsidRDefault="00E00DA3" w:rsidP="00D2098F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1,13</w:t>
            </w:r>
          </w:p>
        </w:tc>
        <w:tc>
          <w:tcPr>
            <w:tcW w:w="1649" w:type="dxa"/>
            <w:vMerge/>
            <w:hideMark/>
          </w:tcPr>
          <w:p w:rsidR="00E00DA3" w:rsidRPr="00365E40" w:rsidRDefault="00E00DA3" w:rsidP="00D2098F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</w:p>
        </w:tc>
      </w:tr>
      <w:tr w:rsidR="00E00DA3" w:rsidRPr="00365E40" w:rsidTr="00E00DA3">
        <w:trPr>
          <w:trHeight w:val="425"/>
          <w:jc w:val="center"/>
        </w:trPr>
        <w:tc>
          <w:tcPr>
            <w:tcW w:w="1518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24</w:t>
            </w:r>
          </w:p>
        </w:tc>
        <w:tc>
          <w:tcPr>
            <w:tcW w:w="1459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9</w:t>
            </w:r>
          </w:p>
        </w:tc>
        <w:tc>
          <w:tcPr>
            <w:tcW w:w="1418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1,82</w:t>
            </w:r>
          </w:p>
        </w:tc>
        <w:tc>
          <w:tcPr>
            <w:tcW w:w="1559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1,5 / 1,3</w:t>
            </w:r>
          </w:p>
        </w:tc>
        <w:tc>
          <w:tcPr>
            <w:tcW w:w="1649" w:type="dxa"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</w:p>
        </w:tc>
      </w:tr>
      <w:tr w:rsidR="00E00DA3" w:rsidRPr="00365E40" w:rsidTr="00E00DA3">
        <w:trPr>
          <w:trHeight w:val="303"/>
          <w:jc w:val="center"/>
        </w:trPr>
        <w:tc>
          <w:tcPr>
            <w:tcW w:w="9729" w:type="dxa"/>
            <w:gridSpan w:val="6"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Specialiosios paskirties Grupėje</w:t>
            </w:r>
          </w:p>
        </w:tc>
      </w:tr>
      <w:tr w:rsidR="00E00DA3" w:rsidRPr="00365E40" w:rsidTr="00E00DA3">
        <w:trPr>
          <w:trHeight w:val="387"/>
          <w:jc w:val="center"/>
        </w:trPr>
        <w:tc>
          <w:tcPr>
            <w:tcW w:w="1518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10,5</w:t>
            </w:r>
          </w:p>
        </w:tc>
        <w:tc>
          <w:tcPr>
            <w:tcW w:w="1459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9</w:t>
            </w:r>
          </w:p>
        </w:tc>
        <w:tc>
          <w:tcPr>
            <w:tcW w:w="1418" w:type="dxa"/>
            <w:vMerge w:val="restart"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 xml:space="preserve">Švietimo įstaigos nuostatuose įteisinta ugdomoji </w:t>
            </w:r>
            <w:r w:rsidRPr="00365E40">
              <w:rPr>
                <w:lang w:eastAsia="lt-LT"/>
              </w:rPr>
              <w:lastRenderedPageBreak/>
              <w:t>kalba</w:t>
            </w:r>
          </w:p>
        </w:tc>
        <w:tc>
          <w:tcPr>
            <w:tcW w:w="2126" w:type="dxa"/>
            <w:hideMark/>
          </w:tcPr>
          <w:p w:rsidR="00E00DA3" w:rsidRPr="00365E40" w:rsidRDefault="00E00DA3" w:rsidP="00E00DA3">
            <w:pPr>
              <w:jc w:val="center"/>
              <w:rPr>
                <w:strike/>
                <w:lang w:eastAsia="lt-LT"/>
              </w:rPr>
            </w:pPr>
            <w:r w:rsidRPr="00365E40">
              <w:rPr>
                <w:lang w:eastAsia="lt-LT"/>
              </w:rPr>
              <w:lastRenderedPageBreak/>
              <w:t>2,2</w:t>
            </w:r>
          </w:p>
        </w:tc>
        <w:tc>
          <w:tcPr>
            <w:tcW w:w="1559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1,13</w:t>
            </w:r>
          </w:p>
        </w:tc>
        <w:tc>
          <w:tcPr>
            <w:tcW w:w="1649" w:type="dxa"/>
            <w:vMerge w:val="restart"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jc w:val="center"/>
              <w:rPr>
                <w:color w:val="000000"/>
                <w:lang w:eastAsia="lt-LT"/>
              </w:rPr>
            </w:pPr>
            <w:r w:rsidRPr="00365E40">
              <w:rPr>
                <w:lang w:eastAsia="lt-LT"/>
              </w:rPr>
              <w:t>Švietimo įstaigos nuostatuose įteisinta ugdymo vieta</w:t>
            </w:r>
          </w:p>
        </w:tc>
      </w:tr>
      <w:tr w:rsidR="00E00DA3" w:rsidRPr="00365E40" w:rsidTr="00E00DA3">
        <w:trPr>
          <w:trHeight w:val="421"/>
          <w:jc w:val="center"/>
        </w:trPr>
        <w:tc>
          <w:tcPr>
            <w:tcW w:w="1518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4,5</w:t>
            </w:r>
          </w:p>
        </w:tc>
        <w:tc>
          <w:tcPr>
            <w:tcW w:w="1459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vMerge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0,9</w:t>
            </w:r>
          </w:p>
        </w:tc>
        <w:tc>
          <w:tcPr>
            <w:tcW w:w="1559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0,5</w:t>
            </w:r>
          </w:p>
        </w:tc>
        <w:tc>
          <w:tcPr>
            <w:tcW w:w="1649" w:type="dxa"/>
            <w:vMerge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</w:p>
        </w:tc>
      </w:tr>
      <w:tr w:rsidR="00E00DA3" w:rsidRPr="00365E40" w:rsidTr="00E00DA3">
        <w:trPr>
          <w:trHeight w:val="412"/>
          <w:jc w:val="center"/>
        </w:trPr>
        <w:tc>
          <w:tcPr>
            <w:tcW w:w="1518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12</w:t>
            </w:r>
          </w:p>
        </w:tc>
        <w:tc>
          <w:tcPr>
            <w:tcW w:w="1459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color w:val="000000"/>
                <w:lang w:eastAsia="lt-LT"/>
              </w:rPr>
              <w:t>9</w:t>
            </w:r>
          </w:p>
        </w:tc>
        <w:tc>
          <w:tcPr>
            <w:tcW w:w="1418" w:type="dxa"/>
            <w:vMerge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2,5</w:t>
            </w:r>
          </w:p>
        </w:tc>
        <w:tc>
          <w:tcPr>
            <w:tcW w:w="1559" w:type="dxa"/>
            <w:hideMark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1,13</w:t>
            </w:r>
          </w:p>
        </w:tc>
        <w:tc>
          <w:tcPr>
            <w:tcW w:w="1649" w:type="dxa"/>
            <w:vMerge/>
            <w:hideMark/>
          </w:tcPr>
          <w:p w:rsidR="00E00DA3" w:rsidRPr="00365E40" w:rsidRDefault="00E00DA3" w:rsidP="00E00DA3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</w:p>
        </w:tc>
      </w:tr>
      <w:tr w:rsidR="00E00DA3" w:rsidRPr="00365E40" w:rsidTr="00E00DA3">
        <w:trPr>
          <w:trHeight w:val="412"/>
          <w:jc w:val="center"/>
        </w:trPr>
        <w:tc>
          <w:tcPr>
            <w:tcW w:w="1518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24</w:t>
            </w:r>
          </w:p>
        </w:tc>
        <w:tc>
          <w:tcPr>
            <w:tcW w:w="1459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9</w:t>
            </w:r>
          </w:p>
        </w:tc>
        <w:tc>
          <w:tcPr>
            <w:tcW w:w="1418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:rsidR="00E00DA3" w:rsidRPr="00365E40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2,5</w:t>
            </w:r>
          </w:p>
        </w:tc>
        <w:tc>
          <w:tcPr>
            <w:tcW w:w="1559" w:type="dxa"/>
          </w:tcPr>
          <w:p w:rsidR="00E00DA3" w:rsidRPr="00F43241" w:rsidRDefault="00E00DA3" w:rsidP="00E00DA3">
            <w:pPr>
              <w:jc w:val="center"/>
              <w:rPr>
                <w:lang w:eastAsia="lt-LT"/>
              </w:rPr>
            </w:pPr>
            <w:r w:rsidRPr="00365E40">
              <w:rPr>
                <w:lang w:eastAsia="lt-LT"/>
              </w:rPr>
              <w:t>1,5 / 1,3</w:t>
            </w:r>
          </w:p>
        </w:tc>
        <w:tc>
          <w:tcPr>
            <w:tcW w:w="1649" w:type="dxa"/>
          </w:tcPr>
          <w:p w:rsidR="00E00DA3" w:rsidRPr="00F43241" w:rsidRDefault="00E00DA3" w:rsidP="00E00DA3">
            <w:pPr>
              <w:jc w:val="both"/>
              <w:rPr>
                <w:color w:val="000000"/>
                <w:lang w:eastAsia="lt-LT"/>
              </w:rPr>
            </w:pPr>
          </w:p>
        </w:tc>
      </w:tr>
    </w:tbl>
    <w:p w:rsidR="00E00DA3" w:rsidRPr="005B2280" w:rsidRDefault="00E00DA3" w:rsidP="00E00DA3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5B2280">
        <w:rPr>
          <w:b/>
          <w:sz w:val="22"/>
          <w:szCs w:val="22"/>
        </w:rPr>
        <w:t>*</w:t>
      </w:r>
      <w:r w:rsidR="00177E18">
        <w:rPr>
          <w:sz w:val="22"/>
          <w:szCs w:val="22"/>
          <w:lang w:eastAsia="lt-LT"/>
        </w:rPr>
        <w:t>L</w:t>
      </w:r>
      <w:r w:rsidRPr="005B2280">
        <w:rPr>
          <w:sz w:val="22"/>
          <w:szCs w:val="22"/>
          <w:lang w:eastAsia="lt-LT"/>
        </w:rPr>
        <w:t xml:space="preserve">entelėje nurodytas darbuotojų etatų skaičius galioja Švietimo įstaigoms, kuriose nėra padidintas ikimokyklinio, priešmokyklinio ugdymo mokytojų ir sumažintas </w:t>
      </w:r>
      <w:r w:rsidRPr="005B2280">
        <w:rPr>
          <w:color w:val="000000"/>
          <w:sz w:val="22"/>
          <w:szCs w:val="22"/>
          <w:lang w:eastAsia="lt-LT"/>
        </w:rPr>
        <w:t>auklėtojo padėjėjų etatų skaičius pagal Savivaldybės administracijos direktoriaus įsakymą.</w:t>
      </w:r>
    </w:p>
    <w:p w:rsidR="00E00DA3" w:rsidRDefault="00E00DA3" w:rsidP="00E00DA3">
      <w:pPr>
        <w:tabs>
          <w:tab w:val="left" w:pos="993"/>
        </w:tabs>
        <w:jc w:val="both"/>
        <w:rPr>
          <w:rFonts w:eastAsia="Calibri"/>
          <w:color w:val="000000"/>
        </w:rPr>
      </w:pPr>
    </w:p>
    <w:p w:rsidR="00E00DA3" w:rsidRDefault="00E00DA3" w:rsidP="00E00DA3">
      <w:pPr>
        <w:tabs>
          <w:tab w:val="left" w:pos="993"/>
        </w:tabs>
        <w:ind w:firstLine="878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 lentelė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420"/>
        <w:gridCol w:w="2126"/>
        <w:gridCol w:w="1557"/>
        <w:gridCol w:w="1565"/>
      </w:tblGrid>
      <w:tr w:rsidR="00E00DA3" w:rsidRPr="00FA060B" w:rsidTr="00D2098F">
        <w:trPr>
          <w:trHeight w:val="150"/>
          <w:jc w:val="center"/>
        </w:trPr>
        <w:tc>
          <w:tcPr>
            <w:tcW w:w="1413" w:type="dxa"/>
            <w:vMerge w:val="restart"/>
            <w:vAlign w:val="center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Grupės veiklos trukmė (val. per parą)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Grupės ugdomosios veiklos trukmė (val. per parą)</w:t>
            </w:r>
          </w:p>
        </w:tc>
        <w:tc>
          <w:tcPr>
            <w:tcW w:w="1420" w:type="dxa"/>
            <w:vMerge w:val="restart"/>
            <w:vAlign w:val="center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Ugdomoji kalba</w:t>
            </w:r>
          </w:p>
        </w:tc>
        <w:tc>
          <w:tcPr>
            <w:tcW w:w="3683" w:type="dxa"/>
            <w:gridSpan w:val="2"/>
            <w:vAlign w:val="center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Darbuotojų etatų skaičius</w:t>
            </w:r>
            <w:r w:rsidRPr="00FA060B">
              <w:rPr>
                <w:b/>
                <w:lang w:eastAsia="lt-LT"/>
              </w:rPr>
              <w:t>*</w:t>
            </w:r>
          </w:p>
        </w:tc>
        <w:tc>
          <w:tcPr>
            <w:tcW w:w="1565" w:type="dxa"/>
            <w:vMerge w:val="restart"/>
            <w:vAlign w:val="center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Ugdymo vieta</w:t>
            </w:r>
          </w:p>
        </w:tc>
      </w:tr>
      <w:tr w:rsidR="00E00DA3" w:rsidRPr="00FA060B" w:rsidTr="00D2098F">
        <w:trPr>
          <w:trHeight w:val="977"/>
          <w:jc w:val="center"/>
        </w:trPr>
        <w:tc>
          <w:tcPr>
            <w:tcW w:w="1413" w:type="dxa"/>
            <w:vMerge/>
            <w:vAlign w:val="center"/>
            <w:hideMark/>
          </w:tcPr>
          <w:p w:rsidR="00E00DA3" w:rsidRPr="00FA060B" w:rsidRDefault="00E00DA3" w:rsidP="00D2098F">
            <w:pPr>
              <w:rPr>
                <w:lang w:eastAsia="lt-L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00DA3" w:rsidRPr="00FA060B" w:rsidRDefault="00E00DA3" w:rsidP="00D2098F">
            <w:pPr>
              <w:rPr>
                <w:lang w:eastAsia="lt-LT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E00DA3" w:rsidRPr="00FA060B" w:rsidRDefault="00E00DA3" w:rsidP="00D2098F">
            <w:pPr>
              <w:rPr>
                <w:lang w:eastAsia="lt-LT"/>
              </w:rPr>
            </w:pPr>
          </w:p>
        </w:tc>
        <w:tc>
          <w:tcPr>
            <w:tcW w:w="2126" w:type="dxa"/>
            <w:vAlign w:val="center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ikimokyklinio, priešmokyklinio ugdymo mokytojas</w:t>
            </w:r>
          </w:p>
        </w:tc>
        <w:tc>
          <w:tcPr>
            <w:tcW w:w="1557" w:type="dxa"/>
            <w:vAlign w:val="center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color w:val="000000"/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auklėtojo padėjėjas / naktinė auklė</w:t>
            </w:r>
          </w:p>
        </w:tc>
        <w:tc>
          <w:tcPr>
            <w:tcW w:w="1565" w:type="dxa"/>
            <w:vMerge/>
            <w:vAlign w:val="center"/>
            <w:hideMark/>
          </w:tcPr>
          <w:p w:rsidR="00E00DA3" w:rsidRPr="00FA060B" w:rsidRDefault="00E00DA3" w:rsidP="00D2098F">
            <w:pPr>
              <w:rPr>
                <w:lang w:eastAsia="lt-LT"/>
              </w:rPr>
            </w:pPr>
          </w:p>
        </w:tc>
      </w:tr>
      <w:tr w:rsidR="00E00DA3" w:rsidRPr="00FA060B" w:rsidTr="00D2098F">
        <w:trPr>
          <w:trHeight w:val="170"/>
          <w:jc w:val="center"/>
        </w:trPr>
        <w:tc>
          <w:tcPr>
            <w:tcW w:w="9640" w:type="dxa"/>
            <w:gridSpan w:val="6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both"/>
              <w:rPr>
                <w:color w:val="000000"/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Bendrosios ir specializuotos paskirties Grupėje</w:t>
            </w:r>
          </w:p>
        </w:tc>
      </w:tr>
      <w:tr w:rsidR="00E00DA3" w:rsidRPr="00FA060B" w:rsidTr="00D2098F">
        <w:trPr>
          <w:trHeight w:val="341"/>
          <w:jc w:val="center"/>
        </w:trPr>
        <w:tc>
          <w:tcPr>
            <w:tcW w:w="1413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10,5</w:t>
            </w:r>
          </w:p>
        </w:tc>
        <w:tc>
          <w:tcPr>
            <w:tcW w:w="1559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9</w:t>
            </w:r>
          </w:p>
        </w:tc>
        <w:tc>
          <w:tcPr>
            <w:tcW w:w="1420" w:type="dxa"/>
            <w:vMerge w:val="restart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Švietimo įstaigos nuostatuose įteisinta ugdomoji kalba</w:t>
            </w:r>
          </w:p>
        </w:tc>
        <w:tc>
          <w:tcPr>
            <w:tcW w:w="2126" w:type="dxa"/>
            <w:hideMark/>
          </w:tcPr>
          <w:p w:rsidR="00E00DA3" w:rsidRPr="00FA060B" w:rsidRDefault="00E00DA3" w:rsidP="00D2098F">
            <w:pPr>
              <w:jc w:val="center"/>
              <w:rPr>
                <w:strike/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2,00</w:t>
            </w:r>
          </w:p>
        </w:tc>
        <w:tc>
          <w:tcPr>
            <w:tcW w:w="1557" w:type="dxa"/>
            <w:hideMark/>
          </w:tcPr>
          <w:p w:rsidR="00E00DA3" w:rsidRPr="00FA060B" w:rsidRDefault="00E00DA3" w:rsidP="00D2098F">
            <w:pPr>
              <w:jc w:val="center"/>
              <w:rPr>
                <w:strike/>
                <w:lang w:eastAsia="lt-LT"/>
              </w:rPr>
            </w:pPr>
            <w:r w:rsidRPr="00FA060B">
              <w:rPr>
                <w:lang w:eastAsia="lt-LT"/>
              </w:rPr>
              <w:t>1,00</w:t>
            </w:r>
          </w:p>
        </w:tc>
        <w:tc>
          <w:tcPr>
            <w:tcW w:w="1565" w:type="dxa"/>
            <w:vMerge w:val="restart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  <w:r w:rsidRPr="00FA060B">
              <w:rPr>
                <w:lang w:eastAsia="lt-LT"/>
              </w:rPr>
              <w:t>Švietimo įstaigos nuostatuose įteisinta ugdymo vieta</w:t>
            </w:r>
          </w:p>
        </w:tc>
      </w:tr>
      <w:tr w:rsidR="00E00DA3" w:rsidRPr="00FA060B" w:rsidTr="00D2098F">
        <w:trPr>
          <w:trHeight w:val="275"/>
          <w:jc w:val="center"/>
        </w:trPr>
        <w:tc>
          <w:tcPr>
            <w:tcW w:w="1413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4,5</w:t>
            </w:r>
          </w:p>
        </w:tc>
        <w:tc>
          <w:tcPr>
            <w:tcW w:w="1559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4</w:t>
            </w:r>
          </w:p>
        </w:tc>
        <w:tc>
          <w:tcPr>
            <w:tcW w:w="1420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0,8</w:t>
            </w:r>
          </w:p>
        </w:tc>
        <w:tc>
          <w:tcPr>
            <w:tcW w:w="1557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0,5</w:t>
            </w:r>
          </w:p>
        </w:tc>
        <w:tc>
          <w:tcPr>
            <w:tcW w:w="1565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</w:p>
        </w:tc>
      </w:tr>
      <w:tr w:rsidR="00E00DA3" w:rsidRPr="00FA060B" w:rsidTr="00D2098F">
        <w:trPr>
          <w:trHeight w:val="616"/>
          <w:jc w:val="center"/>
        </w:trPr>
        <w:tc>
          <w:tcPr>
            <w:tcW w:w="1413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12</w:t>
            </w:r>
          </w:p>
        </w:tc>
        <w:tc>
          <w:tcPr>
            <w:tcW w:w="1559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9</w:t>
            </w:r>
          </w:p>
        </w:tc>
        <w:tc>
          <w:tcPr>
            <w:tcW w:w="1420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2,2</w:t>
            </w:r>
          </w:p>
        </w:tc>
        <w:tc>
          <w:tcPr>
            <w:tcW w:w="1557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1,00</w:t>
            </w:r>
          </w:p>
        </w:tc>
        <w:tc>
          <w:tcPr>
            <w:tcW w:w="1565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</w:p>
        </w:tc>
      </w:tr>
      <w:tr w:rsidR="00765A90" w:rsidRPr="00FA060B" w:rsidTr="00D2098F">
        <w:trPr>
          <w:trHeight w:val="616"/>
          <w:jc w:val="center"/>
        </w:trPr>
        <w:tc>
          <w:tcPr>
            <w:tcW w:w="1413" w:type="dxa"/>
          </w:tcPr>
          <w:p w:rsidR="00765A90" w:rsidRPr="00FA060B" w:rsidRDefault="00765A90" w:rsidP="00765A90">
            <w:pPr>
              <w:jc w:val="center"/>
              <w:rPr>
                <w:color w:val="000000"/>
                <w:lang w:eastAsia="lt-LT"/>
              </w:rPr>
            </w:pPr>
            <w:r w:rsidRPr="00FA060B">
              <w:rPr>
                <w:lang w:eastAsia="lt-LT"/>
              </w:rPr>
              <w:t>24</w:t>
            </w:r>
          </w:p>
        </w:tc>
        <w:tc>
          <w:tcPr>
            <w:tcW w:w="1559" w:type="dxa"/>
          </w:tcPr>
          <w:p w:rsidR="00765A90" w:rsidRPr="00FA060B" w:rsidRDefault="00765A90" w:rsidP="00765A90">
            <w:pPr>
              <w:jc w:val="center"/>
              <w:rPr>
                <w:color w:val="000000"/>
                <w:lang w:eastAsia="lt-LT"/>
              </w:rPr>
            </w:pPr>
            <w:r w:rsidRPr="00FA060B">
              <w:rPr>
                <w:lang w:eastAsia="lt-LT"/>
              </w:rPr>
              <w:t>9</w:t>
            </w:r>
          </w:p>
        </w:tc>
        <w:tc>
          <w:tcPr>
            <w:tcW w:w="1420" w:type="dxa"/>
            <w:vMerge/>
          </w:tcPr>
          <w:p w:rsidR="00765A90" w:rsidRPr="00FA060B" w:rsidRDefault="00765A90" w:rsidP="00765A90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:rsidR="00765A90" w:rsidRPr="00FA060B" w:rsidRDefault="00765A90" w:rsidP="00765A90">
            <w:pPr>
              <w:jc w:val="center"/>
              <w:rPr>
                <w:color w:val="000000" w:themeColor="text1"/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2,2</w:t>
            </w:r>
          </w:p>
        </w:tc>
        <w:tc>
          <w:tcPr>
            <w:tcW w:w="1557" w:type="dxa"/>
          </w:tcPr>
          <w:p w:rsidR="00765A90" w:rsidRPr="00FA060B" w:rsidRDefault="00765A90" w:rsidP="00765A90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1,5 / 1,3</w:t>
            </w:r>
          </w:p>
        </w:tc>
        <w:tc>
          <w:tcPr>
            <w:tcW w:w="1565" w:type="dxa"/>
            <w:vMerge/>
          </w:tcPr>
          <w:p w:rsidR="00765A90" w:rsidRPr="00FA060B" w:rsidRDefault="00765A90" w:rsidP="00765A90">
            <w:pPr>
              <w:widowControl w:val="0"/>
              <w:tabs>
                <w:tab w:val="left" w:pos="9180"/>
              </w:tabs>
              <w:rPr>
                <w:lang w:eastAsia="lt-LT"/>
              </w:rPr>
            </w:pPr>
          </w:p>
        </w:tc>
      </w:tr>
      <w:tr w:rsidR="00E00DA3" w:rsidRPr="00FA060B" w:rsidTr="00D2098F">
        <w:trPr>
          <w:trHeight w:val="303"/>
          <w:jc w:val="center"/>
        </w:trPr>
        <w:tc>
          <w:tcPr>
            <w:tcW w:w="9640" w:type="dxa"/>
            <w:gridSpan w:val="6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Specialiosios paskirties Grupėje</w:t>
            </w:r>
          </w:p>
        </w:tc>
      </w:tr>
      <w:tr w:rsidR="00E00DA3" w:rsidRPr="00FA060B" w:rsidTr="00D2098F">
        <w:trPr>
          <w:trHeight w:val="376"/>
          <w:jc w:val="center"/>
        </w:trPr>
        <w:tc>
          <w:tcPr>
            <w:tcW w:w="1413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10,5</w:t>
            </w:r>
          </w:p>
        </w:tc>
        <w:tc>
          <w:tcPr>
            <w:tcW w:w="1559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9</w:t>
            </w:r>
          </w:p>
        </w:tc>
        <w:tc>
          <w:tcPr>
            <w:tcW w:w="1420" w:type="dxa"/>
            <w:vMerge w:val="restart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Švietimo įstaigos nuostatuose įteisinta ugdomoji kalba</w:t>
            </w:r>
          </w:p>
        </w:tc>
        <w:tc>
          <w:tcPr>
            <w:tcW w:w="2126" w:type="dxa"/>
            <w:hideMark/>
          </w:tcPr>
          <w:p w:rsidR="00E00DA3" w:rsidRPr="00FA060B" w:rsidRDefault="00E00DA3" w:rsidP="00D2098F">
            <w:pPr>
              <w:jc w:val="center"/>
              <w:rPr>
                <w:strike/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2,5</w:t>
            </w:r>
          </w:p>
        </w:tc>
        <w:tc>
          <w:tcPr>
            <w:tcW w:w="1557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1,00</w:t>
            </w:r>
          </w:p>
        </w:tc>
        <w:tc>
          <w:tcPr>
            <w:tcW w:w="1565" w:type="dxa"/>
            <w:vMerge w:val="restart"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  <w:r w:rsidRPr="00FA060B">
              <w:rPr>
                <w:lang w:eastAsia="lt-LT"/>
              </w:rPr>
              <w:t>Švietimo įstaigos nuostatuose įteisinta ugdymo vieta</w:t>
            </w:r>
          </w:p>
        </w:tc>
      </w:tr>
      <w:tr w:rsidR="00E00DA3" w:rsidRPr="00FA060B" w:rsidTr="00D2098F">
        <w:trPr>
          <w:trHeight w:val="424"/>
          <w:jc w:val="center"/>
        </w:trPr>
        <w:tc>
          <w:tcPr>
            <w:tcW w:w="1413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4,5</w:t>
            </w:r>
          </w:p>
        </w:tc>
        <w:tc>
          <w:tcPr>
            <w:tcW w:w="1559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4</w:t>
            </w:r>
          </w:p>
        </w:tc>
        <w:tc>
          <w:tcPr>
            <w:tcW w:w="1420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1,0</w:t>
            </w:r>
          </w:p>
        </w:tc>
        <w:tc>
          <w:tcPr>
            <w:tcW w:w="1557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0,5</w:t>
            </w:r>
          </w:p>
        </w:tc>
        <w:tc>
          <w:tcPr>
            <w:tcW w:w="1565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</w:p>
        </w:tc>
      </w:tr>
      <w:tr w:rsidR="00E00DA3" w:rsidRPr="00FA060B" w:rsidTr="00D2098F">
        <w:trPr>
          <w:trHeight w:val="458"/>
          <w:jc w:val="center"/>
        </w:trPr>
        <w:tc>
          <w:tcPr>
            <w:tcW w:w="1413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12</w:t>
            </w:r>
          </w:p>
        </w:tc>
        <w:tc>
          <w:tcPr>
            <w:tcW w:w="1559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/>
                <w:lang w:eastAsia="lt-LT"/>
              </w:rPr>
              <w:t>9</w:t>
            </w:r>
          </w:p>
        </w:tc>
        <w:tc>
          <w:tcPr>
            <w:tcW w:w="1420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2,85</w:t>
            </w:r>
          </w:p>
        </w:tc>
        <w:tc>
          <w:tcPr>
            <w:tcW w:w="1557" w:type="dxa"/>
            <w:hideMark/>
          </w:tcPr>
          <w:p w:rsidR="00E00DA3" w:rsidRPr="00FA060B" w:rsidRDefault="00E00DA3" w:rsidP="00D2098F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1,00</w:t>
            </w:r>
          </w:p>
        </w:tc>
        <w:tc>
          <w:tcPr>
            <w:tcW w:w="1565" w:type="dxa"/>
            <w:vMerge/>
            <w:hideMark/>
          </w:tcPr>
          <w:p w:rsidR="00E00DA3" w:rsidRPr="00FA060B" w:rsidRDefault="00E00DA3" w:rsidP="00D2098F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</w:p>
        </w:tc>
      </w:tr>
      <w:tr w:rsidR="00765A90" w:rsidRPr="00FA060B" w:rsidTr="00D2098F">
        <w:trPr>
          <w:trHeight w:val="458"/>
          <w:jc w:val="center"/>
        </w:trPr>
        <w:tc>
          <w:tcPr>
            <w:tcW w:w="1413" w:type="dxa"/>
          </w:tcPr>
          <w:p w:rsidR="00765A90" w:rsidRPr="00FA060B" w:rsidRDefault="00765A90" w:rsidP="00765A90">
            <w:pPr>
              <w:jc w:val="center"/>
              <w:rPr>
                <w:color w:val="000000"/>
                <w:lang w:eastAsia="lt-LT"/>
              </w:rPr>
            </w:pPr>
            <w:r w:rsidRPr="00FA060B">
              <w:rPr>
                <w:lang w:eastAsia="lt-LT"/>
              </w:rPr>
              <w:t>24</w:t>
            </w:r>
          </w:p>
        </w:tc>
        <w:tc>
          <w:tcPr>
            <w:tcW w:w="1559" w:type="dxa"/>
          </w:tcPr>
          <w:p w:rsidR="00765A90" w:rsidRPr="00FA060B" w:rsidRDefault="00765A90" w:rsidP="00765A90">
            <w:pPr>
              <w:jc w:val="center"/>
              <w:rPr>
                <w:color w:val="000000"/>
                <w:lang w:eastAsia="lt-LT"/>
              </w:rPr>
            </w:pPr>
            <w:r w:rsidRPr="00FA060B">
              <w:rPr>
                <w:lang w:eastAsia="lt-LT"/>
              </w:rPr>
              <w:t>9</w:t>
            </w:r>
          </w:p>
        </w:tc>
        <w:tc>
          <w:tcPr>
            <w:tcW w:w="1420" w:type="dxa"/>
            <w:vMerge/>
          </w:tcPr>
          <w:p w:rsidR="00765A90" w:rsidRPr="00FA060B" w:rsidRDefault="00765A90" w:rsidP="00765A90">
            <w:pPr>
              <w:widowControl w:val="0"/>
              <w:tabs>
                <w:tab w:val="left" w:pos="9180"/>
              </w:tabs>
              <w:jc w:val="center"/>
              <w:rPr>
                <w:lang w:eastAsia="lt-LT"/>
              </w:rPr>
            </w:pPr>
          </w:p>
        </w:tc>
        <w:tc>
          <w:tcPr>
            <w:tcW w:w="2126" w:type="dxa"/>
          </w:tcPr>
          <w:p w:rsidR="00765A90" w:rsidRPr="00FA060B" w:rsidRDefault="00765A90" w:rsidP="00765A90">
            <w:pPr>
              <w:jc w:val="center"/>
              <w:rPr>
                <w:color w:val="000000" w:themeColor="text1"/>
                <w:lang w:eastAsia="lt-LT"/>
              </w:rPr>
            </w:pPr>
            <w:r w:rsidRPr="00FA060B">
              <w:rPr>
                <w:color w:val="000000" w:themeColor="text1"/>
                <w:lang w:eastAsia="lt-LT"/>
              </w:rPr>
              <w:t>2,85</w:t>
            </w:r>
          </w:p>
        </w:tc>
        <w:tc>
          <w:tcPr>
            <w:tcW w:w="1557" w:type="dxa"/>
          </w:tcPr>
          <w:p w:rsidR="00765A90" w:rsidRPr="00FA060B" w:rsidRDefault="00765A90" w:rsidP="00765A90">
            <w:pPr>
              <w:jc w:val="center"/>
              <w:rPr>
                <w:lang w:eastAsia="lt-LT"/>
              </w:rPr>
            </w:pPr>
            <w:r w:rsidRPr="00FA060B">
              <w:rPr>
                <w:lang w:eastAsia="lt-LT"/>
              </w:rPr>
              <w:t>1,5 / 1,3</w:t>
            </w:r>
          </w:p>
        </w:tc>
        <w:tc>
          <w:tcPr>
            <w:tcW w:w="1565" w:type="dxa"/>
            <w:vMerge/>
          </w:tcPr>
          <w:p w:rsidR="00765A90" w:rsidRPr="00FA060B" w:rsidRDefault="00765A90" w:rsidP="00765A90">
            <w:pPr>
              <w:widowControl w:val="0"/>
              <w:tabs>
                <w:tab w:val="left" w:pos="9180"/>
              </w:tabs>
              <w:rPr>
                <w:color w:val="000000"/>
                <w:lang w:eastAsia="lt-LT"/>
              </w:rPr>
            </w:pPr>
          </w:p>
        </w:tc>
      </w:tr>
    </w:tbl>
    <w:p w:rsidR="00E00DA3" w:rsidRDefault="00E00DA3" w:rsidP="00E00DA3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C42654">
        <w:rPr>
          <w:b/>
          <w:sz w:val="22"/>
          <w:szCs w:val="22"/>
        </w:rPr>
        <w:t>*</w:t>
      </w:r>
      <w:r w:rsidR="00177E18">
        <w:rPr>
          <w:sz w:val="22"/>
          <w:szCs w:val="22"/>
          <w:lang w:eastAsia="lt-LT"/>
        </w:rPr>
        <w:t>L</w:t>
      </w:r>
      <w:r w:rsidRPr="00C42654">
        <w:rPr>
          <w:sz w:val="22"/>
          <w:szCs w:val="22"/>
          <w:lang w:eastAsia="lt-LT"/>
        </w:rPr>
        <w:t xml:space="preserve">entelėje nurodytas darbuotojų etatų skaičius galioja Švietimo įstaigoms, kuriose padidintas ikimokyklinio, priešmokyklinio ugdymo mokytojų ir sumažintas </w:t>
      </w:r>
      <w:r w:rsidRPr="00C42654">
        <w:rPr>
          <w:color w:val="000000"/>
          <w:sz w:val="22"/>
          <w:szCs w:val="22"/>
          <w:lang w:eastAsia="lt-LT"/>
        </w:rPr>
        <w:t>auklėtojo padėjėjų etatų skaičius pagal Savivaldybės administracijos direktoriaus įsakymą.</w:t>
      </w:r>
    </w:p>
    <w:p w:rsidR="00E00DA3" w:rsidRDefault="00E00DA3" w:rsidP="00E00DA3">
      <w:pPr>
        <w:ind w:firstLine="709"/>
        <w:jc w:val="both"/>
      </w:pPr>
      <w:bookmarkStart w:id="3" w:name="_Hlk107003532"/>
      <w:r>
        <w:rPr>
          <w:color w:val="000000"/>
          <w:sz w:val="22"/>
          <w:szCs w:val="22"/>
          <w:lang w:eastAsia="lt-LT"/>
        </w:rPr>
        <w:t xml:space="preserve">Pasikeitus teisės aktams dėl </w:t>
      </w:r>
      <w:r w:rsidRPr="008A1F1C">
        <w:rPr>
          <w:sz w:val="22"/>
          <w:szCs w:val="22"/>
          <w:lang w:eastAsia="lt-LT"/>
        </w:rPr>
        <w:t>ikimokyklinio, priešmokyklinio ugdymo mokytojų darbo krūvio sandaros (kontaktinių ir nekontaktinių valandų skaičiaus), konkretus ikimokyklinio, priešmokyklinio ugdymo mokytojų etatų skaičius pagal Grupės veiklos trukmę nustatomas Savivaldybės administracijos direktoriaus įsakymu.</w:t>
      </w:r>
      <w:r w:rsidRPr="00177E18">
        <w:rPr>
          <w:color w:val="000000"/>
          <w:lang w:eastAsia="lt-LT"/>
        </w:rPr>
        <w:t>“;</w:t>
      </w:r>
      <w:bookmarkEnd w:id="3"/>
    </w:p>
    <w:p w:rsidR="00E00DA3" w:rsidRPr="00394351" w:rsidRDefault="00E00DA3" w:rsidP="00E00DA3">
      <w:pPr>
        <w:ind w:firstLine="709"/>
        <w:jc w:val="both"/>
      </w:pPr>
      <w:r>
        <w:t xml:space="preserve">1.3. papildyti 19.3 papunkčiu </w:t>
      </w:r>
      <w:r w:rsidRPr="00901012">
        <w:t>ir jį išdėstyti taip:</w:t>
      </w:r>
    </w:p>
    <w:p w:rsidR="00E00DA3" w:rsidRDefault="00E00DA3" w:rsidP="00E00DA3">
      <w:pPr>
        <w:ind w:firstLine="709"/>
        <w:jc w:val="both"/>
      </w:pPr>
      <w:r w:rsidRPr="00045112">
        <w:t xml:space="preserve">„19.3. </w:t>
      </w:r>
      <w:r>
        <w:t>t</w:t>
      </w:r>
      <w:r w:rsidRPr="00045112">
        <w:t>ėvams pasirinkus skirtingą vaikų priežiūros laiką, Grupės sudaromos pagal pasirinkto laiko trukmę (1,5 val., 1 val., 0,5 val.). Grupėje negali būti mažiau kaip 12 vaikų.“</w:t>
      </w:r>
      <w:r>
        <w:t>;</w:t>
      </w:r>
    </w:p>
    <w:p w:rsidR="00E00DA3" w:rsidRDefault="00E00DA3" w:rsidP="00E00DA3">
      <w:pPr>
        <w:ind w:left="709"/>
        <w:jc w:val="both"/>
      </w:pPr>
      <w:r>
        <w:t>1.4. pa</w:t>
      </w:r>
      <w:r w:rsidRPr="00901012">
        <w:t xml:space="preserve">keisti </w:t>
      </w:r>
      <w:r>
        <w:t xml:space="preserve">24 </w:t>
      </w:r>
      <w:r w:rsidRPr="00901012">
        <w:t>punktą ir jį išdėstyti taip:</w:t>
      </w:r>
    </w:p>
    <w:p w:rsidR="00E00DA3" w:rsidRPr="00045112" w:rsidRDefault="00E00DA3" w:rsidP="00E00DA3">
      <w:pPr>
        <w:ind w:firstLine="709"/>
        <w:jc w:val="both"/>
        <w:rPr>
          <w:strike/>
        </w:rPr>
      </w:pPr>
      <w:r>
        <w:rPr>
          <w:color w:val="000000"/>
        </w:rPr>
        <w:t>„24.</w:t>
      </w:r>
      <w:r w:rsidRPr="009C4C8C">
        <w:t xml:space="preserve"> </w:t>
      </w:r>
      <w:r>
        <w:t>Siekiant gerinti vaikų sveikatą, tenkinti individualius jų saviraiškos poreikius bei</w:t>
      </w:r>
      <w:r>
        <w:rPr>
          <w:color w:val="000000"/>
        </w:rPr>
        <w:t xml:space="preserve"> užtikrinti Švietimo įstaigos veiklos savitumą, į Ikimokyklinio ugdymo programą ir Priešmokyklinio ugdymo bendrąją programą </w:t>
      </w:r>
      <w:r>
        <w:t xml:space="preserve">integruojamos neformaliojo vaikų švietimo (toliau – NVŠ) programos, vykdomos ugdymo proceso metu. Rekomenduojama, kad viena iš NVŠ programų būtų skirta vaikų </w:t>
      </w:r>
      <w:r w:rsidRPr="00045112">
        <w:t>sveikatos saugojimo ir judėjimo kompetencijai ugdyti, kitos – meninei (muzikos, vaidybos, dailės, šokio) ir kitoms kompetencijoms (komunikavimo, socialinės, pažinimo) ugdyti. NVŠ programos rengiamos pagal NVŠ programos formą, patvirtintą Švietimo skyriaus vedėjo, tvirtinamos ir derinamos vadovaujantis 10 punkto nuostatomis.</w:t>
      </w:r>
      <w:r>
        <w:t>“;</w:t>
      </w:r>
    </w:p>
    <w:p w:rsidR="00E00DA3" w:rsidRDefault="00E00DA3" w:rsidP="00E00DA3">
      <w:pPr>
        <w:ind w:left="709"/>
        <w:jc w:val="both"/>
      </w:pPr>
      <w:r>
        <w:t>1.5. pa</w:t>
      </w:r>
      <w:r w:rsidRPr="00901012">
        <w:t xml:space="preserve">keisti </w:t>
      </w:r>
      <w:r>
        <w:t xml:space="preserve">27 </w:t>
      </w:r>
      <w:r w:rsidRPr="00901012">
        <w:t>punktą ir jį išdėstyti taip:</w:t>
      </w:r>
    </w:p>
    <w:p w:rsidR="00E00DA3" w:rsidRPr="00137971" w:rsidRDefault="00E00DA3" w:rsidP="00E00DA3">
      <w:pPr>
        <w:ind w:firstLine="709"/>
        <w:jc w:val="both"/>
      </w:pPr>
      <w:r w:rsidRPr="00137971">
        <w:rPr>
          <w:color w:val="000000" w:themeColor="text1"/>
        </w:rPr>
        <w:t>„27.</w:t>
      </w:r>
      <w:r w:rsidRPr="00137971">
        <w:rPr>
          <w:color w:val="FF0000"/>
        </w:rPr>
        <w:t xml:space="preserve"> </w:t>
      </w:r>
      <w:r w:rsidRPr="00137971">
        <w:rPr>
          <w:color w:val="000000"/>
        </w:rPr>
        <w:t>Atsižvelgus į sukomplektuotos Grupės vaikų gimtąją kalbą, nustatoma Grupės ugdomoji kalba:</w:t>
      </w:r>
    </w:p>
    <w:p w:rsidR="00E00DA3" w:rsidRDefault="00E00DA3" w:rsidP="00E00DA3">
      <w:pPr>
        <w:ind w:firstLine="709"/>
        <w:jc w:val="both"/>
        <w:rPr>
          <w:color w:val="000000"/>
        </w:rPr>
      </w:pPr>
      <w:r w:rsidRPr="00137971">
        <w:rPr>
          <w:color w:val="000000"/>
        </w:rPr>
        <w:t>27.1</w:t>
      </w:r>
      <w:r>
        <w:rPr>
          <w:color w:val="000000"/>
        </w:rPr>
        <w:t>. i</w:t>
      </w:r>
      <w:r>
        <w:t xml:space="preserve">kimokyklinio ir priešmokyklinio amžiaus vaikams, ugdomiems lietuvių </w:t>
      </w:r>
      <w:r w:rsidRPr="00D824C8">
        <w:t>ar kita kalba,</w:t>
      </w:r>
      <w:r>
        <w:t xml:space="preserve"> taikomi tie patys </w:t>
      </w:r>
      <w:r>
        <w:rPr>
          <w:color w:val="000000"/>
        </w:rPr>
        <w:t>Grupės veiklos principai;</w:t>
      </w:r>
    </w:p>
    <w:p w:rsidR="00E00DA3" w:rsidRPr="00E84FA1" w:rsidRDefault="00E00DA3" w:rsidP="00E00DA3">
      <w:pPr>
        <w:ind w:firstLine="709"/>
        <w:jc w:val="both"/>
        <w:rPr>
          <w:color w:val="000000"/>
        </w:rPr>
      </w:pPr>
      <w:r w:rsidRPr="00D824C8">
        <w:lastRenderedPageBreak/>
        <w:t xml:space="preserve">27.2. </w:t>
      </w:r>
      <w:r w:rsidRPr="00E84FA1">
        <w:t>Grupėje, kurioje ugdymo procesas vykdomas ne lietuvių kalba, ne mažiau kaip 5 valandos per savaitę skiriamos ugdymui lietuvių kalba pagal Lietuvių kalbos ugdymo(si) organizavimo modelius tautinių mažumų mokyklose, vykdančiose ikimokyklinio ir priešmokyklinio ugdymo programas, metodines rekomendacijas, patvirtintas švietimo, mokslo ir sporto ministro.“;</w:t>
      </w:r>
    </w:p>
    <w:p w:rsidR="00E00DA3" w:rsidRDefault="00E00DA3" w:rsidP="00E00DA3">
      <w:pPr>
        <w:ind w:left="709"/>
        <w:jc w:val="both"/>
      </w:pPr>
      <w:r>
        <w:t>1.6. pa</w:t>
      </w:r>
      <w:r w:rsidRPr="00901012">
        <w:t xml:space="preserve">keisti </w:t>
      </w:r>
      <w:r>
        <w:t xml:space="preserve">31.3 papunktį </w:t>
      </w:r>
      <w:r w:rsidRPr="00901012">
        <w:t>ir jį išdėstyti taip:</w:t>
      </w:r>
    </w:p>
    <w:p w:rsidR="00E00DA3" w:rsidRDefault="00E00DA3" w:rsidP="00E00DA3">
      <w:pPr>
        <w:ind w:firstLine="709"/>
        <w:jc w:val="both"/>
        <w:rPr>
          <w:color w:val="000000"/>
          <w:spacing w:val="-1"/>
        </w:rPr>
      </w:pPr>
      <w:r>
        <w:rPr>
          <w:color w:val="000000"/>
        </w:rPr>
        <w:t xml:space="preserve">„31.3. vaikams, turintiems </w:t>
      </w:r>
      <w:bookmarkStart w:id="4" w:name="_Hlk107003647"/>
      <w:r>
        <w:rPr>
          <w:color w:val="000000"/>
        </w:rPr>
        <w:t xml:space="preserve">vidutinių, </w:t>
      </w:r>
      <w:bookmarkEnd w:id="4"/>
      <w:r>
        <w:rPr>
          <w:color w:val="000000"/>
        </w:rPr>
        <w:t xml:space="preserve">didelių ir labai didelių specialiųjų ugdymosi poreikių, </w:t>
      </w:r>
      <w:r>
        <w:t xml:space="preserve">gali būti </w:t>
      </w:r>
      <w:r>
        <w:rPr>
          <w:color w:val="000000"/>
        </w:rPr>
        <w:t xml:space="preserve">skiriama </w:t>
      </w:r>
      <w:r>
        <w:rPr>
          <w:color w:val="000000"/>
          <w:spacing w:val="-1"/>
        </w:rPr>
        <w:t>mokytojo padėjėjo pagalba Savivaldybės administracijos komisijos teikimu;“;</w:t>
      </w:r>
    </w:p>
    <w:p w:rsidR="00E00DA3" w:rsidRDefault="00E00DA3" w:rsidP="00E00DA3">
      <w:pPr>
        <w:ind w:left="709"/>
        <w:jc w:val="both"/>
      </w:pPr>
      <w:r>
        <w:t>1.7. pa</w:t>
      </w:r>
      <w:r w:rsidRPr="00901012">
        <w:t xml:space="preserve">keisti </w:t>
      </w:r>
      <w:r>
        <w:t xml:space="preserve">34 </w:t>
      </w:r>
      <w:r w:rsidRPr="00901012">
        <w:t>punktą ir jį išdėstyti taip:</w:t>
      </w:r>
    </w:p>
    <w:p w:rsidR="00E00DA3" w:rsidRDefault="00E00DA3" w:rsidP="00E00DA3">
      <w:pPr>
        <w:ind w:firstLine="720"/>
        <w:jc w:val="both"/>
      </w:pPr>
      <w:r>
        <w:t xml:space="preserve">„34. Grupių veiklos Modelių įgyvendinimas finansuojamas iš valstybės tikslinės dotacijos </w:t>
      </w:r>
      <w:r w:rsidRPr="00864148">
        <w:t>(</w:t>
      </w:r>
      <w:r>
        <w:t>mokymo lėšos), Savivaldybės biudžeto, tėvų, rėmėjų ir kitomis lėšomis.“</w:t>
      </w:r>
    </w:p>
    <w:p w:rsidR="00E00DA3" w:rsidRDefault="00E00DA3" w:rsidP="00E00DA3">
      <w:pPr>
        <w:tabs>
          <w:tab w:val="left" w:pos="993"/>
        </w:tabs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65A90" w:rsidP="00765A90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BDD">
          <w:rPr>
            <w:noProof/>
          </w:rPr>
          <w:t>3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7E18"/>
    <w:rsid w:val="001E7FB1"/>
    <w:rsid w:val="003222B4"/>
    <w:rsid w:val="004476DD"/>
    <w:rsid w:val="004A0BDD"/>
    <w:rsid w:val="00597EE8"/>
    <w:rsid w:val="005C00EA"/>
    <w:rsid w:val="005F495C"/>
    <w:rsid w:val="00765A90"/>
    <w:rsid w:val="008354D5"/>
    <w:rsid w:val="00894D6F"/>
    <w:rsid w:val="00922CD4"/>
    <w:rsid w:val="00A12691"/>
    <w:rsid w:val="00AF7D08"/>
    <w:rsid w:val="00C56F56"/>
    <w:rsid w:val="00CA4D3B"/>
    <w:rsid w:val="00E00DA3"/>
    <w:rsid w:val="00E014C1"/>
    <w:rsid w:val="00E33871"/>
    <w:rsid w:val="00F40C7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D8EB"/>
  <w15:docId w15:val="{ED2AFC8E-2680-42DB-8115-750A9CE6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00DA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3705</Words>
  <Characters>2113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2022-07-25T11:38:00Z</dcterms:created>
  <dcterms:modified xsi:type="dcterms:W3CDTF">2022-07-25T11:38:00Z</dcterms:modified>
</cp:coreProperties>
</file>