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t xml:space="preserve">sprendimu Nr. </w:t>
            </w:r>
            <w:bookmarkStart w:id="2" w:name="registravimoNr"/>
            <w:r>
              <w:t>T2-206</w:t>
            </w:r>
            <w:bookmarkEnd w:id="2"/>
          </w:p>
        </w:tc>
      </w:tr>
    </w:tbl>
    <w:p w:rsidR="00832CC9" w:rsidRPr="00F72A1E" w:rsidRDefault="00832CC9" w:rsidP="0006079E">
      <w:pPr>
        <w:jc w:val="center"/>
      </w:pPr>
    </w:p>
    <w:p w:rsidR="00832CC9" w:rsidRPr="00F72A1E" w:rsidRDefault="00832CC9" w:rsidP="0006079E">
      <w:pPr>
        <w:jc w:val="center"/>
      </w:pPr>
    </w:p>
    <w:p w:rsidR="00832CC9" w:rsidRDefault="002614B7" w:rsidP="0006079E">
      <w:pPr>
        <w:jc w:val="center"/>
        <w:rPr>
          <w:b/>
          <w:bCs/>
          <w:color w:val="000000"/>
        </w:rPr>
      </w:pPr>
      <w:r>
        <w:rPr>
          <w:b/>
          <w:bCs/>
          <w:color w:val="000000"/>
        </w:rPr>
        <w:t>LOŠIMŲ ORGANIZAVIMO VIETOS POVEIKIO VIEŠAJAI TVARKAI, ŠVIETIMUI, KULTŪRAI, VISUOMENĖS SVEIKATAI, GYVENAMAJAI APLINKAI IR KRIMINOGENINEI SITUACIJAI KONKREČIŲ VERTINIMO KRITERIJŲ IR PRAŠYMŲ NAGRINĖJIMO TVARKOS APRAŠAS</w:t>
      </w:r>
    </w:p>
    <w:p w:rsidR="002614B7" w:rsidRPr="00F72A1E" w:rsidRDefault="002614B7" w:rsidP="0006079E">
      <w:pPr>
        <w:jc w:val="center"/>
      </w:pPr>
    </w:p>
    <w:p w:rsidR="002614B7" w:rsidRDefault="002614B7" w:rsidP="002614B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 SKYRIUS</w:t>
      </w:r>
    </w:p>
    <w:p w:rsidR="002614B7" w:rsidRDefault="002614B7" w:rsidP="002614B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 Lošimų organizavimo vietos poveikio viešajai tvarkai, švietimui, kultūrai, visuomenės sveikatai, gyvenamajai aplinkai ir kriminogeninei situacijai konkrečių vertinimo kriterijų ir prašymų nagrinėjimo tvarkos aprašas (toliau – Aprašas) parengtas įgyvendinant Lietuvos Respublikos azartinių lošimų įstatymo Nr. IX-325 5, </w:t>
      </w:r>
      <w:r>
        <w:rPr>
          <w:rFonts w:ascii="Times New Roman" w:eastAsia="Times New Roman" w:hAnsi="Times New Roman" w:cs="Times New Roman"/>
          <w:caps/>
          <w:color w:val="000000"/>
          <w:sz w:val="24"/>
          <w:szCs w:val="24"/>
          <w:lang w:eastAsia="lt-LT"/>
        </w:rPr>
        <w:t>8</w:t>
      </w:r>
      <w:r>
        <w:rPr>
          <w:rFonts w:ascii="Times New Roman" w:eastAsia="Times New Roman" w:hAnsi="Times New Roman" w:cs="Times New Roman"/>
          <w:caps/>
          <w:color w:val="000000"/>
          <w:sz w:val="24"/>
          <w:szCs w:val="24"/>
          <w:vertAlign w:val="superscript"/>
          <w:lang w:eastAsia="lt-LT"/>
        </w:rPr>
        <w:t>1</w:t>
      </w:r>
      <w:r>
        <w:rPr>
          <w:rFonts w:ascii="Times New Roman" w:hAnsi="Times New Roman" w:cs="Times New Roman"/>
          <w:sz w:val="24"/>
          <w:szCs w:val="24"/>
        </w:rPr>
        <w:t xml:space="preserve">, 9, 13, 21 straipsnių pakeitimo ir įstatymo papildymu </w:t>
      </w:r>
      <w:r>
        <w:rPr>
          <w:rFonts w:ascii="Times New Roman" w:eastAsia="Times New Roman" w:hAnsi="Times New Roman" w:cs="Times New Roman"/>
          <w:caps/>
          <w:color w:val="000000"/>
          <w:sz w:val="24"/>
          <w:szCs w:val="24"/>
          <w:lang w:eastAsia="lt-LT"/>
        </w:rPr>
        <w:t>24</w:t>
      </w:r>
      <w:r>
        <w:rPr>
          <w:rFonts w:ascii="Times New Roman" w:eastAsia="Times New Roman" w:hAnsi="Times New Roman" w:cs="Times New Roman"/>
          <w:caps/>
          <w:color w:val="000000"/>
          <w:sz w:val="24"/>
          <w:szCs w:val="24"/>
          <w:vertAlign w:val="superscript"/>
          <w:lang w:eastAsia="lt-LT"/>
        </w:rPr>
        <w:t>1</w:t>
      </w:r>
      <w:r>
        <w:rPr>
          <w:rFonts w:ascii="Times New Roman" w:hAnsi="Times New Roman" w:cs="Times New Roman"/>
          <w:sz w:val="24"/>
          <w:szCs w:val="24"/>
        </w:rPr>
        <w:t xml:space="preserve"> straipsniu įstatymą ir atsižvelgus į </w:t>
      </w:r>
      <w:r>
        <w:rPr>
          <w:rFonts w:ascii="Times New Roman" w:hAnsi="Times New Roman" w:cs="Times New Roman"/>
          <w:color w:val="000000"/>
          <w:sz w:val="24"/>
          <w:szCs w:val="24"/>
        </w:rPr>
        <w:t>Lošimų organizavimo vietos poveikio viešajai tvarkai, švietimui, kultūrai, visuomenės sveikatai, gyvenamajai aplinkai ir kriminogeninei situacijai konkrečių rekomendacinių vertinimo kriterijų sąrašo, patvirtinto</w:t>
      </w:r>
      <w:r>
        <w:rPr>
          <w:rFonts w:ascii="Times New Roman" w:hAnsi="Times New Roman" w:cs="Times New Roman"/>
          <w:sz w:val="24"/>
          <w:szCs w:val="24"/>
        </w:rPr>
        <w:t xml:space="preserve"> Lošimų priežiūros tarnybos direktoriaus 2022 m. kovo 30 d. įsakymu Nr. </w:t>
      </w:r>
      <w:r>
        <w:rPr>
          <w:rFonts w:ascii="Times New Roman" w:hAnsi="Times New Roman" w:cs="Times New Roman"/>
          <w:color w:val="333333"/>
          <w:sz w:val="24"/>
          <w:szCs w:val="24"/>
          <w:shd w:val="clear" w:color="auto" w:fill="FFFFFF"/>
        </w:rPr>
        <w:t>DIE-180</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„Dėl </w:t>
      </w:r>
      <w:r>
        <w:rPr>
          <w:rFonts w:ascii="Times New Roman" w:hAnsi="Times New Roman" w:cs="Times New Roman"/>
          <w:color w:val="000000"/>
          <w:sz w:val="24"/>
          <w:szCs w:val="24"/>
        </w:rPr>
        <w:t>Lošimų organizavimo vietos poveikio viešajai tvarkai, švietimui, kultūrai, visuomenės sveikatai, gyvenamajai aplinkai ir kriminogeninei situacijai konkrečių rekomendacinių vertinimo kriterijų sąrašo patvirtinimo“ rekomendacijas</w:t>
      </w:r>
      <w:r>
        <w:rPr>
          <w:rFonts w:ascii="Times New Roman" w:hAnsi="Times New Roman" w:cs="Times New Roman"/>
          <w:sz w:val="24"/>
          <w:szCs w:val="24"/>
        </w:rPr>
        <w:t>.</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 Aprašas nustato bendrąją sutikimų atidaryti ar steigti lošimų organizavimo vietą ar tęsti lošimų organizavimo veiklą lošimų organizavimo vietoje (toliau bendrai – sutikimai) išdavimo tvarką ir konkrečios lošimų organizavimo vietos poveikio viešajai tvarkai, švietimui, kultūrai, visuomenės sveikatai, gyvenamajai aplinkai ir kriminogeninei situacijai konkrečių vertinimo kriterijų (toliau – kriterijai) taikymo sistemą.</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3. Aprašas galioja visoje Klaipėdos miesto savivaldybės (toliau – Savivaldybė) teritorijoje ir yra taikomas bendrovėms, turinčioms teisę organizuoti lošimus (toliau – bendrovės), norinčioms </w:t>
      </w:r>
      <w:r>
        <w:rPr>
          <w:rFonts w:ascii="Times New Roman" w:hAnsi="Times New Roman" w:cs="Times New Roman"/>
          <w:color w:val="000000"/>
          <w:sz w:val="24"/>
          <w:szCs w:val="24"/>
        </w:rPr>
        <w:t>atidaryti ar steigti lošimų organizavimo vietą ar tęsti lošimų organizavimo veiklą lošimų organizavimo vietoje</w:t>
      </w:r>
      <w:r>
        <w:rPr>
          <w:rFonts w:ascii="Times New Roman" w:hAnsi="Times New Roman" w:cs="Times New Roman"/>
          <w:sz w:val="24"/>
          <w:szCs w:val="24"/>
        </w:rPr>
        <w:t>.</w:t>
      </w:r>
      <w:bookmarkStart w:id="3" w:name="part_bdfb1823c4864198ad37e6affc403ad4"/>
      <w:bookmarkEnd w:id="3"/>
    </w:p>
    <w:p w:rsidR="002614B7" w:rsidRDefault="002614B7" w:rsidP="002614B7">
      <w:pPr>
        <w:pStyle w:val="Sraopastraipa"/>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Sprendimą dėl sutikimo ar atsisakymo išduoti sutikimą steigti lošimų organizavimo vietą ar tęsti lošimų organizavimo veiklą lošimų organizavimo vietoje Klaipėdos mieste priima Savivaldybės taryba, išskyrus Aprašo 17 punkte nustatytus atvejus.</w:t>
      </w:r>
      <w:bookmarkStart w:id="4" w:name="part_dd5d54f945bd45a08e905218b4a12bb7"/>
      <w:bookmarkEnd w:id="4"/>
    </w:p>
    <w:p w:rsidR="002614B7" w:rsidRDefault="002614B7" w:rsidP="002614B7">
      <w:pPr>
        <w:pStyle w:val="Sraopastraipa"/>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Savivaldybės tarybos sprendimo projektą rengia Savivaldybės administracijos  Licencijų ir leidimų skyrius (toliau – Skyrius).</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shd w:val="clear" w:color="auto" w:fill="F6FAFB"/>
        </w:rPr>
      </w:pPr>
      <w:r>
        <w:rPr>
          <w:rFonts w:ascii="Times New Roman" w:hAnsi="Times New Roman" w:cs="Times New Roman"/>
          <w:sz w:val="24"/>
          <w:szCs w:val="24"/>
        </w:rPr>
        <w:t xml:space="preserve">6. Apraše </w:t>
      </w:r>
      <w:r>
        <w:rPr>
          <w:rFonts w:ascii="Times New Roman" w:hAnsi="Times New Roman" w:cs="Times New Roman"/>
          <w:color w:val="000000"/>
          <w:sz w:val="24"/>
          <w:szCs w:val="24"/>
        </w:rPr>
        <w:t xml:space="preserve">vartojamos sąvokos suprantamos taip, kaip jos apibrėžtos Lietuvos Respublikos azartinių lošimų įstatyme ir kituose </w:t>
      </w:r>
      <w:r w:rsidRPr="003356A6">
        <w:rPr>
          <w:rFonts w:ascii="Times New Roman" w:hAnsi="Times New Roman" w:cs="Times New Roman"/>
          <w:color w:val="000000"/>
          <w:sz w:val="24"/>
          <w:szCs w:val="24"/>
        </w:rPr>
        <w:t>Lietuvos Respublikos teisės aktuose.</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p>
    <w:p w:rsidR="002614B7" w:rsidRDefault="002614B7" w:rsidP="002614B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color w:val="000000"/>
          <w:sz w:val="24"/>
          <w:szCs w:val="24"/>
        </w:rPr>
        <w:t>II</w:t>
      </w:r>
      <w:r w:rsidRPr="003356A6">
        <w:rPr>
          <w:rFonts w:ascii="Times New Roman" w:hAnsi="Times New Roman" w:cs="Times New Roman"/>
          <w:b/>
          <w:bCs/>
          <w:sz w:val="24"/>
          <w:szCs w:val="24"/>
        </w:rPr>
        <w:t xml:space="preserve"> </w:t>
      </w:r>
      <w:r>
        <w:rPr>
          <w:rFonts w:ascii="Times New Roman" w:hAnsi="Times New Roman" w:cs="Times New Roman"/>
          <w:b/>
          <w:bCs/>
          <w:sz w:val="24"/>
          <w:szCs w:val="24"/>
        </w:rPr>
        <w:t>SKYRIUS</w:t>
      </w:r>
    </w:p>
    <w:p w:rsidR="002614B7" w:rsidRDefault="002614B7" w:rsidP="002614B7">
      <w:pPr>
        <w:pStyle w:val="Sraopastraipa"/>
        <w:spacing w:after="0" w:line="24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PRAŠYMŲ PATEIKIMO IR NAGRINĖJIMO TVARKA</w:t>
      </w:r>
    </w:p>
    <w:p w:rsidR="002614B7" w:rsidRDefault="002614B7" w:rsidP="002614B7">
      <w:pPr>
        <w:pStyle w:val="Sraopastraipa"/>
        <w:spacing w:after="0" w:line="240" w:lineRule="auto"/>
        <w:ind w:left="0" w:firstLine="851"/>
        <w:jc w:val="center"/>
        <w:rPr>
          <w:rFonts w:ascii="Times New Roman" w:hAnsi="Times New Roman" w:cs="Times New Roman"/>
          <w:b/>
          <w:bCs/>
          <w:sz w:val="24"/>
          <w:szCs w:val="24"/>
        </w:rPr>
      </w:pP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 Bendrovė, norinti atidaryti ar steigti lošimų organizavimo vietą ar tęsti lošimų organizavimo veiklą lošimų organizavimo vietoje, elektroniniu būdu, paštu, kreipiantis asmeniškai ar per įgaliotą asmenį Savivaldybės administracijai pateikia:</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7.1. Savivaldybės administracijos direktoriaus nustatytos formos prašymą (toliau – prašymas);</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color w:val="212529"/>
          <w:sz w:val="24"/>
          <w:szCs w:val="24"/>
          <w:shd w:val="clear" w:color="auto" w:fill="FFFFFF"/>
        </w:rPr>
        <w:t> įgaliojimą, jeigu bendrovės vardu prašymą ir dokumentus pasirašo ir pateikia įgaliotas asmuo;</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7.3. </w:t>
      </w:r>
      <w:r>
        <w:rPr>
          <w:rFonts w:ascii="Times New Roman" w:hAnsi="Times New Roman" w:cs="Times New Roman"/>
          <w:color w:val="000000"/>
          <w:sz w:val="24"/>
          <w:szCs w:val="24"/>
        </w:rPr>
        <w:t xml:space="preserve">valstybės narės, kurioje užsienio bendrovė yra įsteigta, institucijos, suteikusios teisę užsienio bendrovei vykdyti lošimų veiklą toje valstybėje narėje, rašytinį patvirtinimą arba institucijos </w:t>
      </w:r>
      <w:r>
        <w:rPr>
          <w:rFonts w:ascii="Times New Roman" w:hAnsi="Times New Roman" w:cs="Times New Roman"/>
          <w:color w:val="000000"/>
          <w:sz w:val="24"/>
          <w:szCs w:val="24"/>
        </w:rPr>
        <w:lastRenderedPageBreak/>
        <w:t>išduotą leidimą, patvirtinančius, kad užsienio bendrovė turi teisę vykdyti lošimų veiklą toje valstybėje narėje,</w:t>
      </w:r>
      <w:r>
        <w:rPr>
          <w:rFonts w:ascii="Times New Roman" w:hAnsi="Times New Roman" w:cs="Times New Roman"/>
          <w:sz w:val="24"/>
          <w:szCs w:val="24"/>
        </w:rPr>
        <w:t xml:space="preserve"> jeigu </w:t>
      </w:r>
      <w:r>
        <w:rPr>
          <w:rFonts w:ascii="Times New Roman" w:hAnsi="Times New Roman" w:cs="Times New Roman"/>
          <w:color w:val="000000"/>
          <w:sz w:val="24"/>
          <w:szCs w:val="24"/>
        </w:rPr>
        <w:t>prašymą pateikia užsienio bendrovės filialas, turintis buveinę Lietuvos Respublikoje ir atliekantis visas juridinio asmens funkcijas ar dalį jų;</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7.4. gyvenamojo namo gyvenamosios paskirties patalpų savininkų daugumos laisvos formos rašytinius sutikimus atidaryti ar steigti lošimų organizavimo vietą (a</w:t>
      </w:r>
      <w:r>
        <w:rPr>
          <w:rFonts w:ascii="Times New Roman" w:hAnsi="Times New Roman" w:cs="Times New Roman"/>
          <w:color w:val="000000"/>
          <w:sz w:val="24"/>
          <w:szCs w:val="24"/>
          <w:shd w:val="clear" w:color="auto" w:fill="FFFFFF"/>
        </w:rPr>
        <w:t>utomatų ar bingo saloną, lošimo namus (kazino), lažybų ir totalizatoriaus punktą, įskaitant žirgų totalizatoriaus punktą)</w:t>
      </w:r>
      <w:r>
        <w:rPr>
          <w:rFonts w:ascii="Times New Roman" w:hAnsi="Times New Roman" w:cs="Times New Roman"/>
          <w:color w:val="000000"/>
          <w:sz w:val="24"/>
          <w:szCs w:val="24"/>
        </w:rPr>
        <w:t xml:space="preserve">, jeigu lošimų organizavimo vietą ketinama atidaryti ar steigti pirmajame arba cokoliniame gyvenamojo namo aukšte, kuriame esančios negyvenamosios patalpos pagal namo projektą ir eksploataciją yra pritaikytos kitai veiklai ir turi pagrindinį įėjimą iš gatvės pusės, nesutampantį su įėjimu į namo laiptinę. Jeigu patalpa nuosavybės teise priklauso keliems savininkams, jiems jų susitarimu </w:t>
      </w:r>
      <w:r>
        <w:rPr>
          <w:rFonts w:ascii="Times New Roman" w:hAnsi="Times New Roman" w:cs="Times New Roman"/>
          <w:sz w:val="24"/>
          <w:szCs w:val="24"/>
        </w:rPr>
        <w:t xml:space="preserve">teisės aktų nustatyta tvarka  </w:t>
      </w:r>
      <w:r>
        <w:rPr>
          <w:rFonts w:ascii="Times New Roman" w:hAnsi="Times New Roman" w:cs="Times New Roman"/>
          <w:color w:val="000000"/>
          <w:sz w:val="24"/>
          <w:szCs w:val="24"/>
        </w:rPr>
        <w:t>atstovauja vienas asmuo, kuris turi vieną balsą.</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8. </w:t>
      </w:r>
      <w:r>
        <w:rPr>
          <w:rFonts w:ascii="Times New Roman" w:hAnsi="Times New Roman" w:cs="Times New Roman"/>
          <w:color w:val="000000"/>
          <w:sz w:val="24"/>
          <w:szCs w:val="24"/>
          <w:shd w:val="clear" w:color="auto" w:fill="FFFFFF"/>
        </w:rPr>
        <w:t xml:space="preserve">Prašymas registruojamas Savivaldybės dokumentų valdymo sistemoje. Jeigu teikiant prašymą buvo pateikti ne visi ir (ar) neteisingai užpildyti dokumentai arba jie neatitinka dokumentams keliamų reikalavimų, arba pateikti neteisingi ar netikslūs duomenys, trūkstamiems dokumentams ir (ar) informacijai pateikti ir (ar) patikslinti nustatomas ne ilgesnis kaip 5 darbo dienų terminas nuo pranešimo apie bendrovės prašyme nustatytus trūkumus išsiuntimo dienos, pradedant skaičiuoti nuo kitos po pranešimo išsiuntimo darbo dienos. Apie nustatytą papildomą terminą dokumentams ir (ar) informacijai pateikti bendrovė informuojama raštu. </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 Bendrovės prašymo Savivaldybės administracijoje išnagrinėjimo terminas yra 20 darbo dienų, per kurį:</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9.1. patikrinami bendrovės prašyme pateikti duomenys;</w:t>
      </w:r>
    </w:p>
    <w:p w:rsidR="002614B7" w:rsidRDefault="002614B7" w:rsidP="002614B7">
      <w:pPr>
        <w:pStyle w:val="Sraopastraipa"/>
        <w:spacing w:after="0" w:line="240" w:lineRule="auto"/>
        <w:ind w:left="0"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9.2. pagal Apraše nustatytus kriterijus atliekamas konkrečios lošimų organizavimo vietos poveikio viešajai tvarkai, švietimui, kultūrai, visuomenės sveikatai, gyvenamajai aplinkai ir kriminogeninei situacijai vertinimas; </w:t>
      </w:r>
    </w:p>
    <w:p w:rsidR="002614B7" w:rsidRDefault="002614B7" w:rsidP="002614B7">
      <w:pPr>
        <w:pStyle w:val="Sraopastraipa"/>
        <w:spacing w:after="0" w:line="240" w:lineRule="auto"/>
        <w:ind w:left="0"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 prašymo išnagrinėjimo terminas skaičiuojamas nuo visų </w:t>
      </w:r>
      <w:r>
        <w:rPr>
          <w:rFonts w:ascii="Times New Roman" w:hAnsi="Times New Roman" w:cs="Times New Roman"/>
          <w:sz w:val="24"/>
          <w:szCs w:val="24"/>
        </w:rPr>
        <w:t>arba papildytų (patikslintų) dokumentų gavimo dienos.</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shd w:val="clear" w:color="auto" w:fill="FFFFFF"/>
        </w:rPr>
      </w:pPr>
    </w:p>
    <w:p w:rsidR="002614B7" w:rsidRDefault="002614B7" w:rsidP="002614B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III</w:t>
      </w:r>
      <w:r w:rsidRPr="003356A6">
        <w:rPr>
          <w:rFonts w:ascii="Times New Roman" w:hAnsi="Times New Roman" w:cs="Times New Roman"/>
          <w:b/>
          <w:bCs/>
          <w:sz w:val="24"/>
          <w:szCs w:val="24"/>
        </w:rPr>
        <w:t xml:space="preserve"> </w:t>
      </w:r>
      <w:r>
        <w:rPr>
          <w:rFonts w:ascii="Times New Roman" w:hAnsi="Times New Roman" w:cs="Times New Roman"/>
          <w:b/>
          <w:bCs/>
          <w:sz w:val="24"/>
          <w:szCs w:val="24"/>
        </w:rPr>
        <w:t>SKYRIUS</w:t>
      </w:r>
    </w:p>
    <w:p w:rsidR="002614B7" w:rsidRDefault="002614B7" w:rsidP="002614B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KRITERIJŲ NUSTATYMAS IR TAIKYMAS </w:t>
      </w:r>
    </w:p>
    <w:p w:rsidR="002614B7" w:rsidRDefault="002614B7" w:rsidP="002614B7">
      <w:pPr>
        <w:pStyle w:val="Sraopastraipa"/>
        <w:spacing w:after="0" w:line="240" w:lineRule="auto"/>
        <w:ind w:left="0" w:firstLine="851"/>
        <w:jc w:val="center"/>
        <w:rPr>
          <w:rFonts w:ascii="Times New Roman" w:hAnsi="Times New Roman" w:cs="Times New Roman"/>
          <w:b/>
          <w:bCs/>
          <w:sz w:val="24"/>
          <w:szCs w:val="24"/>
        </w:rPr>
      </w:pP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11. Skyrius, nustatęs, kad bendrovė pateikė visus privalomus pateikti dokumentus ir informaciją, atlieka konkrečios prašyme nurodytos lošimų organizavimo vietos poveikio </w:t>
      </w:r>
      <w:r>
        <w:rPr>
          <w:rFonts w:ascii="Times New Roman" w:hAnsi="Times New Roman" w:cs="Times New Roman"/>
          <w:color w:val="000000"/>
          <w:sz w:val="24"/>
          <w:szCs w:val="24"/>
        </w:rPr>
        <w:t>viešajai tvarkai, švietimui, kultūrai, visuomenės sveikatai, gyvenamajai aplinkai ir kriminogeninei situacijai</w:t>
      </w:r>
      <w:r>
        <w:rPr>
          <w:rFonts w:ascii="Times New Roman" w:hAnsi="Times New Roman" w:cs="Times New Roman"/>
          <w:sz w:val="24"/>
          <w:szCs w:val="24"/>
        </w:rPr>
        <w:t xml:space="preserve"> vertinimą.</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12. Nustatomi šie kriterijai nagrinėjant bendrovių prašymus, kai ketinama naujai atidaryti ar steigti lošimų organizavimo veiklą:</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12.1. Gyvenamųjų patalpų savininkų sutikimai. Jeigu lošimų organizavimo vietą ketinama atidaryti ar steigti pirmajame gyvenamojo namo aukšte, kuriame esančios negyvenamosios patalpos pagal namo projektą ir eksploataciją yra pritaikytos kitai veiklai ir turi pagrindinį įėjimą iš gatvės pusės, nesutampantį su įėjimu į namo laiptinę, privalomi gyvenamojo namo gyvenamosios paskirties patalpų savininkų daugumos laisvos formos rašytiniai sutikimai atidaryti ar steigti lošimų organizavimo vietą (a</w:t>
      </w:r>
      <w:r>
        <w:rPr>
          <w:rFonts w:ascii="Times New Roman" w:hAnsi="Times New Roman" w:cs="Times New Roman"/>
          <w:sz w:val="24"/>
          <w:szCs w:val="24"/>
          <w:shd w:val="clear" w:color="auto" w:fill="FFFFFF"/>
        </w:rPr>
        <w:t>utomatų ar bingo saloną, lošimo namus (kazino), lažybų ir totalizatoriaus punktą, įskaitant žirgų totalizatoriaus punktą)</w:t>
      </w:r>
      <w:r>
        <w:rPr>
          <w:rFonts w:ascii="Times New Roman" w:hAnsi="Times New Roman" w:cs="Times New Roman"/>
          <w:sz w:val="24"/>
          <w:szCs w:val="24"/>
        </w:rPr>
        <w:t>.</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 xml:space="preserve">.2. Atstumas iki švietimo įstaigos. </w:t>
      </w:r>
      <w:r>
        <w:rPr>
          <w:rFonts w:ascii="Times New Roman" w:hAnsi="Times New Roman" w:cs="Times New Roman"/>
          <w:sz w:val="24"/>
          <w:szCs w:val="24"/>
        </w:rPr>
        <w:t>Atstumas nuo lošimų organizavimo vietos iki švietimo įstaigos turi būti ne mažesnis nei 100 m. Atstumas skaičiuojamas kaip artimiausias kelias, nueitas nuo lošimo organizavimo vietos pagrindinio įėjimo iki švietimo įstaigos pagrindinio įėjimo, vadovaujantis Kelių eismo taisyklėmis.</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12.3. A</w:t>
      </w:r>
      <w:r>
        <w:rPr>
          <w:rFonts w:ascii="Times New Roman" w:hAnsi="Times New Roman" w:cs="Times New Roman"/>
          <w:color w:val="000000"/>
          <w:sz w:val="24"/>
          <w:szCs w:val="24"/>
        </w:rPr>
        <w:t xml:space="preserve">tstumas iki kultūros ir sveikatos įstaigų. </w:t>
      </w:r>
      <w:r>
        <w:rPr>
          <w:rFonts w:ascii="Times New Roman" w:hAnsi="Times New Roman" w:cs="Times New Roman"/>
          <w:sz w:val="24"/>
          <w:szCs w:val="24"/>
        </w:rPr>
        <w:t xml:space="preserve">Atstumas nuo lošimų organizavimo vietos iki </w:t>
      </w:r>
      <w:r>
        <w:rPr>
          <w:rFonts w:ascii="Times New Roman" w:hAnsi="Times New Roman" w:cs="Times New Roman"/>
          <w:color w:val="000000"/>
          <w:sz w:val="24"/>
          <w:szCs w:val="24"/>
        </w:rPr>
        <w:t>kultūros ir sveikatos įstaigų</w:t>
      </w:r>
      <w:r>
        <w:rPr>
          <w:rFonts w:ascii="Times New Roman" w:hAnsi="Times New Roman" w:cs="Times New Roman"/>
          <w:sz w:val="24"/>
          <w:szCs w:val="24"/>
        </w:rPr>
        <w:t xml:space="preserve"> turi būti ne mažesnis nei 100 m. Atstumas skaičiuojamas kaip artimiausias kelias, nueitas nuo lošimo organizavimo vietos pagrindinio įėjimo iki </w:t>
      </w:r>
      <w:r>
        <w:rPr>
          <w:rFonts w:ascii="Times New Roman" w:hAnsi="Times New Roman" w:cs="Times New Roman"/>
          <w:color w:val="000000"/>
          <w:sz w:val="24"/>
          <w:szCs w:val="24"/>
        </w:rPr>
        <w:t>kultūros ir sveikatos įstaigų</w:t>
      </w:r>
      <w:r>
        <w:rPr>
          <w:rFonts w:ascii="Times New Roman" w:hAnsi="Times New Roman" w:cs="Times New Roman"/>
          <w:sz w:val="24"/>
          <w:szCs w:val="24"/>
        </w:rPr>
        <w:t xml:space="preserve"> pagrindinio įėjimo, vadovaujantis Kelių eismo taisyklėmis.</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12.4 </w:t>
      </w:r>
      <w:r>
        <w:rPr>
          <w:rFonts w:ascii="Times New Roman" w:hAnsi="Times New Roman" w:cs="Times New Roman"/>
          <w:sz w:val="24"/>
          <w:szCs w:val="24"/>
        </w:rPr>
        <w:t>A</w:t>
      </w:r>
      <w:r>
        <w:rPr>
          <w:rFonts w:ascii="Times New Roman" w:hAnsi="Times New Roman" w:cs="Times New Roman"/>
          <w:color w:val="000000"/>
          <w:sz w:val="24"/>
          <w:szCs w:val="24"/>
        </w:rPr>
        <w:t xml:space="preserve">tstumas iki bažnyčių ir religinių organizacijų. </w:t>
      </w:r>
      <w:r>
        <w:rPr>
          <w:color w:val="000000"/>
        </w:rPr>
        <w:t> </w:t>
      </w:r>
      <w:r>
        <w:rPr>
          <w:rFonts w:ascii="Times New Roman" w:hAnsi="Times New Roman" w:cs="Times New Roman"/>
          <w:sz w:val="24"/>
          <w:szCs w:val="24"/>
        </w:rPr>
        <w:t xml:space="preserve">Atstumas nuo lošimų organizavimo vietos iki pastato, kuriame yra įsikūrusi </w:t>
      </w:r>
      <w:r>
        <w:rPr>
          <w:rFonts w:ascii="Times New Roman" w:hAnsi="Times New Roman" w:cs="Times New Roman"/>
          <w:color w:val="000000"/>
          <w:sz w:val="24"/>
          <w:szCs w:val="24"/>
        </w:rPr>
        <w:t xml:space="preserve">bažnyčia ar religinė organizacija, </w:t>
      </w:r>
      <w:r>
        <w:rPr>
          <w:rFonts w:ascii="Times New Roman" w:hAnsi="Times New Roman" w:cs="Times New Roman"/>
          <w:sz w:val="24"/>
          <w:szCs w:val="24"/>
        </w:rPr>
        <w:t xml:space="preserve">turi būti ne mažesnis nei 100 m. Atstumas skaičiuojamas kaip artimiausias kelias, nueitas nuo lošimo organizavimo vietos pagrindinio įėjimo iki pastato, kuriame yra įsikūrusi </w:t>
      </w:r>
      <w:r>
        <w:rPr>
          <w:rFonts w:ascii="Times New Roman" w:hAnsi="Times New Roman" w:cs="Times New Roman"/>
          <w:color w:val="000000"/>
          <w:sz w:val="24"/>
          <w:szCs w:val="24"/>
        </w:rPr>
        <w:t xml:space="preserve">bažnyčia ar religinė organizacija, </w:t>
      </w:r>
      <w:r>
        <w:rPr>
          <w:rFonts w:ascii="Times New Roman" w:hAnsi="Times New Roman" w:cs="Times New Roman"/>
          <w:sz w:val="24"/>
          <w:szCs w:val="24"/>
        </w:rPr>
        <w:t>pagrindinio įėjimo, vadovaujantis Kelių eismo taisyklėmis.</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13. Kai bendrovė ketina tęsti lošimų organizavimo veiklą konkrečioje lošimų organizavimo vietoje, tai,</w:t>
      </w:r>
      <w:r>
        <w:rPr>
          <w:rFonts w:ascii="Times New Roman" w:hAnsi="Times New Roman" w:cs="Times New Roman"/>
          <w:color w:val="000000"/>
          <w:sz w:val="24"/>
          <w:szCs w:val="24"/>
        </w:rPr>
        <w:t xml:space="preserve"> nagrinėjant bendrovių prašymus</w:t>
      </w:r>
      <w:r>
        <w:rPr>
          <w:rFonts w:ascii="Times New Roman" w:hAnsi="Times New Roman" w:cs="Times New Roman"/>
          <w:sz w:val="24"/>
          <w:szCs w:val="24"/>
        </w:rPr>
        <w:t>, yra vertinamas nusikalstamų veikų ir administracinių nusižengimų, susijusių su viešosios tvarkos pažeidimais lošimų organizavimo vietoje, skaičius</w:t>
      </w:r>
      <w:r>
        <w:t xml:space="preserve">. </w:t>
      </w:r>
      <w:r>
        <w:rPr>
          <w:rFonts w:ascii="Times New Roman" w:hAnsi="Times New Roman" w:cs="Times New Roman"/>
          <w:sz w:val="24"/>
          <w:szCs w:val="24"/>
        </w:rPr>
        <w:t>Nustatoma, kad lošimų organizavimo vieta  atitinka kriterijų, jeigu (</w:t>
      </w:r>
      <w:r w:rsidRPr="006C4621">
        <w:rPr>
          <w:rFonts w:ascii="Times New Roman" w:hAnsi="Times New Roman" w:cs="Times New Roman"/>
          <w:sz w:val="24"/>
          <w:szCs w:val="24"/>
        </w:rPr>
        <w:t>iki</w:t>
      </w:r>
      <w:r>
        <w:rPr>
          <w:rFonts w:ascii="Times New Roman" w:hAnsi="Times New Roman" w:cs="Times New Roman"/>
          <w:sz w:val="24"/>
          <w:szCs w:val="24"/>
        </w:rPr>
        <w:t xml:space="preserve"> prašymo pateikimo dienos) nusikalstamų veikų ir administracinių nusižengimų, susijusių su viešąja tvarka, skaičius per pastaruosius 24 mėn. neišaugo daugiau negu 10 procentų (duomenys tikrinami 100 m spindulio teritorijoje nuo konkrečios lošimų organizavimo vietos adreso).</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Kriterijaus vertinimui naudojami Informatikos ir ryšių departamento prie Lietuvos Respublikos vidaus reikalų ministerijos viešai prieinami duomenys (</w:t>
      </w:r>
      <w:r w:rsidRPr="003356A6">
        <w:rPr>
          <w:rFonts w:ascii="Times New Roman" w:hAnsi="Times New Roman" w:cs="Times New Roman"/>
          <w:sz w:val="24"/>
          <w:szCs w:val="24"/>
        </w:rPr>
        <w:t>https://maps.ird.lt/map/</w:t>
      </w:r>
      <w:r>
        <w:rPr>
          <w:rFonts w:ascii="Times New Roman" w:hAnsi="Times New Roman" w:cs="Times New Roman"/>
          <w:sz w:val="24"/>
          <w:szCs w:val="24"/>
        </w:rPr>
        <w:t>), vertinant 24 mėnesių laikotarpį iki prašymo užregistravimo Savivaldybės administracijoje dienos.</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Kiti Savivaldybės administracijos padaliniai prireikus pagal kompetenciją privalo Skyriui, nagrinėjančiam bendrovės prašymą ir </w:t>
      </w:r>
      <w:r>
        <w:rPr>
          <w:rFonts w:ascii="Times New Roman" w:hAnsi="Times New Roman" w:cs="Times New Roman"/>
          <w:sz w:val="24"/>
          <w:szCs w:val="24"/>
        </w:rPr>
        <w:t>atliekančiam</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konkrečios lošimų organizavimo vietos poveikio viešajai tvarkai, švietimui, kultūrai, visuomenės sveikatai, gyvenamajai aplinkai ir kriminogeninei situacijai vertinimą, </w:t>
      </w:r>
      <w:r>
        <w:rPr>
          <w:rFonts w:ascii="Times New Roman" w:hAnsi="Times New Roman" w:cs="Times New Roman"/>
          <w:color w:val="000000"/>
          <w:sz w:val="24"/>
          <w:szCs w:val="24"/>
        </w:rPr>
        <w:t xml:space="preserve">ne vėliau kaip per 3 darbo dienas raštu suteikti prašomą informaciją, susijusią su konkrečios lošimų organizavimo vietos vertinimu.   </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15. Skyrius rengia Savivaldybės tarybos sprendimo projektą</w:t>
      </w:r>
      <w:r>
        <w:rPr>
          <w:rFonts w:ascii="Times New Roman" w:hAnsi="Times New Roman" w:cs="Times New Roman"/>
          <w:sz w:val="24"/>
          <w:szCs w:val="24"/>
        </w:rPr>
        <w:t xml:space="preserve"> dėl sutikimo naujai atidaryti ar steigti lošimų organizavimo veiklą, jei bendrovė pateikė visus privalomus dokumentus bei informaciją ir atitinka Aprašo 12 punkte nustatytus kriterijus. </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16. Skyrius </w:t>
      </w:r>
      <w:r>
        <w:rPr>
          <w:rFonts w:ascii="Times New Roman" w:hAnsi="Times New Roman" w:cs="Times New Roman"/>
          <w:color w:val="000000"/>
          <w:sz w:val="24"/>
          <w:szCs w:val="24"/>
        </w:rPr>
        <w:t>rengia Savivaldybės tarybos sprendimo projektą</w:t>
      </w:r>
      <w:r>
        <w:rPr>
          <w:rFonts w:ascii="Times New Roman" w:hAnsi="Times New Roman" w:cs="Times New Roman"/>
          <w:sz w:val="24"/>
          <w:szCs w:val="24"/>
        </w:rPr>
        <w:t xml:space="preserve"> dėl sutikimo tęsti </w:t>
      </w:r>
      <w:r>
        <w:rPr>
          <w:rFonts w:ascii="Times New Roman" w:hAnsi="Times New Roman" w:cs="Times New Roman"/>
          <w:color w:val="000000"/>
          <w:sz w:val="24"/>
          <w:szCs w:val="24"/>
        </w:rPr>
        <w:t xml:space="preserve">lošimų organizavimo veiklą lošimų organizavimo vietoje, </w:t>
      </w:r>
      <w:r>
        <w:rPr>
          <w:rFonts w:ascii="Times New Roman" w:hAnsi="Times New Roman" w:cs="Times New Roman"/>
          <w:sz w:val="24"/>
          <w:szCs w:val="24"/>
        </w:rPr>
        <w:t>jei bendrovė pateikė visus privalomus dokumentus bei informaciją ir atitinka Aprašo 13 punkte nustatytą kriterijų.</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Savivaldybės tarybos sprendimų projektai dėl sutikimo </w:t>
      </w:r>
      <w:r>
        <w:rPr>
          <w:rFonts w:ascii="Times New Roman" w:hAnsi="Times New Roman" w:cs="Times New Roman"/>
          <w:sz w:val="24"/>
          <w:szCs w:val="24"/>
        </w:rPr>
        <w:t>atidaryti ar steigti lošimų organizavimo vietą</w:t>
      </w:r>
      <w:r>
        <w:rPr>
          <w:rFonts w:ascii="Times New Roman" w:hAnsi="Times New Roman" w:cs="Times New Roman"/>
          <w:color w:val="000000"/>
          <w:sz w:val="24"/>
          <w:szCs w:val="24"/>
        </w:rPr>
        <w:t xml:space="preserve"> ir </w:t>
      </w:r>
      <w:r>
        <w:rPr>
          <w:rFonts w:ascii="Times New Roman" w:hAnsi="Times New Roman" w:cs="Times New Roman"/>
          <w:sz w:val="24"/>
          <w:szCs w:val="24"/>
        </w:rPr>
        <w:t xml:space="preserve">sutikimo tęsti </w:t>
      </w:r>
      <w:r>
        <w:rPr>
          <w:rFonts w:ascii="Times New Roman" w:hAnsi="Times New Roman" w:cs="Times New Roman"/>
          <w:color w:val="000000"/>
          <w:sz w:val="24"/>
          <w:szCs w:val="24"/>
        </w:rPr>
        <w:t>lošimų organizavimo veiklą lošimų organizavimo vietoje nerengiami, jeigu:</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17.1. paaiškėja, kad lošimų organizavimo vietą ketinama atidaryti ar steigti Lietuvos Respublikos azartinių lošimų įstatymo 10 straipsnio 2 dalyje nurodytose vietose;</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17.2. neatitinka Aprašo 12 punkte nustatytų kriterijų, kai </w:t>
      </w:r>
      <w:r>
        <w:rPr>
          <w:rFonts w:ascii="Times New Roman" w:hAnsi="Times New Roman" w:cs="Times New Roman"/>
          <w:sz w:val="24"/>
          <w:szCs w:val="24"/>
        </w:rPr>
        <w:t>ketinama naujai atidaryti ar steigti lošimų organizavimo veiklą;</w:t>
      </w:r>
    </w:p>
    <w:p w:rsidR="002614B7" w:rsidRDefault="002614B7" w:rsidP="002614B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17.3. neatitinka Aprašo 13 punkte nustatytų kriterijų, kai ketinama tęsti lošimų organizavimo veiklą konkrečioje lošimų organizavimo vietoje;</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17.4. </w:t>
      </w:r>
      <w:r>
        <w:rPr>
          <w:rFonts w:ascii="Times New Roman" w:hAnsi="Times New Roman" w:cs="Times New Roman"/>
          <w:color w:val="000000"/>
          <w:sz w:val="24"/>
          <w:szCs w:val="24"/>
        </w:rPr>
        <w:t>bendrovė per Aprašo 8 punkte nustatytą terminą nepateikia trūkstamų dokumentų ir (ar) nepašalina prašyme nustatytų trūkumų;</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17.5. bendrovė raštu kreipėsi į Savivaldybės administraciją dėl prašymo atšaukimo.</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18. Savivaldybės administracijos direktorius apie atsisakymą rengti Savivaldybės tarybos sprendimų projektus, esant Aprašo 17 punkte nustatytiems pagrindams, bendrovę informuoja raštu. Toks Savivaldybės administracijos direktoriaus sprendimas gali būti skundžiamas teisės aktų nustatyta tvarka.</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Savivaldybės taryba priima sprendimą sutikti arba nesutikti </w:t>
      </w:r>
      <w:r>
        <w:rPr>
          <w:rFonts w:ascii="Times New Roman" w:hAnsi="Times New Roman" w:cs="Times New Roman"/>
          <w:sz w:val="24"/>
          <w:szCs w:val="24"/>
        </w:rPr>
        <w:t>atidaryti ar steigti lošimų organizavimo vietą arba tęsti ar netęsti lošimų organizavimo veiklą lošimų organizavimo vietoje</w:t>
      </w:r>
      <w:r>
        <w:rPr>
          <w:rFonts w:ascii="Times New Roman" w:hAnsi="Times New Roman" w:cs="Times New Roman"/>
          <w:color w:val="000000"/>
          <w:sz w:val="24"/>
          <w:szCs w:val="24"/>
        </w:rPr>
        <w:t>.</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Apie Savivaldybės tarybos priimtą sprendimą bendrovė informuojama raštu. </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Savivaldybės tarybos priimti sprendimai gali būti skundžiami teisės aktų nustatyta tvarka. </w:t>
      </w:r>
    </w:p>
    <w:p w:rsidR="002614B7" w:rsidRDefault="002614B7" w:rsidP="002614B7">
      <w:pPr>
        <w:pStyle w:val="Sraopastraipa"/>
        <w:spacing w:after="0" w:line="240" w:lineRule="auto"/>
        <w:ind w:left="0" w:firstLine="851"/>
        <w:jc w:val="both"/>
        <w:rPr>
          <w:rFonts w:ascii="Times New Roman" w:hAnsi="Times New Roman" w:cs="Times New Roman"/>
          <w:color w:val="000000"/>
          <w:sz w:val="24"/>
          <w:szCs w:val="24"/>
        </w:rPr>
      </w:pPr>
    </w:p>
    <w:p w:rsidR="002614B7" w:rsidRDefault="002614B7" w:rsidP="002614B7">
      <w:pPr>
        <w:spacing w:after="200" w:line="276" w:lineRule="auto"/>
        <w:rPr>
          <w:rFonts w:eastAsiaTheme="minorHAnsi"/>
          <w:b/>
          <w:bCs/>
          <w:color w:val="000000"/>
        </w:rPr>
      </w:pPr>
      <w:r>
        <w:rPr>
          <w:b/>
          <w:bCs/>
          <w:color w:val="000000"/>
        </w:rPr>
        <w:br w:type="page"/>
      </w:r>
    </w:p>
    <w:p w:rsidR="002614B7" w:rsidRDefault="002614B7" w:rsidP="002614B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color w:val="000000"/>
          <w:sz w:val="24"/>
          <w:szCs w:val="24"/>
        </w:rPr>
        <w:t>IV</w:t>
      </w:r>
      <w:r w:rsidRPr="003356A6">
        <w:rPr>
          <w:rFonts w:ascii="Times New Roman" w:hAnsi="Times New Roman" w:cs="Times New Roman"/>
          <w:b/>
          <w:bCs/>
          <w:sz w:val="24"/>
          <w:szCs w:val="24"/>
        </w:rPr>
        <w:t xml:space="preserve"> </w:t>
      </w:r>
      <w:r>
        <w:rPr>
          <w:rFonts w:ascii="Times New Roman" w:hAnsi="Times New Roman" w:cs="Times New Roman"/>
          <w:b/>
          <w:bCs/>
          <w:sz w:val="24"/>
          <w:szCs w:val="24"/>
        </w:rPr>
        <w:t>SKYRIUS</w:t>
      </w:r>
    </w:p>
    <w:p w:rsidR="002614B7" w:rsidRDefault="002614B7" w:rsidP="002614B7">
      <w:pPr>
        <w:pStyle w:val="Sraopastraipa"/>
        <w:spacing w:after="0" w:line="240" w:lineRule="auto"/>
        <w:ind w:left="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BAIGIAMOSIOS NUOSTATOS</w:t>
      </w:r>
    </w:p>
    <w:p w:rsidR="002614B7" w:rsidRDefault="002614B7" w:rsidP="002614B7">
      <w:pPr>
        <w:pStyle w:val="Sraopastraipa"/>
        <w:spacing w:after="0" w:line="240" w:lineRule="auto"/>
        <w:ind w:left="0"/>
        <w:jc w:val="center"/>
        <w:rPr>
          <w:rFonts w:ascii="Times New Roman" w:hAnsi="Times New Roman" w:cs="Times New Roman"/>
          <w:b/>
          <w:bCs/>
          <w:color w:val="000000"/>
          <w:sz w:val="24"/>
          <w:szCs w:val="24"/>
        </w:rPr>
      </w:pPr>
    </w:p>
    <w:p w:rsidR="002614B7" w:rsidRDefault="002614B7" w:rsidP="002614B7">
      <w:pPr>
        <w:ind w:firstLine="744"/>
        <w:jc w:val="both"/>
        <w:rPr>
          <w:lang w:eastAsia="lt-LT"/>
        </w:rPr>
      </w:pPr>
      <w:r>
        <w:rPr>
          <w:lang w:eastAsia="lt-LT"/>
        </w:rPr>
        <w:t>22. Asmens duomenys tvarkomi vadovaujantis Lietuvos Respublikos asmens duomenų teisinės apsaugos įstatymo nuostatomis ir kitais teisės aktais, reglamentuojančiais asmens duomenų apsaugą ir saugumą.</w:t>
      </w:r>
    </w:p>
    <w:p w:rsidR="004273F6" w:rsidRDefault="002614B7" w:rsidP="002614B7">
      <w:pPr>
        <w:jc w:val="both"/>
      </w:pPr>
      <w:r>
        <w:rPr>
          <w:lang w:eastAsia="lt-LT"/>
        </w:rPr>
        <w:t>23. Už Aprašo įgyvendinimą atsakingas Skyrius.</w:t>
      </w:r>
    </w:p>
    <w:p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26251">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614B7"/>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26251"/>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11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2614B7"/>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7162</Words>
  <Characters>4083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2022-09-19T05:32:00Z</dcterms:created>
  <dcterms:modified xsi:type="dcterms:W3CDTF">2022-09-19T05:32:00Z</dcterms:modified>
</cp:coreProperties>
</file>