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51A929F8" w14:textId="77777777" w:rsidR="00366DD9" w:rsidRDefault="00366DD9" w:rsidP="00953F73">
      <w:pPr>
        <w:jc w:val="both"/>
        <w:rPr>
          <w:sz w:val="24"/>
          <w:szCs w:val="24"/>
        </w:rPr>
      </w:pPr>
    </w:p>
    <w:p w14:paraId="791FED3C" w14:textId="77777777" w:rsidR="00DE0CDB" w:rsidRPr="00DE0CDB" w:rsidRDefault="00DE0CDB" w:rsidP="0042759D">
      <w:pPr>
        <w:jc w:val="center"/>
        <w:rPr>
          <w:color w:val="000000"/>
          <w:sz w:val="27"/>
          <w:szCs w:val="27"/>
        </w:rPr>
      </w:pPr>
      <w:r w:rsidRPr="00DE0CDB">
        <w:rPr>
          <w:b/>
          <w:bCs/>
          <w:color w:val="000000"/>
          <w:sz w:val="22"/>
          <w:szCs w:val="22"/>
        </w:rPr>
        <w:t>LIETUVOS RESPUBLIKOS</w:t>
      </w:r>
    </w:p>
    <w:p w14:paraId="58DD1919" w14:textId="77777777" w:rsidR="00DE0CDB" w:rsidRPr="00DE0CDB" w:rsidRDefault="00DE0CDB" w:rsidP="0042759D">
      <w:pPr>
        <w:jc w:val="center"/>
        <w:rPr>
          <w:color w:val="000000"/>
          <w:sz w:val="27"/>
          <w:szCs w:val="27"/>
        </w:rPr>
      </w:pPr>
      <w:r w:rsidRPr="00DE0CDB">
        <w:rPr>
          <w:b/>
          <w:bCs/>
          <w:color w:val="000000"/>
          <w:sz w:val="22"/>
          <w:szCs w:val="22"/>
        </w:rPr>
        <w:t>VIETOS SAVIVALDOS</w:t>
      </w:r>
    </w:p>
    <w:p w14:paraId="3518A920" w14:textId="77777777" w:rsidR="00DE0CDB" w:rsidRPr="00DE0CDB" w:rsidRDefault="00DE0CDB" w:rsidP="0042759D">
      <w:pPr>
        <w:jc w:val="center"/>
        <w:rPr>
          <w:color w:val="000000"/>
          <w:sz w:val="27"/>
          <w:szCs w:val="27"/>
        </w:rPr>
      </w:pPr>
      <w:r w:rsidRPr="00DE0CDB">
        <w:rPr>
          <w:b/>
          <w:bCs/>
          <w:color w:val="000000"/>
          <w:sz w:val="22"/>
          <w:szCs w:val="22"/>
        </w:rPr>
        <w:t>ĮSTATYMAS</w:t>
      </w:r>
    </w:p>
    <w:p w14:paraId="680A36E3" w14:textId="40C51FAE" w:rsidR="009C114C" w:rsidRPr="004910ED" w:rsidRDefault="009C114C" w:rsidP="009C114C">
      <w:pPr>
        <w:ind w:firstLine="720"/>
        <w:jc w:val="both"/>
        <w:rPr>
          <w:rFonts w:eastAsiaTheme="minorEastAsia"/>
          <w:b/>
          <w:bCs/>
          <w:sz w:val="24"/>
          <w:szCs w:val="24"/>
        </w:rPr>
      </w:pPr>
      <w:r w:rsidRPr="00406784">
        <w:rPr>
          <w:rFonts w:eastAsiaTheme="minorEastAsia"/>
          <w:b/>
          <w:bCs/>
          <w:sz w:val="24"/>
          <w:szCs w:val="24"/>
        </w:rPr>
        <w:t>6 straipsnis. </w:t>
      </w:r>
      <w:r w:rsidRPr="009C114C">
        <w:rPr>
          <w:rFonts w:eastAsiaTheme="minorEastAsia"/>
          <w:b/>
          <w:bCs/>
          <w:sz w:val="24"/>
          <w:szCs w:val="24"/>
        </w:rPr>
        <w:t>Savarankiškosios savivaldybių funkcijos</w:t>
      </w:r>
    </w:p>
    <w:p w14:paraId="6AE87EC6" w14:textId="1CD144E2" w:rsidR="009C114C" w:rsidRDefault="009C114C" w:rsidP="009C114C">
      <w:pPr>
        <w:ind w:firstLine="720"/>
        <w:jc w:val="both"/>
        <w:rPr>
          <w:rFonts w:eastAsiaTheme="minorEastAsia"/>
          <w:bCs/>
          <w:sz w:val="24"/>
          <w:szCs w:val="24"/>
        </w:rPr>
      </w:pPr>
      <w:r w:rsidRPr="009C114C">
        <w:rPr>
          <w:rFonts w:eastAsiaTheme="minorEastAsia"/>
          <w:bCs/>
          <w:sz w:val="24"/>
          <w:szCs w:val="24"/>
        </w:rPr>
        <w:t>Savarankiškosios (Konstitucijos ir įstatymų nustatytos (priskirtos) savivaldybių funkcijos:</w:t>
      </w:r>
    </w:p>
    <w:p w14:paraId="234C5D2F" w14:textId="35E3E92B" w:rsidR="009C114C" w:rsidRDefault="009C114C" w:rsidP="009C114C">
      <w:pPr>
        <w:ind w:firstLine="720"/>
        <w:jc w:val="both"/>
        <w:rPr>
          <w:rFonts w:eastAsiaTheme="minorEastAsia"/>
          <w:bCs/>
          <w:sz w:val="24"/>
          <w:szCs w:val="24"/>
        </w:rPr>
      </w:pPr>
      <w:r w:rsidRPr="009C114C">
        <w:rPr>
          <w:rFonts w:eastAsiaTheme="minorEastAsia"/>
          <w:bCs/>
          <w:sz w:val="24"/>
          <w:szCs w:val="24"/>
        </w:rPr>
        <w:t>19) teritorijų planavimas, savivaldybės bendrojo plano ar savivaldybės dalių bendrųjų planų ir detaliųjų planų sprendinių įgyvendinimas;</w:t>
      </w:r>
    </w:p>
    <w:p w14:paraId="4EEE4931" w14:textId="77777777" w:rsidR="00366DD9" w:rsidRDefault="00366DD9" w:rsidP="00303148">
      <w:pPr>
        <w:ind w:firstLine="720"/>
        <w:jc w:val="both"/>
        <w:rPr>
          <w:rFonts w:eastAsiaTheme="minorEastAsia"/>
          <w:sz w:val="24"/>
          <w:szCs w:val="24"/>
          <w:lang w:val="en-US"/>
        </w:rPr>
      </w:pPr>
    </w:p>
    <w:p w14:paraId="02011140" w14:textId="2629B698" w:rsidR="00366DD9" w:rsidRPr="00366DD9" w:rsidRDefault="00366DD9" w:rsidP="0042759D">
      <w:pPr>
        <w:jc w:val="center"/>
        <w:rPr>
          <w:rFonts w:eastAsiaTheme="minorEastAsia"/>
          <w:b/>
          <w:bCs/>
          <w:sz w:val="22"/>
          <w:szCs w:val="22"/>
        </w:rPr>
      </w:pPr>
      <w:r w:rsidRPr="00366DD9">
        <w:rPr>
          <w:rFonts w:eastAsiaTheme="minorEastAsia"/>
          <w:b/>
          <w:bCs/>
          <w:sz w:val="22"/>
          <w:szCs w:val="22"/>
        </w:rPr>
        <w:t>LIETUVOS RESPUBLIKOS</w:t>
      </w:r>
    </w:p>
    <w:p w14:paraId="7DFF831D" w14:textId="77777777" w:rsidR="00366DD9" w:rsidRPr="00366DD9" w:rsidRDefault="00366DD9" w:rsidP="0042759D">
      <w:pPr>
        <w:jc w:val="center"/>
        <w:rPr>
          <w:rFonts w:eastAsiaTheme="minorEastAsia"/>
          <w:sz w:val="22"/>
          <w:szCs w:val="22"/>
        </w:rPr>
      </w:pPr>
      <w:r w:rsidRPr="00366DD9">
        <w:rPr>
          <w:rFonts w:eastAsiaTheme="minorEastAsia"/>
          <w:b/>
          <w:bCs/>
          <w:sz w:val="22"/>
          <w:szCs w:val="22"/>
        </w:rPr>
        <w:t>TERITORIJŲ PLANAVIMO</w:t>
      </w:r>
    </w:p>
    <w:p w14:paraId="4E55D896" w14:textId="77777777" w:rsidR="00366DD9" w:rsidRPr="00366DD9" w:rsidRDefault="00366DD9" w:rsidP="0042759D">
      <w:pPr>
        <w:jc w:val="center"/>
        <w:rPr>
          <w:rFonts w:eastAsiaTheme="minorEastAsia"/>
          <w:sz w:val="22"/>
          <w:szCs w:val="22"/>
        </w:rPr>
      </w:pPr>
      <w:r w:rsidRPr="00366DD9">
        <w:rPr>
          <w:rFonts w:eastAsiaTheme="minorEastAsia"/>
          <w:b/>
          <w:bCs/>
          <w:sz w:val="22"/>
          <w:szCs w:val="22"/>
        </w:rPr>
        <w:t>ĮSTATYMAS</w:t>
      </w:r>
    </w:p>
    <w:p w14:paraId="40C6D939" w14:textId="1F1BDCED" w:rsidR="00366DD9" w:rsidRPr="00366DD9" w:rsidRDefault="004A414F" w:rsidP="00366DD9">
      <w:pPr>
        <w:tabs>
          <w:tab w:val="left" w:pos="993"/>
        </w:tabs>
        <w:ind w:firstLine="720"/>
        <w:jc w:val="both"/>
        <w:rPr>
          <w:rFonts w:eastAsiaTheme="minorEastAsia"/>
          <w:sz w:val="24"/>
          <w:szCs w:val="24"/>
        </w:rPr>
      </w:pPr>
      <w:r w:rsidRPr="004A414F">
        <w:rPr>
          <w:rFonts w:eastAsiaTheme="minorEastAsia"/>
          <w:b/>
          <w:bCs/>
          <w:sz w:val="24"/>
          <w:szCs w:val="24"/>
        </w:rPr>
        <w:t>29 straipsnis. Kompleksinio teritorijų planavimo dokumentų sprendinių įgyvendinimo stebėsena</w:t>
      </w:r>
    </w:p>
    <w:p w14:paraId="5D388A00" w14:textId="7AC65180" w:rsidR="004066E9" w:rsidRDefault="004A414F" w:rsidP="00151BE4">
      <w:pPr>
        <w:ind w:right="-50" w:firstLine="720"/>
        <w:jc w:val="both"/>
        <w:rPr>
          <w:rFonts w:eastAsiaTheme="minorEastAsia"/>
          <w:sz w:val="24"/>
          <w:szCs w:val="24"/>
        </w:rPr>
      </w:pPr>
      <w:bookmarkStart w:id="1" w:name="part_79e3105d761148139f6f78a01c919799"/>
      <w:bookmarkStart w:id="2" w:name="part_2fd503effdcd4a088c64dd575fcc9210"/>
      <w:bookmarkEnd w:id="1"/>
      <w:bookmarkEnd w:id="2"/>
      <w:r w:rsidRPr="004A414F">
        <w:rPr>
          <w:rFonts w:eastAsiaTheme="minorEastAsia"/>
          <w:sz w:val="24"/>
          <w:szCs w:val="24"/>
        </w:rPr>
        <w:t>4. Kompleksinio teritorijų planavimo organizatorius, atlikdamas kompleksinio teritorijų planavimo dokumentų sprendinių įgyvendinimo stebėseną, vadovaudamasis kompleksinio teritorijų planavimo dokumento sprendinių įgyvendinimo programa, kaupia ir analizuoja informaciją, stebi, analizuoja ir prognozuoja teritorijos raidos tendencijas ir jų įtaką kompleksinio teritorijų planavimo dokumento sprendinių įgyvendinimui ir parengia stebėsenos ataskaitą.</w:t>
      </w:r>
    </w:p>
    <w:p w14:paraId="7E218B70" w14:textId="4380E4FA" w:rsidR="004A414F" w:rsidRDefault="004A414F" w:rsidP="004A414F">
      <w:pPr>
        <w:ind w:right="-50" w:firstLine="720"/>
        <w:jc w:val="both"/>
        <w:rPr>
          <w:bCs/>
          <w:color w:val="000000"/>
          <w:spacing w:val="2"/>
          <w:sz w:val="24"/>
          <w:szCs w:val="24"/>
        </w:rPr>
      </w:pPr>
      <w:r w:rsidRPr="004A414F">
        <w:rPr>
          <w:bCs/>
          <w:color w:val="000000"/>
          <w:spacing w:val="2"/>
          <w:sz w:val="24"/>
          <w:szCs w:val="24"/>
        </w:rPr>
        <w:t>7. Planavimo organizatorius sprendimą rengti atitinkamą kompleksinio teritorijų planavimo dokumentą priėmusios valstybės institucijos ar savivaldybės interneto svetainėje paskelbia kompleksinio teritorijų planavimo dokumentų sprendinių įgyvendinimo stebėsenos ataskaitą, kurioje išdėsto atliktos stebėsenos rezultatus, reikalingumą keisti kompleksinio teritorijų planavimo dokumentą. Tais atvejais, kai kompleksinio teritorijų planavimo dokumentų sprendinių įgyvendinimo stebėsenos ataskaitoje nurodoma, kad reikia keisti kompleksinio teritorijų planavimo dokumentą, planavimo organizatorius ne vėliau kaip per 3 mėnesius nuo ataskaitos paskelbimo dienos pateikia pasiūlymą sprendimą rengti atitinkamą kompleksinio teritorijų planavimo dokumentą priėmusiai valstybės ar savivaldybės institucijai priimti sprendimą keisti kompleksinio teritorijų planavimo dokumentą. Valstybės ar savivaldybės institucija, gavusi planavimo organizatoriaus pasiūlymą keisti kompleksinio teritorijų planavimo dokumentą, privalo priimti sprendimą keisti atitinkamą kompleksinio teritorijų planavimo dokumentą pagal planavimo organizatoriaus parengtą kompleksinio teritorijų planavimo dokumentų sprendinių įgyvendinimo stebėsenos ataskaitą arba motyvuotai atmesti pasiūlymą. Tais atvejais, kai kompleksinio teritorijų planavimo dokumentų sprendinių įgyvendinimo stebėsenos ataskaitoje nurodoma, kad reikia koreguoti kompleksinio teritorijų planavimo dokumentą, planavimo organizatorius ne vėliau kaip per vieną mėnesį nuo ataskaitos paskelbimo dienos priima sprendimą koreguoti kompleksinio teritorijų planavimo dokumentą.</w:t>
      </w:r>
    </w:p>
    <w:p w14:paraId="42DD129A" w14:textId="3656F2C6" w:rsidR="00DF65CD" w:rsidRDefault="00DF65CD" w:rsidP="004A414F">
      <w:pPr>
        <w:ind w:right="-50" w:firstLine="720"/>
        <w:jc w:val="both"/>
        <w:rPr>
          <w:bCs/>
          <w:color w:val="000000"/>
          <w:spacing w:val="2"/>
          <w:sz w:val="24"/>
          <w:szCs w:val="24"/>
        </w:rPr>
      </w:pPr>
      <w:r w:rsidRPr="00DF65CD">
        <w:rPr>
          <w:bCs/>
          <w:color w:val="000000"/>
          <w:spacing w:val="2"/>
          <w:sz w:val="24"/>
          <w:szCs w:val="24"/>
        </w:rPr>
        <w:t>8. Kompleksinio teritorijų planavimo dokumentų sprendinių įgyvendinimo stebėsenos turinį ir stebėsenos atlikimo tvarką nustato Aplinkos ministerija.</w:t>
      </w:r>
    </w:p>
    <w:p w14:paraId="53AA7422" w14:textId="77777777" w:rsidR="004A414F" w:rsidRDefault="004A414F" w:rsidP="004A414F">
      <w:pPr>
        <w:ind w:right="-50" w:firstLine="720"/>
        <w:jc w:val="both"/>
        <w:rPr>
          <w:sz w:val="22"/>
          <w:szCs w:val="22"/>
          <w:lang w:eastAsia="en-US"/>
        </w:rPr>
      </w:pPr>
    </w:p>
    <w:p w14:paraId="5A99FAFD" w14:textId="5DB4DA24" w:rsidR="002A7CEA" w:rsidRPr="002A7CEA" w:rsidRDefault="002A7CEA" w:rsidP="00561B81">
      <w:pPr>
        <w:ind w:left="4820"/>
        <w:rPr>
          <w:rFonts w:ascii="Tahoma" w:hAnsi="Tahoma" w:cs="Tahoma"/>
          <w:sz w:val="22"/>
          <w:szCs w:val="22"/>
          <w:lang w:eastAsia="en-US"/>
        </w:rPr>
      </w:pPr>
      <w:r w:rsidRPr="002A7CEA">
        <w:rPr>
          <w:sz w:val="22"/>
          <w:szCs w:val="22"/>
          <w:lang w:eastAsia="en-US"/>
        </w:rPr>
        <w:t>PATVIRTINTA</w:t>
      </w:r>
    </w:p>
    <w:p w14:paraId="603EB571" w14:textId="77777777" w:rsidR="002A7CEA" w:rsidRPr="002A7CEA" w:rsidRDefault="002A7CEA" w:rsidP="00561B81">
      <w:pPr>
        <w:ind w:left="4820"/>
        <w:rPr>
          <w:rFonts w:ascii="Tahoma" w:hAnsi="Tahoma" w:cs="Tahoma"/>
          <w:sz w:val="24"/>
          <w:szCs w:val="24"/>
          <w:lang w:eastAsia="en-US"/>
        </w:rPr>
      </w:pPr>
      <w:r w:rsidRPr="002A7CEA">
        <w:rPr>
          <w:sz w:val="24"/>
          <w:szCs w:val="24"/>
          <w:lang w:eastAsia="en-US"/>
        </w:rPr>
        <w:t xml:space="preserve">Lietuvos Respublikos aplinkos ministro </w:t>
      </w:r>
    </w:p>
    <w:p w14:paraId="60C3A1B7" w14:textId="77777777" w:rsidR="002A7CEA" w:rsidRPr="002A7CEA" w:rsidRDefault="002A7CEA" w:rsidP="00561B81">
      <w:pPr>
        <w:ind w:left="4820"/>
        <w:rPr>
          <w:rFonts w:ascii="Tahoma" w:hAnsi="Tahoma" w:cs="Tahoma"/>
          <w:sz w:val="24"/>
          <w:szCs w:val="24"/>
          <w:lang w:eastAsia="en-US"/>
        </w:rPr>
      </w:pPr>
      <w:r w:rsidRPr="002A7CEA">
        <w:rPr>
          <w:sz w:val="24"/>
          <w:szCs w:val="24"/>
          <w:lang w:eastAsia="en-US"/>
        </w:rPr>
        <w:t>2014 m. sausio 7 d. įsakymu Nr. D1-21</w:t>
      </w:r>
    </w:p>
    <w:p w14:paraId="7CBCAE1E" w14:textId="77777777" w:rsidR="002A7CEA" w:rsidRPr="002A7CEA" w:rsidRDefault="002A7CEA" w:rsidP="002A7CEA">
      <w:pPr>
        <w:ind w:left="4820"/>
        <w:rPr>
          <w:sz w:val="22"/>
          <w:szCs w:val="22"/>
          <w:lang w:eastAsia="en-US"/>
        </w:rPr>
      </w:pPr>
    </w:p>
    <w:p w14:paraId="6D70AD88" w14:textId="77777777" w:rsidR="002A7CEA" w:rsidRPr="002A7CEA" w:rsidRDefault="002A7CEA" w:rsidP="0042759D">
      <w:pPr>
        <w:suppressAutoHyphens/>
        <w:jc w:val="center"/>
        <w:rPr>
          <w:b/>
          <w:caps/>
          <w:sz w:val="22"/>
          <w:szCs w:val="22"/>
        </w:rPr>
      </w:pPr>
      <w:r w:rsidRPr="002A7CEA">
        <w:rPr>
          <w:b/>
          <w:caps/>
          <w:sz w:val="22"/>
          <w:szCs w:val="22"/>
        </w:rPr>
        <w:t>Kompleksinio TERITORIJŲ PLANAVIMO DOKUMENTŲ SPRENDINIŲ ĮGYVENDINIMO STEBĖSENOS TURINIO IR STEBĖSENOS ATLIKIMO TVARKOS APRAŠas</w:t>
      </w:r>
    </w:p>
    <w:p w14:paraId="6E1235D3" w14:textId="16BE2555" w:rsidR="002B1A55" w:rsidRPr="00561B81" w:rsidRDefault="002B1A55" w:rsidP="0042759D">
      <w:pPr>
        <w:spacing w:line="281" w:lineRule="auto"/>
        <w:jc w:val="center"/>
        <w:rPr>
          <w:sz w:val="22"/>
          <w:szCs w:val="22"/>
        </w:rPr>
      </w:pPr>
    </w:p>
    <w:p w14:paraId="55EEE23A" w14:textId="77777777" w:rsidR="002A7CEA" w:rsidRPr="002A7CEA" w:rsidRDefault="002A7CEA" w:rsidP="0042759D">
      <w:pPr>
        <w:jc w:val="center"/>
        <w:rPr>
          <w:color w:val="000000"/>
          <w:sz w:val="22"/>
          <w:szCs w:val="22"/>
        </w:rPr>
      </w:pPr>
      <w:r w:rsidRPr="002A7CEA">
        <w:rPr>
          <w:b/>
          <w:bCs/>
          <w:color w:val="000000"/>
          <w:sz w:val="22"/>
          <w:szCs w:val="22"/>
        </w:rPr>
        <w:t>VII. </w:t>
      </w:r>
      <w:r w:rsidRPr="002A7CEA">
        <w:rPr>
          <w:b/>
          <w:bCs/>
          <w:caps/>
          <w:color w:val="000000"/>
          <w:sz w:val="22"/>
          <w:szCs w:val="22"/>
        </w:rPr>
        <w:t>KOMPLEKSINIŲ TERITORIJŲ PLANAVIMO DOKUMENTŲ SPRENDINIŲ ĮGYVENDINIMO STEBĖSENOS ATASKAITŲ </w:t>
      </w:r>
      <w:r w:rsidRPr="002A7CEA">
        <w:rPr>
          <w:b/>
          <w:bCs/>
          <w:color w:val="000000"/>
          <w:sz w:val="22"/>
          <w:szCs w:val="22"/>
        </w:rPr>
        <w:t>VIEŠINIMO TVARKA</w:t>
      </w:r>
    </w:p>
    <w:p w14:paraId="17AAE926" w14:textId="3BF02FA9" w:rsidR="002A7CEA" w:rsidRDefault="003A2B53" w:rsidP="00B838FB">
      <w:pPr>
        <w:tabs>
          <w:tab w:val="left" w:pos="993"/>
        </w:tabs>
        <w:ind w:firstLine="709"/>
        <w:jc w:val="both"/>
        <w:rPr>
          <w:rFonts w:eastAsiaTheme="minorEastAsia"/>
          <w:sz w:val="24"/>
          <w:szCs w:val="24"/>
        </w:rPr>
      </w:pPr>
      <w:bookmarkStart w:id="3" w:name="part_ba8841c5b41b40a0a931734b299cf5ec"/>
      <w:bookmarkEnd w:id="3"/>
      <w:r w:rsidRPr="003A2B53">
        <w:rPr>
          <w:color w:val="000000"/>
          <w:sz w:val="24"/>
          <w:szCs w:val="24"/>
        </w:rPr>
        <w:t>25</w:t>
      </w:r>
      <w:r w:rsidRPr="00B838FB">
        <w:rPr>
          <w:rFonts w:eastAsiaTheme="minorEastAsia"/>
          <w:sz w:val="24"/>
          <w:szCs w:val="24"/>
        </w:rPr>
        <w:t xml:space="preserve">. Savivaldybės ir vietovės lygmens bendrojo plano sprendinių įgyvendinimo stebėsenos ataskaita rengiama ne rečiau kaip kartą per 2 metus ir aprobuojama savivaldybės taryboje ne vėliau kaip iki kitų metų kovo mėn. 1 d. Kompleksinio teritorijų planavimo dokumento stebėsenos ataskaitą </w:t>
      </w:r>
      <w:r w:rsidRPr="00B838FB">
        <w:rPr>
          <w:rFonts w:eastAsiaTheme="minorEastAsia"/>
          <w:sz w:val="24"/>
          <w:szCs w:val="24"/>
        </w:rPr>
        <w:lastRenderedPageBreak/>
        <w:t>sudaro kasmetiniai rodikliai, raidos tendencijos ir pasiūlymai dėl savivaldybės teritorijoje patvirtintų teritorijų planavimo dokumentų įgyvendinimo.</w:t>
      </w:r>
    </w:p>
    <w:p w14:paraId="08613021" w14:textId="6CECC4CF" w:rsidR="004A414F" w:rsidRPr="00B838FB" w:rsidRDefault="004A414F" w:rsidP="00B838FB">
      <w:pPr>
        <w:tabs>
          <w:tab w:val="left" w:pos="993"/>
        </w:tabs>
        <w:ind w:firstLine="709"/>
        <w:jc w:val="both"/>
        <w:rPr>
          <w:rFonts w:eastAsiaTheme="minorEastAsia"/>
          <w:sz w:val="24"/>
          <w:szCs w:val="24"/>
        </w:rPr>
      </w:pPr>
      <w:r w:rsidRPr="004A414F">
        <w:rPr>
          <w:rFonts w:eastAsiaTheme="minorEastAsia"/>
          <w:sz w:val="24"/>
          <w:szCs w:val="24"/>
        </w:rPr>
        <w:t>26. Savivaldybės ir vietovės lygmens bendrojo plano sprendinių įgyvendinimo stebėsenos ataskaita po patvirtinimo skelbiama savivaldybės tinklalapyje. Spausdintoje formoje kompleksinio teritorijų planavimo dokumento stebėsenos ataskaita pateikiama Aplinkos ministerijai.</w:t>
      </w:r>
    </w:p>
    <w:p w14:paraId="4850F8E0" w14:textId="77777777" w:rsidR="00876FD9" w:rsidRPr="002B1A55" w:rsidRDefault="00876FD9" w:rsidP="002B1A55">
      <w:pPr>
        <w:spacing w:line="281" w:lineRule="auto"/>
        <w:jc w:val="center"/>
        <w:rPr>
          <w:sz w:val="24"/>
          <w:szCs w:val="24"/>
        </w:rPr>
      </w:pPr>
    </w:p>
    <w:p w14:paraId="2BEC2284" w14:textId="77777777" w:rsidR="00876FD9" w:rsidRDefault="00876FD9" w:rsidP="00F0117A">
      <w:pPr>
        <w:ind w:right="-50" w:firstLine="720"/>
        <w:jc w:val="both"/>
        <w:rPr>
          <w:bCs/>
          <w:color w:val="000000"/>
          <w:spacing w:val="2"/>
          <w:sz w:val="24"/>
          <w:szCs w:val="24"/>
        </w:rPr>
      </w:pPr>
    </w:p>
    <w:p w14:paraId="27DBA9C2" w14:textId="77777777" w:rsidR="00046FA8" w:rsidRDefault="00046FA8" w:rsidP="00F0117A">
      <w:pPr>
        <w:ind w:right="-50" w:firstLine="720"/>
        <w:jc w:val="both"/>
        <w:rPr>
          <w:bCs/>
          <w:color w:val="000000"/>
          <w:spacing w:val="2"/>
          <w:sz w:val="24"/>
          <w:szCs w:val="24"/>
        </w:rPr>
      </w:pPr>
    </w:p>
    <w:p w14:paraId="6D446C7F" w14:textId="77777777" w:rsidR="00A67C7A" w:rsidRPr="00F0117A" w:rsidRDefault="00A67C7A" w:rsidP="00F0117A">
      <w:pPr>
        <w:ind w:right="-50" w:firstLine="720"/>
        <w:jc w:val="both"/>
        <w:rPr>
          <w:bCs/>
          <w:color w:val="000000"/>
          <w:spacing w:val="2"/>
          <w:sz w:val="24"/>
          <w:szCs w:val="24"/>
        </w:rPr>
      </w:pPr>
    </w:p>
    <w:p w14:paraId="1353EA87" w14:textId="77777777" w:rsidR="00F0117A" w:rsidRPr="004066E9" w:rsidRDefault="00F0117A" w:rsidP="004066E9">
      <w:pPr>
        <w:ind w:right="-50" w:firstLine="720"/>
        <w:jc w:val="both"/>
        <w:rPr>
          <w:bCs/>
          <w:color w:val="000000"/>
          <w:spacing w:val="2"/>
          <w:sz w:val="24"/>
          <w:szCs w:val="24"/>
        </w:rPr>
      </w:pPr>
    </w:p>
    <w:p w14:paraId="68D41B5E" w14:textId="4887B071" w:rsidR="004066E9" w:rsidRPr="004066E9" w:rsidRDefault="004066E9" w:rsidP="004066E9">
      <w:pPr>
        <w:ind w:right="-50" w:firstLine="720"/>
        <w:jc w:val="both"/>
        <w:rPr>
          <w:bCs/>
          <w:color w:val="000000"/>
          <w:spacing w:val="2"/>
          <w:sz w:val="24"/>
          <w:szCs w:val="24"/>
        </w:rPr>
      </w:pPr>
    </w:p>
    <w:p w14:paraId="3FF1CF22" w14:textId="77777777" w:rsidR="004066E9" w:rsidRPr="00151BE4" w:rsidRDefault="004066E9" w:rsidP="00151BE4">
      <w:pPr>
        <w:ind w:right="-50" w:firstLine="720"/>
        <w:jc w:val="both"/>
        <w:rPr>
          <w:bCs/>
          <w:color w:val="000000"/>
          <w:spacing w:val="2"/>
          <w:sz w:val="24"/>
          <w:szCs w:val="24"/>
        </w:rPr>
      </w:pPr>
    </w:p>
    <w:p w14:paraId="5E404294" w14:textId="77777777" w:rsidR="00151BE4" w:rsidRPr="00151BE4" w:rsidRDefault="00151BE4" w:rsidP="00151BE4">
      <w:pPr>
        <w:ind w:right="-50" w:firstLine="720"/>
        <w:jc w:val="both"/>
        <w:rPr>
          <w:bCs/>
          <w:color w:val="000000"/>
          <w:spacing w:val="2"/>
          <w:sz w:val="24"/>
          <w:szCs w:val="24"/>
        </w:rPr>
      </w:pPr>
    </w:p>
    <w:p w14:paraId="143D5416" w14:textId="77777777" w:rsidR="00151BE4" w:rsidRPr="00D01597" w:rsidRDefault="00151BE4" w:rsidP="00D01597">
      <w:pPr>
        <w:ind w:right="-50" w:firstLine="720"/>
        <w:jc w:val="both"/>
        <w:rPr>
          <w:bCs/>
          <w:color w:val="000000"/>
          <w:spacing w:val="2"/>
          <w:sz w:val="24"/>
          <w:szCs w:val="24"/>
        </w:rPr>
      </w:pPr>
    </w:p>
    <w:p w14:paraId="42125461" w14:textId="77777777" w:rsidR="00D01597" w:rsidRDefault="00D01597" w:rsidP="00DE0CDB">
      <w:pPr>
        <w:ind w:right="-50" w:firstLine="720"/>
        <w:jc w:val="both"/>
        <w:rPr>
          <w:b/>
          <w:bCs/>
          <w:color w:val="000000"/>
          <w:spacing w:val="2"/>
          <w:sz w:val="24"/>
          <w:szCs w:val="24"/>
        </w:rPr>
      </w:pPr>
    </w:p>
    <w:p w14:paraId="12AE63C5" w14:textId="77777777" w:rsidR="00DE0CDB" w:rsidRPr="008808E5" w:rsidRDefault="00DE0CDB" w:rsidP="00303148">
      <w:pPr>
        <w:ind w:firstLine="720"/>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2C05CE32" w:rsidR="00DE0CDB" w:rsidRDefault="00DE0CDB">
        <w:pPr>
          <w:pStyle w:val="Antrats"/>
          <w:jc w:val="center"/>
        </w:pPr>
        <w:r>
          <w:fldChar w:fldCharType="begin"/>
        </w:r>
        <w:r>
          <w:instrText>PAGE   \* MERGEFORMAT</w:instrText>
        </w:r>
        <w:r>
          <w:fldChar w:fldCharType="separate"/>
        </w:r>
        <w:r w:rsidR="00F47916">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E64"/>
    <w:multiLevelType w:val="hybridMultilevel"/>
    <w:tmpl w:val="8C6ED3E0"/>
    <w:lvl w:ilvl="0" w:tplc="5D2A8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37B69"/>
    <w:rsid w:val="00242B88"/>
    <w:rsid w:val="00252AFB"/>
    <w:rsid w:val="00263C7A"/>
    <w:rsid w:val="00291226"/>
    <w:rsid w:val="00292DAA"/>
    <w:rsid w:val="002A05E5"/>
    <w:rsid w:val="002A49A9"/>
    <w:rsid w:val="002A7CEA"/>
    <w:rsid w:val="002B1A55"/>
    <w:rsid w:val="002B3D26"/>
    <w:rsid w:val="002B5AA1"/>
    <w:rsid w:val="002C6914"/>
    <w:rsid w:val="002F05ED"/>
    <w:rsid w:val="002F25B2"/>
    <w:rsid w:val="00303148"/>
    <w:rsid w:val="00323A1E"/>
    <w:rsid w:val="00324750"/>
    <w:rsid w:val="003478D2"/>
    <w:rsid w:val="00347F54"/>
    <w:rsid w:val="00352486"/>
    <w:rsid w:val="003661F2"/>
    <w:rsid w:val="00366DD9"/>
    <w:rsid w:val="00375CFE"/>
    <w:rsid w:val="00384543"/>
    <w:rsid w:val="0039507F"/>
    <w:rsid w:val="003A2B53"/>
    <w:rsid w:val="003A3546"/>
    <w:rsid w:val="003C09F9"/>
    <w:rsid w:val="003C2E78"/>
    <w:rsid w:val="003E4B1B"/>
    <w:rsid w:val="003E5D65"/>
    <w:rsid w:val="003E603A"/>
    <w:rsid w:val="003F46A1"/>
    <w:rsid w:val="00405B54"/>
    <w:rsid w:val="004066E9"/>
    <w:rsid w:val="00406784"/>
    <w:rsid w:val="0042759D"/>
    <w:rsid w:val="00433CCC"/>
    <w:rsid w:val="004365D0"/>
    <w:rsid w:val="00445CA9"/>
    <w:rsid w:val="004545AD"/>
    <w:rsid w:val="00467A8A"/>
    <w:rsid w:val="00472954"/>
    <w:rsid w:val="004801AC"/>
    <w:rsid w:val="00485559"/>
    <w:rsid w:val="004910ED"/>
    <w:rsid w:val="004A414F"/>
    <w:rsid w:val="004C2B0E"/>
    <w:rsid w:val="004D1865"/>
    <w:rsid w:val="004F2277"/>
    <w:rsid w:val="004F5B94"/>
    <w:rsid w:val="005003DE"/>
    <w:rsid w:val="00524DA3"/>
    <w:rsid w:val="00536641"/>
    <w:rsid w:val="00536F00"/>
    <w:rsid w:val="00540763"/>
    <w:rsid w:val="005465ED"/>
    <w:rsid w:val="0054784E"/>
    <w:rsid w:val="00561B81"/>
    <w:rsid w:val="00563AD1"/>
    <w:rsid w:val="00581E2D"/>
    <w:rsid w:val="005C29DF"/>
    <w:rsid w:val="005C4280"/>
    <w:rsid w:val="005D267D"/>
    <w:rsid w:val="005E1B19"/>
    <w:rsid w:val="005F001C"/>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90342"/>
    <w:rsid w:val="007F0C16"/>
    <w:rsid w:val="007F2B37"/>
    <w:rsid w:val="007F7A7A"/>
    <w:rsid w:val="0080146A"/>
    <w:rsid w:val="00801E4F"/>
    <w:rsid w:val="0082368D"/>
    <w:rsid w:val="00827112"/>
    <w:rsid w:val="008342DF"/>
    <w:rsid w:val="00836A85"/>
    <w:rsid w:val="008623E9"/>
    <w:rsid w:val="00864F6F"/>
    <w:rsid w:val="00866052"/>
    <w:rsid w:val="00876FD9"/>
    <w:rsid w:val="008808E5"/>
    <w:rsid w:val="00887754"/>
    <w:rsid w:val="008A5D96"/>
    <w:rsid w:val="008B023C"/>
    <w:rsid w:val="008C6BDA"/>
    <w:rsid w:val="008D3E3C"/>
    <w:rsid w:val="008D5B15"/>
    <w:rsid w:val="008D69DD"/>
    <w:rsid w:val="008E6EE6"/>
    <w:rsid w:val="008F665C"/>
    <w:rsid w:val="0091771A"/>
    <w:rsid w:val="00923F88"/>
    <w:rsid w:val="00932DDD"/>
    <w:rsid w:val="00941E03"/>
    <w:rsid w:val="00944917"/>
    <w:rsid w:val="00953F73"/>
    <w:rsid w:val="00961899"/>
    <w:rsid w:val="00972571"/>
    <w:rsid w:val="00986E4D"/>
    <w:rsid w:val="009A1D4B"/>
    <w:rsid w:val="009B0156"/>
    <w:rsid w:val="009C114C"/>
    <w:rsid w:val="009C5BD8"/>
    <w:rsid w:val="009D26EA"/>
    <w:rsid w:val="009E2FD6"/>
    <w:rsid w:val="009E7A13"/>
    <w:rsid w:val="009F5F1E"/>
    <w:rsid w:val="00A015AE"/>
    <w:rsid w:val="00A210D2"/>
    <w:rsid w:val="00A314DD"/>
    <w:rsid w:val="00A3176F"/>
    <w:rsid w:val="00A3260E"/>
    <w:rsid w:val="00A44DC7"/>
    <w:rsid w:val="00A56070"/>
    <w:rsid w:val="00A67C7A"/>
    <w:rsid w:val="00A8670A"/>
    <w:rsid w:val="00A9592B"/>
    <w:rsid w:val="00A95C0B"/>
    <w:rsid w:val="00AA5DFD"/>
    <w:rsid w:val="00AB62D9"/>
    <w:rsid w:val="00AD235B"/>
    <w:rsid w:val="00AD2EE1"/>
    <w:rsid w:val="00AD7EFA"/>
    <w:rsid w:val="00AE22D7"/>
    <w:rsid w:val="00B078F7"/>
    <w:rsid w:val="00B40258"/>
    <w:rsid w:val="00B462C4"/>
    <w:rsid w:val="00B4670E"/>
    <w:rsid w:val="00B53D16"/>
    <w:rsid w:val="00B62827"/>
    <w:rsid w:val="00B66819"/>
    <w:rsid w:val="00B7320C"/>
    <w:rsid w:val="00B81329"/>
    <w:rsid w:val="00B838FB"/>
    <w:rsid w:val="00B83D83"/>
    <w:rsid w:val="00B87FE9"/>
    <w:rsid w:val="00BB07E2"/>
    <w:rsid w:val="00BD40A5"/>
    <w:rsid w:val="00BE1AAE"/>
    <w:rsid w:val="00C1657C"/>
    <w:rsid w:val="00C2138D"/>
    <w:rsid w:val="00C57D17"/>
    <w:rsid w:val="00C61795"/>
    <w:rsid w:val="00C66308"/>
    <w:rsid w:val="00C70A51"/>
    <w:rsid w:val="00C73DF4"/>
    <w:rsid w:val="00CA7B58"/>
    <w:rsid w:val="00CB3E22"/>
    <w:rsid w:val="00CC58FF"/>
    <w:rsid w:val="00CD1497"/>
    <w:rsid w:val="00CD7099"/>
    <w:rsid w:val="00CF625A"/>
    <w:rsid w:val="00CF74A0"/>
    <w:rsid w:val="00D01597"/>
    <w:rsid w:val="00D45C9E"/>
    <w:rsid w:val="00D7355E"/>
    <w:rsid w:val="00D81831"/>
    <w:rsid w:val="00D94FEF"/>
    <w:rsid w:val="00DB4C80"/>
    <w:rsid w:val="00DE0BFB"/>
    <w:rsid w:val="00DE0CDB"/>
    <w:rsid w:val="00DF65CD"/>
    <w:rsid w:val="00E04E9F"/>
    <w:rsid w:val="00E16EBA"/>
    <w:rsid w:val="00E3056A"/>
    <w:rsid w:val="00E324BB"/>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47916"/>
    <w:rsid w:val="00F60107"/>
    <w:rsid w:val="00F60163"/>
    <w:rsid w:val="00F71567"/>
    <w:rsid w:val="00FA4393"/>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04549425">
      <w:bodyDiv w:val="1"/>
      <w:marLeft w:val="0"/>
      <w:marRight w:val="0"/>
      <w:marTop w:val="0"/>
      <w:marBottom w:val="0"/>
      <w:divBdr>
        <w:top w:val="none" w:sz="0" w:space="0" w:color="auto"/>
        <w:left w:val="none" w:sz="0" w:space="0" w:color="auto"/>
        <w:bottom w:val="none" w:sz="0" w:space="0" w:color="auto"/>
        <w:right w:val="none" w:sz="0" w:space="0" w:color="auto"/>
      </w:divBdr>
      <w:divsChild>
        <w:div w:id="1057361641">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7023">
      <w:bodyDiv w:val="1"/>
      <w:marLeft w:val="0"/>
      <w:marRight w:val="0"/>
      <w:marTop w:val="0"/>
      <w:marBottom w:val="0"/>
      <w:divBdr>
        <w:top w:val="none" w:sz="0" w:space="0" w:color="auto"/>
        <w:left w:val="none" w:sz="0" w:space="0" w:color="auto"/>
        <w:bottom w:val="none" w:sz="0" w:space="0" w:color="auto"/>
        <w:right w:val="none" w:sz="0" w:space="0" w:color="auto"/>
      </w:divBdr>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274E-4A3E-4C5C-9550-7506FDED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2384</Words>
  <Characters>1360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2022-10-05T12:29:00Z</cp:lastPrinted>
  <dcterms:created xsi:type="dcterms:W3CDTF">2022-10-31T11:25:00Z</dcterms:created>
  <dcterms:modified xsi:type="dcterms:W3CDTF">2022-10-31T11:25:00Z</dcterms:modified>
</cp:coreProperties>
</file>