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E70645">
        <w:tc>
          <w:tcPr>
            <w:tcW w:w="5103"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70645">
        <w:tc>
          <w:tcPr>
            <w:tcW w:w="5103" w:type="dxa"/>
          </w:tcPr>
          <w:p w:rsidR="0006079E" w:rsidRDefault="0006079E" w:rsidP="0006079E">
            <w:r>
              <w:t>Klaipėdos miesto savivaldybės</w:t>
            </w:r>
            <w:r w:rsidR="00343D40">
              <w:t xml:space="preserve"> tarybos</w:t>
            </w:r>
          </w:p>
        </w:tc>
      </w:tr>
      <w:bookmarkStart w:id="1" w:name="registravimoDataIlga"/>
      <w:tr w:rsidR="00343D40" w:rsidTr="00E70645">
        <w:trPr>
          <w:trHeight w:val="304"/>
        </w:trPr>
        <w:tc>
          <w:tcPr>
            <w:tcW w:w="5103" w:type="dxa"/>
          </w:tcPr>
          <w:p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24 d.</w:t>
            </w:r>
            <w:r>
              <w:rPr>
                <w:noProof/>
              </w:rPr>
              <w:fldChar w:fldCharType="end"/>
            </w:r>
            <w:bookmarkEnd w:id="1"/>
            <w:r>
              <w:rPr>
                <w:noProof/>
              </w:rPr>
              <w:t xml:space="preserve"> </w:t>
            </w:r>
            <w:r>
              <w:t xml:space="preserve">sprendimu Nr. </w:t>
            </w:r>
            <w:bookmarkStart w:id="2" w:name="registravimoNr"/>
            <w:r>
              <w:t>T1-285</w:t>
            </w:r>
            <w:bookmarkEnd w:id="2"/>
          </w:p>
        </w:tc>
      </w:tr>
    </w:tbl>
    <w:p w:rsidR="00832CC9" w:rsidRPr="00F72A1E" w:rsidRDefault="00832CC9" w:rsidP="0006079E">
      <w:pPr>
        <w:jc w:val="center"/>
      </w:pPr>
    </w:p>
    <w:p w:rsidR="00832CC9" w:rsidRPr="00F72A1E" w:rsidRDefault="00832CC9" w:rsidP="0006079E">
      <w:pPr>
        <w:jc w:val="center"/>
      </w:pPr>
    </w:p>
    <w:p w:rsidR="0047330D" w:rsidRPr="0047330D" w:rsidRDefault="0047330D" w:rsidP="0047330D">
      <w:pPr>
        <w:jc w:val="center"/>
        <w:rPr>
          <w:b/>
        </w:rPr>
      </w:pPr>
    </w:p>
    <w:p w:rsidR="0047330D" w:rsidRPr="0047330D" w:rsidRDefault="0047330D" w:rsidP="0047330D">
      <w:pPr>
        <w:jc w:val="center"/>
        <w:rPr>
          <w:b/>
        </w:rPr>
      </w:pPr>
    </w:p>
    <w:p w:rsidR="0047330D" w:rsidRPr="0047330D" w:rsidRDefault="0047330D" w:rsidP="0047330D">
      <w:pPr>
        <w:jc w:val="center"/>
        <w:rPr>
          <w:b/>
        </w:rPr>
      </w:pPr>
    </w:p>
    <w:p w:rsidR="0047330D" w:rsidRPr="0047330D" w:rsidRDefault="0047330D" w:rsidP="0047330D">
      <w:pPr>
        <w:jc w:val="center"/>
        <w:rPr>
          <w:b/>
        </w:rPr>
      </w:pPr>
      <w:r w:rsidRPr="0047330D">
        <w:rPr>
          <w:b/>
        </w:rPr>
        <w:t>KLAIPĖDOS MIESTO SAVIVALDYBĖS VISUOMENĖS SVEIKATOS STEBĖSENOS</w:t>
      </w:r>
    </w:p>
    <w:p w:rsidR="0047330D" w:rsidRPr="0047330D" w:rsidRDefault="0047330D" w:rsidP="0047330D">
      <w:pPr>
        <w:jc w:val="center"/>
        <w:rPr>
          <w:b/>
        </w:rPr>
      </w:pPr>
      <w:r w:rsidRPr="0047330D">
        <w:rPr>
          <w:b/>
        </w:rPr>
        <w:t>2021 METŲ ATASKAITA</w:t>
      </w:r>
    </w:p>
    <w:p w:rsidR="0047330D" w:rsidRPr="0047330D" w:rsidRDefault="0047330D" w:rsidP="0047330D">
      <w:pPr>
        <w:jc w:val="center"/>
        <w:rPr>
          <w:b/>
        </w:rPr>
      </w:pPr>
    </w:p>
    <w:p w:rsidR="0047330D" w:rsidRPr="0047330D" w:rsidRDefault="0047330D" w:rsidP="0047330D">
      <w:pPr>
        <w:jc w:val="center"/>
      </w:pPr>
      <w:r w:rsidRPr="0047330D">
        <w:t>(Demografinė būklė – 2022 m. duomenys, sveikatos būklė – 2021 m. duomenys)</w:t>
      </w:r>
    </w:p>
    <w:p w:rsidR="0047330D" w:rsidRPr="0047330D" w:rsidRDefault="0047330D" w:rsidP="0047330D">
      <w:pPr>
        <w:spacing w:after="200" w:line="276" w:lineRule="auto"/>
        <w:jc w:val="center"/>
        <w:rPr>
          <w:rFonts w:ascii="Calibri" w:eastAsiaTheme="minorHAnsi" w:hAnsi="Calibri" w:cs="Calibr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jc w:val="center"/>
        <w:rPr>
          <w:rFonts w:eastAsiaTheme="minorHAnsi"/>
        </w:rPr>
      </w:pPr>
      <w:r w:rsidRPr="0047330D">
        <w:rPr>
          <w:rFonts w:eastAsiaTheme="minorHAnsi"/>
        </w:rPr>
        <w:t>Klaipėda, 2022</w:t>
      </w:r>
    </w:p>
    <w:p w:rsidR="0047330D" w:rsidRPr="0047330D" w:rsidRDefault="0047330D" w:rsidP="0047330D">
      <w:pPr>
        <w:jc w:val="center"/>
        <w:rPr>
          <w:rFonts w:eastAsiaTheme="minorHAnsi"/>
          <w:b/>
          <w:bCs/>
        </w:rPr>
      </w:pPr>
      <w:r w:rsidRPr="0047330D">
        <w:rPr>
          <w:rFonts w:eastAsiaTheme="minorHAnsi"/>
        </w:rPr>
        <w:br w:type="page"/>
      </w:r>
      <w:r w:rsidRPr="0047330D">
        <w:rPr>
          <w:rFonts w:eastAsiaTheme="minorHAnsi"/>
          <w:b/>
          <w:bCs/>
        </w:rPr>
        <w:lastRenderedPageBreak/>
        <w:t>TURINYS</w:t>
      </w:r>
    </w:p>
    <w:p w:rsidR="0047330D" w:rsidRPr="0047330D" w:rsidRDefault="0047330D" w:rsidP="0047330D">
      <w:pPr>
        <w:jc w:val="center"/>
        <w:rPr>
          <w:rFonts w:eastAsiaTheme="minorHAnsi"/>
          <w:b/>
          <w:bCs/>
        </w:rPr>
      </w:pPr>
    </w:p>
    <w:p w:rsidR="0047330D" w:rsidRPr="0047330D" w:rsidRDefault="0047330D" w:rsidP="0047330D">
      <w:pPr>
        <w:jc w:val="both"/>
        <w:rPr>
          <w:rFonts w:eastAsiaTheme="minorHAnsi"/>
        </w:rPr>
      </w:pPr>
      <w:r w:rsidRPr="0047330D">
        <w:rPr>
          <w:rFonts w:eastAsiaTheme="minorHAnsi"/>
        </w:rPr>
        <w:t>ĮVADAS...............................................................................................................................................3</w:t>
      </w:r>
    </w:p>
    <w:p w:rsidR="0047330D" w:rsidRPr="0047330D" w:rsidRDefault="0047330D" w:rsidP="0047330D">
      <w:pPr>
        <w:jc w:val="both"/>
        <w:rPr>
          <w:rFonts w:eastAsiaTheme="minorHAnsi"/>
        </w:rPr>
      </w:pPr>
      <w:r w:rsidRPr="0047330D">
        <w:rPr>
          <w:rFonts w:eastAsiaTheme="minorHAnsi"/>
        </w:rPr>
        <w:t>BENDROJI DALIS..............................................................................................................................4</w:t>
      </w:r>
    </w:p>
    <w:p w:rsidR="0047330D" w:rsidRPr="0047330D" w:rsidRDefault="0047330D" w:rsidP="0047330D">
      <w:pPr>
        <w:ind w:right="-1"/>
        <w:jc w:val="both"/>
        <w:rPr>
          <w:rFonts w:eastAsiaTheme="minorHAnsi"/>
        </w:rPr>
      </w:pPr>
      <w:r w:rsidRPr="0047330D">
        <w:rPr>
          <w:rFonts w:eastAsiaTheme="minorHAnsi"/>
        </w:rPr>
        <w:t>Demografinė situacija...........................................................................................................................4</w:t>
      </w:r>
    </w:p>
    <w:p w:rsidR="0047330D" w:rsidRPr="0047330D" w:rsidRDefault="0047330D" w:rsidP="0047330D">
      <w:pPr>
        <w:ind w:right="-1"/>
        <w:jc w:val="both"/>
        <w:rPr>
          <w:rFonts w:eastAsiaTheme="minorHAnsi"/>
        </w:rPr>
      </w:pPr>
      <w:r w:rsidRPr="0047330D">
        <w:rPr>
          <w:rFonts w:eastAsiaTheme="minorHAnsi"/>
        </w:rPr>
        <w:t>Strateginio tikslo siekimas....................................................................................................................5</w:t>
      </w:r>
    </w:p>
    <w:p w:rsidR="0047330D" w:rsidRPr="0047330D" w:rsidRDefault="0047330D" w:rsidP="0047330D">
      <w:pPr>
        <w:jc w:val="both"/>
        <w:rPr>
          <w:rFonts w:eastAsiaTheme="minorHAnsi"/>
        </w:rPr>
      </w:pPr>
      <w:r w:rsidRPr="0047330D">
        <w:rPr>
          <w:rFonts w:eastAsiaTheme="minorHAnsi"/>
        </w:rPr>
        <w:t>1 tikslas – sukurti saugesnę socialinę aplinką, mažinti sveikatos netolygumus ir socialinę atskirtį...................................................................................................................................................5</w:t>
      </w:r>
    </w:p>
    <w:p w:rsidR="0047330D" w:rsidRPr="0047330D" w:rsidRDefault="0047330D" w:rsidP="0047330D">
      <w:pPr>
        <w:jc w:val="both"/>
        <w:rPr>
          <w:rFonts w:eastAsiaTheme="minorHAnsi"/>
        </w:rPr>
      </w:pPr>
      <w:r w:rsidRPr="0047330D">
        <w:rPr>
          <w:rFonts w:eastAsiaTheme="minorHAnsi"/>
        </w:rPr>
        <w:t>2 tikslas – sukurti sveikatai palankią fizinę darbo ir gyvenamąją aplinką.............................................5</w:t>
      </w:r>
    </w:p>
    <w:p w:rsidR="0047330D" w:rsidRPr="0047330D" w:rsidRDefault="0047330D" w:rsidP="0047330D">
      <w:pPr>
        <w:jc w:val="both"/>
        <w:rPr>
          <w:rFonts w:eastAsiaTheme="minorHAnsi"/>
        </w:rPr>
      </w:pPr>
      <w:r w:rsidRPr="0047330D">
        <w:rPr>
          <w:rFonts w:eastAsiaTheme="minorHAnsi"/>
        </w:rPr>
        <w:t>3 tikslas – formuoti sveiką gyvenseną ir jos kultūrą.............................................................................6</w:t>
      </w:r>
    </w:p>
    <w:p w:rsidR="0047330D" w:rsidRPr="0047330D" w:rsidRDefault="0047330D" w:rsidP="0047330D">
      <w:pPr>
        <w:jc w:val="both"/>
        <w:rPr>
          <w:rFonts w:eastAsiaTheme="minorHAnsi"/>
        </w:rPr>
      </w:pPr>
      <w:r w:rsidRPr="0047330D">
        <w:rPr>
          <w:rFonts w:eastAsiaTheme="minorHAnsi"/>
        </w:rPr>
        <w:t>4 tikslas – užtikrinti kokybišką ir efektyvią sveikatos priežiūra, orientuotą į gyventojų poreikius...............................................................................................................................................6</w:t>
      </w:r>
    </w:p>
    <w:p w:rsidR="0047330D" w:rsidRPr="0047330D" w:rsidRDefault="0047330D" w:rsidP="0047330D">
      <w:pPr>
        <w:jc w:val="both"/>
        <w:rPr>
          <w:rFonts w:eastAsiaTheme="minorHAnsi"/>
        </w:rPr>
      </w:pPr>
      <w:r w:rsidRPr="0047330D">
        <w:rPr>
          <w:rFonts w:eastAsiaTheme="minorHAnsi"/>
        </w:rPr>
        <w:t>SPECIALIOJI DALIS..........................................................................................................................6</w:t>
      </w:r>
    </w:p>
    <w:p w:rsidR="0047330D" w:rsidRPr="0047330D" w:rsidRDefault="0047330D" w:rsidP="0047330D">
      <w:pPr>
        <w:jc w:val="both"/>
        <w:rPr>
          <w:rFonts w:eastAsiaTheme="minorHAnsi"/>
        </w:rPr>
      </w:pPr>
      <w:r w:rsidRPr="0047330D">
        <w:rPr>
          <w:rFonts w:eastAsiaTheme="minorHAnsi"/>
        </w:rPr>
        <w:t>Prioritetinių sričių identifikavimas.......................................................................................................6</w:t>
      </w:r>
    </w:p>
    <w:p w:rsidR="0047330D" w:rsidRPr="0047330D" w:rsidRDefault="0047330D" w:rsidP="0047330D">
      <w:pPr>
        <w:ind w:right="-1"/>
        <w:jc w:val="both"/>
        <w:rPr>
          <w:rFonts w:eastAsiaTheme="minorHAnsi"/>
        </w:rPr>
      </w:pPr>
      <w:r w:rsidRPr="0047330D">
        <w:rPr>
          <w:rFonts w:eastAsiaTheme="minorHAnsi"/>
        </w:rPr>
        <w:t>Nauji tuberkuliozės atvejai....................................................................................................................8</w:t>
      </w:r>
    </w:p>
    <w:p w:rsidR="0047330D" w:rsidRPr="0047330D" w:rsidRDefault="0047330D" w:rsidP="0047330D">
      <w:pPr>
        <w:ind w:right="-1"/>
        <w:jc w:val="both"/>
        <w:rPr>
          <w:rFonts w:eastAsiaTheme="minorHAnsi"/>
        </w:rPr>
      </w:pPr>
      <w:r w:rsidRPr="0047330D">
        <w:rPr>
          <w:rFonts w:eastAsiaTheme="minorHAnsi"/>
        </w:rPr>
        <w:t>Visi tuberkuliozės atvejai......................................................................................................................9</w:t>
      </w:r>
    </w:p>
    <w:p w:rsidR="0047330D" w:rsidRPr="0047330D" w:rsidRDefault="0047330D" w:rsidP="0047330D">
      <w:pPr>
        <w:ind w:right="-1"/>
        <w:jc w:val="both"/>
        <w:rPr>
          <w:rFonts w:eastAsiaTheme="minorHAnsi"/>
        </w:rPr>
      </w:pPr>
      <w:r w:rsidRPr="0047330D">
        <w:rPr>
          <w:rFonts w:eastAsiaTheme="minorHAnsi"/>
        </w:rPr>
        <w:t>Visi vaistams atsparios tuberkuliozės atvejai........................................................................................9</w:t>
      </w:r>
    </w:p>
    <w:p w:rsidR="0047330D" w:rsidRPr="0047330D" w:rsidRDefault="0047330D" w:rsidP="0047330D">
      <w:pPr>
        <w:jc w:val="both"/>
        <w:rPr>
          <w:rFonts w:eastAsiaTheme="minorHAnsi"/>
        </w:rPr>
      </w:pPr>
      <w:r w:rsidRPr="0047330D">
        <w:rPr>
          <w:rFonts w:eastAsiaTheme="minorHAnsi"/>
        </w:rPr>
        <w:t>APIBENDRINIMAS..........................................................................................................................11</w:t>
      </w:r>
    </w:p>
    <w:p w:rsidR="0047330D" w:rsidRPr="0047330D" w:rsidRDefault="0047330D" w:rsidP="0047330D">
      <w:pPr>
        <w:jc w:val="both"/>
        <w:rPr>
          <w:rFonts w:eastAsiaTheme="minorHAnsi"/>
        </w:rPr>
      </w:pPr>
      <w:r w:rsidRPr="0047330D">
        <w:rPr>
          <w:rFonts w:eastAsiaTheme="minorHAnsi"/>
        </w:rPr>
        <w:t>REKOMENDACIJOS........................................................................................................................12</w:t>
      </w:r>
    </w:p>
    <w:p w:rsidR="0047330D" w:rsidRPr="0047330D" w:rsidRDefault="0047330D" w:rsidP="0047330D">
      <w:pPr>
        <w:jc w:val="both"/>
        <w:rPr>
          <w:rFonts w:eastAsiaTheme="minorHAnsi"/>
        </w:rPr>
      </w:pPr>
      <w:r w:rsidRPr="0047330D">
        <w:rPr>
          <w:rFonts w:eastAsiaTheme="minorHAnsi"/>
        </w:rPr>
        <w:t>ŠALTINIAI........................................................................................................................................13</w:t>
      </w:r>
    </w:p>
    <w:p w:rsidR="0047330D" w:rsidRPr="0047330D" w:rsidRDefault="0047330D" w:rsidP="0047330D">
      <w:pPr>
        <w:jc w:val="both"/>
        <w:rPr>
          <w:rFonts w:eastAsiaTheme="minorHAnsi"/>
        </w:rPr>
      </w:pPr>
      <w:r w:rsidRPr="0047330D">
        <w:rPr>
          <w:rFonts w:eastAsiaTheme="minorHAnsi"/>
        </w:rPr>
        <w:t>PRIEDAI............................................................................................................................................14</w:t>
      </w:r>
    </w:p>
    <w:p w:rsidR="0047330D" w:rsidRPr="0047330D" w:rsidRDefault="0047330D" w:rsidP="0047330D">
      <w:pPr>
        <w:spacing w:after="200" w:line="276" w:lineRule="auto"/>
        <w:rPr>
          <w:rFonts w:eastAsiaTheme="minorHAnsi"/>
        </w:rPr>
      </w:pPr>
    </w:p>
    <w:p w:rsidR="0047330D" w:rsidRPr="0047330D" w:rsidRDefault="0047330D" w:rsidP="0047330D">
      <w:pPr>
        <w:jc w:val="center"/>
        <w:rPr>
          <w:rFonts w:eastAsiaTheme="minorHAnsi"/>
        </w:rPr>
      </w:pPr>
    </w:p>
    <w:p w:rsidR="0047330D" w:rsidRPr="0047330D" w:rsidRDefault="0047330D" w:rsidP="0047330D">
      <w:pPr>
        <w:jc w:val="center"/>
        <w:rPr>
          <w:rFonts w:eastAsiaTheme="minorHAnsi"/>
          <w:b/>
          <w:sz w:val="22"/>
          <w:szCs w:val="22"/>
        </w:rPr>
      </w:pPr>
      <w:r w:rsidRPr="0047330D">
        <w:rPr>
          <w:rFonts w:eastAsiaTheme="minorHAnsi"/>
          <w:b/>
          <w:sz w:val="22"/>
          <w:szCs w:val="22"/>
        </w:rPr>
        <w:br w:type="page"/>
      </w:r>
      <w:r w:rsidRPr="0047330D">
        <w:rPr>
          <w:b/>
        </w:rPr>
        <w:lastRenderedPageBreak/>
        <w:t>ĮVADAS</w:t>
      </w:r>
    </w:p>
    <w:p w:rsidR="0047330D" w:rsidRPr="0047330D" w:rsidRDefault="0047330D" w:rsidP="0047330D">
      <w:pPr>
        <w:jc w:val="center"/>
        <w:rPr>
          <w:rFonts w:eastAsiaTheme="minorHAnsi"/>
          <w:sz w:val="22"/>
          <w:szCs w:val="22"/>
        </w:rPr>
      </w:pPr>
    </w:p>
    <w:p w:rsidR="0047330D" w:rsidRPr="0047330D" w:rsidRDefault="0047330D" w:rsidP="0047330D">
      <w:pPr>
        <w:ind w:firstLine="794"/>
        <w:jc w:val="both"/>
        <w:rPr>
          <w:rFonts w:eastAsiaTheme="minorHAnsi"/>
        </w:rPr>
      </w:pPr>
      <w:r w:rsidRPr="0047330D">
        <w:rPr>
          <w:rFonts w:eastAsiaTheme="minorHAnsi"/>
        </w:rPr>
        <w:t>Visuomenės sveikatos stebėsena Klaipėdos miesto</w:t>
      </w:r>
      <w:r w:rsidRPr="0047330D">
        <w:rPr>
          <w:rFonts w:eastAsiaTheme="minorHAnsi"/>
          <w:i/>
          <w:iCs/>
        </w:rPr>
        <w:t xml:space="preserve"> </w:t>
      </w:r>
      <w:r w:rsidRPr="0047330D">
        <w:rPr>
          <w:rFonts w:eastAsiaTheme="minorHAnsi"/>
        </w:rPr>
        <w:t xml:space="preserve">savivaldybėje vykdoma remiantis Bendraisiais savivaldybių visuomenės sveikatos stebėsenos nuostatais, patvirtintais Lietuvos Respublikos sveikatos apsaugos ministro 2003 m. rugpjūčio 11 d. įsakymu Nr. V-488 „Dėl </w:t>
      </w:r>
      <w:r w:rsidR="00404CFA">
        <w:rPr>
          <w:rFonts w:eastAsiaTheme="minorHAnsi"/>
        </w:rPr>
        <w:t>B</w:t>
      </w:r>
      <w:r w:rsidRPr="0047330D">
        <w:rPr>
          <w:rFonts w:eastAsiaTheme="minorHAnsi"/>
        </w:rPr>
        <w:t>endrųjų savivaldybių visuomenės sveikatos stebėsenos nuostatų patvirtinimo“. Pateikiami rodikliai atspindi</w:t>
      </w:r>
      <w:r w:rsidR="00404CFA">
        <w:rPr>
          <w:rFonts w:eastAsiaTheme="minorHAnsi"/>
        </w:rPr>
        <w:t>,</w:t>
      </w:r>
      <w:r w:rsidRPr="0047330D">
        <w:rPr>
          <w:rFonts w:eastAsiaTheme="minorHAnsi"/>
        </w:rPr>
        <w:t xml:space="preserve"> kaip įgyvendinami Lietuvos sveikatos 2014–2025 m. strategijos (LSS) tikslai ir jų uždaviniai. </w:t>
      </w:r>
      <w:r w:rsidR="00404CFA">
        <w:rPr>
          <w:rFonts w:eastAsiaTheme="minorHAnsi"/>
        </w:rPr>
        <w:t>LSS</w:t>
      </w:r>
      <w:r w:rsidRPr="0047330D">
        <w:rPr>
          <w:rFonts w:eastAsiaTheme="minorHAnsi"/>
        </w:rPr>
        <w:t xml:space="preserve"> strateginis tikslas – pasiekti, kad 2025 m. šalies gyventojai būtų sveikesni, pailgėtų jų gyvenimo trukmė, pagerėtų gyventojų sveikata ir sumažėtų sveikatos netolygumai. </w:t>
      </w:r>
      <w:r w:rsidR="00404CFA">
        <w:rPr>
          <w:rFonts w:eastAsiaTheme="minorHAnsi"/>
        </w:rPr>
        <w:t>LSS</w:t>
      </w:r>
      <w:r w:rsidRPr="0047330D">
        <w:rPr>
          <w:rFonts w:eastAsiaTheme="minorHAnsi"/>
        </w:rPr>
        <w:t xml:space="preserve"> nustatyti šie 4 tikslai: </w:t>
      </w:r>
    </w:p>
    <w:p w:rsidR="0047330D" w:rsidRPr="0047330D" w:rsidRDefault="0047330D" w:rsidP="0047330D">
      <w:pPr>
        <w:ind w:firstLine="794"/>
        <w:jc w:val="both"/>
        <w:rPr>
          <w:rFonts w:eastAsiaTheme="minorHAnsi"/>
        </w:rPr>
      </w:pPr>
      <w:r w:rsidRPr="0047330D">
        <w:rPr>
          <w:rFonts w:eastAsiaTheme="minorHAnsi"/>
        </w:rPr>
        <w:t xml:space="preserve">1. Sukurti saugesnę socialinę aplinką, mažinti sveikatos netolygumus ir socialinę atskirtį; </w:t>
      </w:r>
    </w:p>
    <w:p w:rsidR="0047330D" w:rsidRPr="0047330D" w:rsidRDefault="0047330D" w:rsidP="0047330D">
      <w:pPr>
        <w:ind w:firstLine="794"/>
        <w:jc w:val="both"/>
        <w:rPr>
          <w:rFonts w:eastAsiaTheme="minorHAnsi"/>
        </w:rPr>
      </w:pPr>
      <w:r w:rsidRPr="0047330D">
        <w:rPr>
          <w:rFonts w:eastAsiaTheme="minorHAnsi"/>
        </w:rPr>
        <w:t xml:space="preserve">2. Sukurti sveikatai palankią fizinę darbo ir gyvenamąją aplinką; </w:t>
      </w:r>
    </w:p>
    <w:p w:rsidR="0047330D" w:rsidRPr="0047330D" w:rsidRDefault="0047330D" w:rsidP="0047330D">
      <w:pPr>
        <w:ind w:firstLine="794"/>
        <w:jc w:val="both"/>
        <w:rPr>
          <w:rFonts w:eastAsiaTheme="minorHAnsi"/>
        </w:rPr>
      </w:pPr>
      <w:r w:rsidRPr="0047330D">
        <w:rPr>
          <w:rFonts w:eastAsiaTheme="minorHAnsi"/>
        </w:rPr>
        <w:t xml:space="preserve">3. Formuoti sveiką gyvenseną ir jos kultūrą; </w:t>
      </w:r>
    </w:p>
    <w:p w:rsidR="0047330D" w:rsidRPr="0047330D" w:rsidRDefault="0047330D" w:rsidP="0047330D">
      <w:pPr>
        <w:ind w:firstLine="794"/>
        <w:jc w:val="both"/>
        <w:rPr>
          <w:rFonts w:eastAsiaTheme="minorHAnsi"/>
        </w:rPr>
      </w:pPr>
      <w:r w:rsidRPr="0047330D">
        <w:rPr>
          <w:rFonts w:eastAsiaTheme="minorHAnsi"/>
        </w:rPr>
        <w:t>4. Užtikrinti kokybišką ir efektyvią sveikatos priežiūrą, orientuotą į gyventojų poreikius.</w:t>
      </w:r>
    </w:p>
    <w:p w:rsidR="0047330D" w:rsidRPr="0047330D" w:rsidRDefault="0047330D" w:rsidP="0047330D">
      <w:pPr>
        <w:ind w:firstLine="794"/>
        <w:jc w:val="both"/>
        <w:rPr>
          <w:rFonts w:eastAsiaTheme="minorHAnsi"/>
        </w:rPr>
      </w:pPr>
      <w:r w:rsidRPr="0047330D">
        <w:rPr>
          <w:rFonts w:eastAsiaTheme="minorHAnsi"/>
        </w:rPr>
        <w:t>Visuomenės sveikatos stebėsenos savivaldybėje tikslas – nuolat rinkti, analizuoti ir interpretuoti visuomenės sveikatą apibūdinančius rodiklius bei tinkamai informuoti savivaldybės politikus, siekiant efektyvaus valstybinių (valstybės perduotų savivaldybėms) bei savarankiškų visuomenės sveikatos priežiūros funkcijų įgyvendinimo savivaldybės teritorijoje. Savivaldybės visuomenės sveikatos stebėsenos ataskaitos tikslas – pateikti pagrindinius savivaldybės gyventojų sveikatą atspindinčius rodiklius, jų dinamiką ir jų pagrindu pateikti rekomendacijas bei prioritetines kryptis savivaldybės plėtros plano siekiniams, strateginio veiklos plano priemonėms.</w:t>
      </w:r>
    </w:p>
    <w:p w:rsidR="0047330D" w:rsidRPr="0047330D" w:rsidRDefault="0047330D" w:rsidP="0047330D">
      <w:pPr>
        <w:ind w:firstLine="794"/>
        <w:jc w:val="both"/>
        <w:rPr>
          <w:rFonts w:eastAsiaTheme="minorHAnsi"/>
        </w:rPr>
      </w:pPr>
      <w:r w:rsidRPr="0047330D">
        <w:rPr>
          <w:rFonts w:eastAsiaTheme="minorHAnsi"/>
        </w:rPr>
        <w:t>Visuomenės sveikatos stebėsenos ataskaitoje pateikti visuomenės sveikatai reikšmingi rodikliai, kurie susieti su tam tikru Lietuvos sveikatos strategijos tikslu ir uždaviniu.</w:t>
      </w:r>
      <w:r w:rsidRPr="0047330D">
        <w:rPr>
          <w:rFonts w:asciiTheme="minorHAnsi" w:eastAsiaTheme="minorHAnsi" w:hAnsiTheme="minorHAnsi" w:cstheme="minorBidi"/>
          <w:sz w:val="22"/>
          <w:szCs w:val="22"/>
        </w:rPr>
        <w:t xml:space="preserve"> </w:t>
      </w:r>
      <w:r w:rsidRPr="0047330D">
        <w:rPr>
          <w:rFonts w:eastAsiaTheme="minorHAnsi"/>
        </w:rPr>
        <w:t>Ataskaita parengta naudojantis viešai prieinamais sveikatos statistikos duomenų šaltiniais:</w:t>
      </w:r>
    </w:p>
    <w:p w:rsidR="0047330D" w:rsidRPr="0047330D" w:rsidRDefault="0047330D" w:rsidP="00404CFA">
      <w:pPr>
        <w:numPr>
          <w:ilvl w:val="0"/>
          <w:numId w:val="8"/>
        </w:numPr>
        <w:tabs>
          <w:tab w:val="left" w:pos="993"/>
        </w:tabs>
        <w:ind w:left="0" w:firstLine="709"/>
        <w:contextualSpacing/>
        <w:jc w:val="both"/>
        <w:rPr>
          <w:rFonts w:eastAsiaTheme="minorHAnsi"/>
        </w:rPr>
      </w:pPr>
      <w:r w:rsidRPr="0047330D">
        <w:rPr>
          <w:rFonts w:eastAsiaTheme="minorHAnsi"/>
        </w:rPr>
        <w:t>Lietuvos statistikos departamento Oficialiosios statistikos portalu;</w:t>
      </w:r>
    </w:p>
    <w:p w:rsidR="0047330D" w:rsidRPr="0047330D" w:rsidRDefault="0047330D" w:rsidP="00404CFA">
      <w:pPr>
        <w:numPr>
          <w:ilvl w:val="0"/>
          <w:numId w:val="8"/>
        </w:numPr>
        <w:tabs>
          <w:tab w:val="left" w:pos="993"/>
        </w:tabs>
        <w:ind w:left="0" w:firstLine="709"/>
        <w:contextualSpacing/>
        <w:jc w:val="both"/>
        <w:rPr>
          <w:rFonts w:eastAsiaTheme="minorHAnsi"/>
        </w:rPr>
      </w:pPr>
      <w:bookmarkStart w:id="3" w:name="_Hlk87261535"/>
      <w:r w:rsidRPr="0047330D">
        <w:rPr>
          <w:rFonts w:eastAsiaTheme="minorHAnsi"/>
        </w:rPr>
        <w:t>Visuomenės sveikatos stebėsenos informacine sistema sveikstat.hi.lt</w:t>
      </w:r>
      <w:bookmarkEnd w:id="3"/>
      <w:r w:rsidRPr="0047330D">
        <w:rPr>
          <w:rFonts w:eastAsiaTheme="minorHAnsi"/>
        </w:rPr>
        <w:t>.</w:t>
      </w:r>
    </w:p>
    <w:p w:rsidR="0047330D" w:rsidRPr="0047330D" w:rsidRDefault="0047330D" w:rsidP="0047330D">
      <w:pPr>
        <w:jc w:val="center"/>
        <w:rPr>
          <w:rFonts w:eastAsiaTheme="minorHAnsi"/>
          <w:b/>
        </w:rPr>
      </w:pPr>
      <w:r w:rsidRPr="0047330D">
        <w:rPr>
          <w:rFonts w:eastAsiaTheme="minorHAnsi"/>
        </w:rPr>
        <w:br w:type="page"/>
      </w:r>
    </w:p>
    <w:p w:rsidR="0047330D" w:rsidRPr="0047330D" w:rsidRDefault="0047330D" w:rsidP="0047330D">
      <w:pPr>
        <w:jc w:val="center"/>
        <w:rPr>
          <w:b/>
        </w:rPr>
      </w:pPr>
      <w:r w:rsidRPr="0047330D">
        <w:rPr>
          <w:b/>
        </w:rPr>
        <w:lastRenderedPageBreak/>
        <w:t>BENDROJI DALIS</w:t>
      </w:r>
    </w:p>
    <w:p w:rsidR="0047330D" w:rsidRPr="0047330D" w:rsidRDefault="0047330D" w:rsidP="0047330D">
      <w:pPr>
        <w:jc w:val="center"/>
        <w:rPr>
          <w:b/>
        </w:rPr>
      </w:pPr>
    </w:p>
    <w:p w:rsidR="0047330D" w:rsidRPr="0047330D" w:rsidRDefault="0047330D" w:rsidP="0047330D">
      <w:pPr>
        <w:ind w:firstLine="794"/>
        <w:jc w:val="both"/>
        <w:rPr>
          <w:rFonts w:eastAsiaTheme="minorHAnsi"/>
        </w:rPr>
      </w:pPr>
      <w:r w:rsidRPr="0047330D">
        <w:rPr>
          <w:rFonts w:eastAsiaTheme="minorHAnsi"/>
        </w:rPr>
        <w:t>Rodiklių analizė ir interpretavimas atliekamas palyginant einamųjų metų Klaipėdos m</w:t>
      </w:r>
      <w:r w:rsidR="007610BA">
        <w:rPr>
          <w:rFonts w:eastAsiaTheme="minorHAnsi"/>
        </w:rPr>
        <w:t>iesto</w:t>
      </w:r>
      <w:r w:rsidRPr="0047330D">
        <w:rPr>
          <w:rFonts w:eastAsiaTheme="minorHAnsi"/>
        </w:rPr>
        <w:t xml:space="preserve"> sav</w:t>
      </w:r>
      <w:r w:rsidR="007610BA">
        <w:rPr>
          <w:rFonts w:eastAsiaTheme="minorHAnsi"/>
        </w:rPr>
        <w:t>ivaldybės (toliau – Klaipėdos m. sav.)</w:t>
      </w:r>
      <w:r w:rsidRPr="0047330D">
        <w:rPr>
          <w:rFonts w:eastAsiaTheme="minorHAnsi"/>
        </w:rPr>
        <w:t xml:space="preserve"> rodiklius su Lietuvos rodiklio reikšmėmis. Vadovaujantis šviesoforo principu, savivaldybės suskirstytos į grupes:</w:t>
      </w:r>
    </w:p>
    <w:p w:rsidR="0047330D" w:rsidRPr="0047330D" w:rsidRDefault="0047330D" w:rsidP="007610BA">
      <w:pPr>
        <w:tabs>
          <w:tab w:val="left" w:pos="993"/>
        </w:tabs>
        <w:ind w:firstLine="794"/>
        <w:jc w:val="both"/>
        <w:rPr>
          <w:rFonts w:eastAsiaTheme="minorHAnsi"/>
        </w:rPr>
      </w:pPr>
      <w:r w:rsidRPr="0047330D">
        <w:rPr>
          <w:rFonts w:eastAsiaTheme="minorHAnsi"/>
        </w:rPr>
        <w:t>–</w:t>
      </w:r>
      <w:r w:rsidRPr="0047330D">
        <w:rPr>
          <w:rFonts w:eastAsiaTheme="minorHAnsi"/>
        </w:rPr>
        <w:tab/>
        <w:t xml:space="preserve">12 savivaldybių, kuriose stebimas rodiklis atspindi geriausią situaciją, priskiriamos savivaldybių su geriausiais rodikliais grupei ir žymimos žalia spalva; </w:t>
      </w:r>
    </w:p>
    <w:p w:rsidR="0047330D" w:rsidRPr="0047330D" w:rsidRDefault="0047330D" w:rsidP="007610BA">
      <w:pPr>
        <w:tabs>
          <w:tab w:val="left" w:pos="993"/>
        </w:tabs>
        <w:ind w:firstLine="794"/>
        <w:jc w:val="both"/>
        <w:rPr>
          <w:rFonts w:eastAsiaTheme="minorHAnsi"/>
        </w:rPr>
      </w:pPr>
      <w:r w:rsidRPr="0047330D">
        <w:rPr>
          <w:rFonts w:eastAsiaTheme="minorHAnsi"/>
        </w:rPr>
        <w:t>–</w:t>
      </w:r>
      <w:r w:rsidRPr="0047330D">
        <w:rPr>
          <w:rFonts w:eastAsiaTheme="minorHAnsi"/>
        </w:rPr>
        <w:tab/>
        <w:t xml:space="preserve">12 savivaldybių, kuriose stebimas rodiklis – prasčiausias, priskiriamos savivaldybių su prasčiausiais rodikliais grupei ir žymimos raudona spalva; </w:t>
      </w:r>
    </w:p>
    <w:p w:rsidR="0047330D" w:rsidRPr="0047330D" w:rsidRDefault="0047330D" w:rsidP="007610BA">
      <w:pPr>
        <w:tabs>
          <w:tab w:val="left" w:pos="993"/>
        </w:tabs>
        <w:ind w:firstLine="794"/>
        <w:jc w:val="both"/>
        <w:rPr>
          <w:rFonts w:eastAsiaTheme="minorHAnsi"/>
        </w:rPr>
      </w:pPr>
      <w:r w:rsidRPr="0047330D">
        <w:rPr>
          <w:rFonts w:eastAsiaTheme="minorHAnsi"/>
        </w:rPr>
        <w:t>–</w:t>
      </w:r>
      <w:r w:rsidRPr="0047330D">
        <w:rPr>
          <w:rFonts w:eastAsiaTheme="minorHAnsi"/>
        </w:rPr>
        <w:tab/>
        <w:t xml:space="preserve">likusių 36 savivaldybių rodiklio reikšmės žymimos geltona spalva. Šių savivaldybių rodikliai interpretuojami kaip atitinkantys Lietuvos rodiklį. </w:t>
      </w:r>
    </w:p>
    <w:p w:rsidR="0047330D" w:rsidRPr="0047330D" w:rsidRDefault="0047330D" w:rsidP="0047330D">
      <w:pPr>
        <w:ind w:firstLine="794"/>
        <w:jc w:val="both"/>
        <w:rPr>
          <w:rFonts w:eastAsiaTheme="minorHAnsi"/>
        </w:rPr>
      </w:pPr>
      <w:r w:rsidRPr="0047330D">
        <w:rPr>
          <w:rFonts w:eastAsiaTheme="minorHAnsi"/>
        </w:rPr>
        <w:t xml:space="preserve">Rodiklių analizės tikslas yra įvertinti esamą gyventojų sveikatos ir sveikatą lemiančių veiksnių situaciją Klaipėdos m. sav., vertinant ją </w:t>
      </w:r>
      <w:r w:rsidR="00F05F18">
        <w:rPr>
          <w:rFonts w:eastAsiaTheme="minorHAnsi"/>
        </w:rPr>
        <w:t>LSS</w:t>
      </w:r>
      <w:r w:rsidRPr="0047330D">
        <w:rPr>
          <w:rFonts w:eastAsiaTheme="minorHAnsi"/>
        </w:rPr>
        <w:t xml:space="preserve"> tikslų ir uždavinių įgyvendinimo kontekste ir remiantis šia objektyvia informacija planuoti bei įgyvendinti vietines visuomenės sveikatos stiprinimo ir prevencijos priemones. Analizuojamų metų rodiklių duomenys ir jų interpretavimas pateikiami ataskaitos priedo lentelėje „Klaipėdos miesto savivaldybės sveikatos ir su sveikata susijusių rodiklių profilis“. Sudarius Klaipėdos m. sav. probleminių visuomenės sveikatos sričių (temų) sąrašą, buvo atlikta atrinktų rodiklių detalesnė analizė ir vertinimas (žr. skyrių „Specialioji dalis“).</w:t>
      </w:r>
    </w:p>
    <w:p w:rsidR="0047330D" w:rsidRPr="0047330D" w:rsidRDefault="0047330D" w:rsidP="0047330D">
      <w:pPr>
        <w:jc w:val="both"/>
        <w:rPr>
          <w:rFonts w:eastAsiaTheme="minorHAnsi"/>
        </w:rPr>
      </w:pPr>
    </w:p>
    <w:p w:rsidR="0047330D" w:rsidRPr="0047330D" w:rsidRDefault="0047330D" w:rsidP="0047330D">
      <w:pPr>
        <w:keepNext/>
        <w:keepLines/>
        <w:jc w:val="center"/>
        <w:outlineLvl w:val="1"/>
        <w:rPr>
          <w:rFonts w:eastAsiaTheme="majorEastAsia"/>
          <w:b/>
          <w:bCs/>
        </w:rPr>
      </w:pPr>
      <w:r w:rsidRPr="0047330D">
        <w:rPr>
          <w:rFonts w:eastAsiaTheme="majorEastAsia"/>
          <w:b/>
          <w:bCs/>
        </w:rPr>
        <w:t>Demografinė situacija</w:t>
      </w:r>
    </w:p>
    <w:p w:rsidR="0047330D" w:rsidRPr="0047330D" w:rsidRDefault="0047330D" w:rsidP="0047330D">
      <w:pPr>
        <w:ind w:firstLine="709"/>
        <w:jc w:val="both"/>
        <w:rPr>
          <w:rFonts w:eastAsiaTheme="minorHAnsi"/>
        </w:rPr>
      </w:pPr>
    </w:p>
    <w:p w:rsidR="0047330D" w:rsidRPr="0047330D" w:rsidRDefault="0047330D" w:rsidP="0047330D">
      <w:pPr>
        <w:ind w:firstLine="794"/>
        <w:jc w:val="both"/>
        <w:rPr>
          <w:rFonts w:eastAsiaTheme="minorHAnsi"/>
        </w:rPr>
      </w:pPr>
      <w:bookmarkStart w:id="4" w:name="_Hlk116567519"/>
      <w:bookmarkStart w:id="5" w:name="_Hlk86330395"/>
      <w:r w:rsidRPr="0047330D">
        <w:rPr>
          <w:rFonts w:eastAsiaTheme="minorHAnsi"/>
        </w:rPr>
        <w:t>Gyventojų skaičius Klaipėdoje kasmet mažėjo iki 2021 metų. 2022 metų pradžioje Klaipėdoje gyveno 152 237 gyventojai – 3</w:t>
      </w:r>
      <w:r w:rsidR="00354837">
        <w:rPr>
          <w:rFonts w:eastAsiaTheme="minorHAnsi"/>
        </w:rPr>
        <w:t> </w:t>
      </w:r>
      <w:r w:rsidRPr="0047330D">
        <w:rPr>
          <w:rFonts w:eastAsiaTheme="minorHAnsi"/>
        </w:rPr>
        <w:t>181</w:t>
      </w:r>
      <w:r w:rsidR="00354837">
        <w:rPr>
          <w:rFonts w:eastAsiaTheme="minorHAnsi"/>
        </w:rPr>
        <w:t>,</w:t>
      </w:r>
      <w:r w:rsidRPr="0047330D">
        <w:rPr>
          <w:rFonts w:eastAsiaTheme="minorHAnsi"/>
        </w:rPr>
        <w:t xml:space="preserve"> arba 2,13 proc.</w:t>
      </w:r>
      <w:r w:rsidR="00354837">
        <w:rPr>
          <w:rFonts w:eastAsiaTheme="minorHAnsi"/>
        </w:rPr>
        <w:t>,</w:t>
      </w:r>
      <w:r w:rsidRPr="0047330D">
        <w:rPr>
          <w:rFonts w:eastAsiaTheme="minorHAnsi"/>
        </w:rPr>
        <w:t xml:space="preserve"> daugiau gyventojų nei 2021 metų pradžioje. 2022 metų pradžioje moterų buvo 12 617 daugiau nei vyrų (atitinkamai 82 427 ir 69 810) ir jos sudarė 54,1 proc. visų Klaipėdos miesto gyventojų.</w:t>
      </w:r>
    </w:p>
    <w:p w:rsidR="0047330D" w:rsidRPr="0047330D" w:rsidRDefault="0047330D" w:rsidP="0047330D">
      <w:pPr>
        <w:ind w:firstLine="794"/>
        <w:jc w:val="both"/>
        <w:rPr>
          <w:rFonts w:eastAsiaTheme="minorHAnsi"/>
          <w:highlight w:val="yellow"/>
        </w:rPr>
      </w:pPr>
      <w:r w:rsidRPr="0047330D">
        <w:rPr>
          <w:rFonts w:eastAsiaTheme="minorHAnsi"/>
        </w:rPr>
        <w:t>2022 metų pradžioje Klaipėdos mieste didžiąją gyventojų dalį sudarė darbingo amžiaus gyventojai (95</w:t>
      </w:r>
      <w:r w:rsidR="00354837">
        <w:rPr>
          <w:rFonts w:eastAsiaTheme="minorHAnsi"/>
        </w:rPr>
        <w:t> </w:t>
      </w:r>
      <w:r w:rsidRPr="0047330D">
        <w:rPr>
          <w:rFonts w:eastAsiaTheme="minorHAnsi"/>
        </w:rPr>
        <w:t>565</w:t>
      </w:r>
      <w:r w:rsidR="00354837">
        <w:rPr>
          <w:rFonts w:eastAsiaTheme="minorHAnsi"/>
        </w:rPr>
        <w:t>,</w:t>
      </w:r>
      <w:r w:rsidRPr="0047330D">
        <w:rPr>
          <w:rFonts w:eastAsiaTheme="minorHAnsi"/>
        </w:rPr>
        <w:t xml:space="preserve"> arba 62,8 proc.). Klaipėdos m. sav. gyvena daugiau pensinio amžiaus žmonių nei vaikų iki 15 metų amžiaus (atitinkamai 31</w:t>
      </w:r>
      <w:r w:rsidR="00354837">
        <w:rPr>
          <w:rFonts w:eastAsiaTheme="minorHAnsi"/>
        </w:rPr>
        <w:t> </w:t>
      </w:r>
      <w:r w:rsidRPr="0047330D">
        <w:rPr>
          <w:rFonts w:eastAsiaTheme="minorHAnsi"/>
        </w:rPr>
        <w:t>348</w:t>
      </w:r>
      <w:r w:rsidR="00354837">
        <w:rPr>
          <w:rFonts w:eastAsiaTheme="minorHAnsi"/>
        </w:rPr>
        <w:t>,</w:t>
      </w:r>
      <w:r w:rsidRPr="0047330D">
        <w:rPr>
          <w:rFonts w:eastAsiaTheme="minorHAnsi"/>
        </w:rPr>
        <w:t xml:space="preserve"> arba 20,6 proc.</w:t>
      </w:r>
      <w:r w:rsidR="00354837">
        <w:rPr>
          <w:rFonts w:eastAsiaTheme="minorHAnsi"/>
        </w:rPr>
        <w:t>,</w:t>
      </w:r>
      <w:r w:rsidRPr="0047330D">
        <w:rPr>
          <w:rFonts w:eastAsiaTheme="minorHAnsi"/>
        </w:rPr>
        <w:t xml:space="preserve"> ir 25</w:t>
      </w:r>
      <w:r w:rsidR="00354837">
        <w:rPr>
          <w:rFonts w:eastAsiaTheme="minorHAnsi"/>
        </w:rPr>
        <w:t> </w:t>
      </w:r>
      <w:r w:rsidRPr="0047330D">
        <w:rPr>
          <w:rFonts w:eastAsiaTheme="minorHAnsi"/>
        </w:rPr>
        <w:t>324</w:t>
      </w:r>
      <w:r w:rsidR="00354837">
        <w:rPr>
          <w:rFonts w:eastAsiaTheme="minorHAnsi"/>
        </w:rPr>
        <w:t>,</w:t>
      </w:r>
      <w:r w:rsidRPr="0047330D">
        <w:rPr>
          <w:rFonts w:eastAsiaTheme="minorHAnsi"/>
        </w:rPr>
        <w:t xml:space="preserve"> arba 16,6 proc.), tai reiškia, kad Klaipėdos miesto gyventojai senėja. 2022 metų pradžioje vidutinis Klaipėdos miesto gyventojų amžius buvo 43 metai: vyrų – 40 metų, moterų – 46 metai.</w:t>
      </w:r>
    </w:p>
    <w:p w:rsidR="0047330D" w:rsidRPr="0047330D" w:rsidRDefault="0047330D" w:rsidP="0047330D">
      <w:pPr>
        <w:ind w:firstLine="794"/>
        <w:jc w:val="both"/>
        <w:rPr>
          <w:rFonts w:eastAsiaTheme="minorHAnsi"/>
        </w:rPr>
      </w:pPr>
      <w:bookmarkStart w:id="6" w:name="_Hlk23768422"/>
      <w:r w:rsidRPr="0047330D">
        <w:rPr>
          <w:rFonts w:eastAsiaTheme="minorHAnsi"/>
        </w:rPr>
        <w:t>2021 metais Klaipėdoje natūralios gyventojų kaitos rodiklis buvo neigiamas (-1 093 asmenys). Per metus gimė 1 408 kūdikiai (680 berniukų ir 728 mergaitės), tai sudarė 6 proc. visų Lietuvoje gimusių vaikų. Gimstamumo rodiklis 1 000-iui gyventojų buvo 9,3 (Lietuvoje – 8,3). Per metus Klaipėdoje mirė 2 501 asmuo (1 185 vyrai ir 1 316 moterų), tai 186 asmenimis</w:t>
      </w:r>
      <w:r w:rsidR="00354837">
        <w:rPr>
          <w:rFonts w:eastAsiaTheme="minorHAnsi"/>
        </w:rPr>
        <w:t>,</w:t>
      </w:r>
      <w:r w:rsidRPr="0047330D">
        <w:rPr>
          <w:rFonts w:eastAsiaTheme="minorHAnsi"/>
        </w:rPr>
        <w:t xml:space="preserve"> arba 8 proc.</w:t>
      </w:r>
      <w:r w:rsidR="00354837">
        <w:rPr>
          <w:rFonts w:eastAsiaTheme="minorHAnsi"/>
        </w:rPr>
        <w:t>,</w:t>
      </w:r>
      <w:r w:rsidRPr="0047330D">
        <w:rPr>
          <w:rFonts w:eastAsiaTheme="minorHAnsi"/>
        </w:rPr>
        <w:t xml:space="preserve"> daugiau nei 2020 metais (2020 metais mirė 2 315 asmenų). Mirtingumo rodiklis 1000-iui gyventojų Klaipėdos mieste siekė 16,4, o Lietuvoje – 17. 2021 metais Klaipėdoje mirę asmenys sudarė 5,3 proc. visoje Lietuvoje mirusių asmenų.</w:t>
      </w:r>
    </w:p>
    <w:bookmarkEnd w:id="4"/>
    <w:p w:rsidR="0047330D" w:rsidRPr="0047330D" w:rsidRDefault="0047330D" w:rsidP="0047330D">
      <w:pPr>
        <w:ind w:firstLine="794"/>
        <w:jc w:val="both"/>
        <w:rPr>
          <w:rFonts w:eastAsiaTheme="minorHAnsi"/>
        </w:rPr>
      </w:pPr>
      <w:r w:rsidRPr="0047330D">
        <w:rPr>
          <w:rFonts w:eastAsiaTheme="minorHAnsi"/>
        </w:rPr>
        <w:t>2021 metais Klaipėdoje vidaus migracijos neto rodiklis buvo teigiamas (1 322 asmenys).</w:t>
      </w:r>
      <w:bookmarkEnd w:id="5"/>
      <w:r w:rsidRPr="0047330D">
        <w:rPr>
          <w:rFonts w:eastAsiaTheme="minorHAnsi"/>
        </w:rPr>
        <w:t xml:space="preserve"> Tai rodo, kad per metus į Klaipėdą iš kitų Lietuvos vietovių atvyko daugiau gyventojų nei iš jos išvyko.</w:t>
      </w:r>
    </w:p>
    <w:p w:rsidR="0047330D" w:rsidRPr="0047330D" w:rsidRDefault="0047330D" w:rsidP="0047330D">
      <w:pPr>
        <w:ind w:firstLine="794"/>
        <w:jc w:val="both"/>
        <w:rPr>
          <w:rFonts w:eastAsiaTheme="minorHAnsi"/>
        </w:rPr>
      </w:pPr>
      <w:r w:rsidRPr="0047330D">
        <w:rPr>
          <w:rFonts w:eastAsiaTheme="minorHAnsi"/>
        </w:rPr>
        <w:t>Klaipėdos mieste aktualus gyventojų senėjimo klausimas, demografinę situaciją patogu stebėti pasitelkiant demografinio medžio grafiką, kuriame pateikiamas savivaldybės gyventojų pasiskirstymas pagal lytį ir amžiaus grupes 2009 ir 2022 metų pradžioje (1 pav.). Klaipėdos mieste ž</w:t>
      </w:r>
      <w:r w:rsidR="00555CD3">
        <w:rPr>
          <w:rFonts w:eastAsiaTheme="minorHAnsi"/>
        </w:rPr>
        <w:t>ym</w:t>
      </w:r>
      <w:r w:rsidRPr="0047330D">
        <w:rPr>
          <w:rFonts w:eastAsiaTheme="minorHAnsi"/>
        </w:rPr>
        <w:t>iai išaugo (1,5 karto) 60</w:t>
      </w:r>
      <w:r w:rsidR="00547A9E">
        <w:rPr>
          <w:rFonts w:eastAsiaTheme="minorHAnsi"/>
        </w:rPr>
        <w:t>–</w:t>
      </w:r>
      <w:r w:rsidRPr="0047330D">
        <w:rPr>
          <w:rFonts w:eastAsiaTheme="minorHAnsi"/>
        </w:rPr>
        <w:t>64 metų amžiaus moterų ir vyrų skaičius</w:t>
      </w:r>
      <w:r w:rsidR="00547A9E">
        <w:rPr>
          <w:rFonts w:eastAsiaTheme="minorHAnsi"/>
        </w:rPr>
        <w:t>,</w:t>
      </w:r>
      <w:r w:rsidRPr="0047330D">
        <w:rPr>
          <w:rFonts w:eastAsiaTheme="minorHAnsi"/>
        </w:rPr>
        <w:t xml:space="preserve"> lyginant su 2009 metais, o beveik 2 kartus sumažėjo 15</w:t>
      </w:r>
      <w:r w:rsidR="00547A9E">
        <w:rPr>
          <w:rFonts w:eastAsiaTheme="minorHAnsi"/>
        </w:rPr>
        <w:t>–</w:t>
      </w:r>
      <w:r w:rsidRPr="0047330D">
        <w:rPr>
          <w:rFonts w:eastAsiaTheme="minorHAnsi"/>
        </w:rPr>
        <w:t>24 metų amžiaus moterų ir vyrų dalis.</w:t>
      </w:r>
    </w:p>
    <w:p w:rsidR="0047330D" w:rsidRPr="0047330D" w:rsidRDefault="0047330D" w:rsidP="0047330D">
      <w:pPr>
        <w:jc w:val="center"/>
        <w:rPr>
          <w:rFonts w:eastAsiaTheme="minorHAnsi"/>
        </w:rPr>
      </w:pPr>
      <w:r w:rsidRPr="0047330D">
        <w:rPr>
          <w:rFonts w:eastAsiaTheme="minorHAnsi"/>
          <w:noProof/>
          <w:lang w:eastAsia="lt-LT"/>
        </w:rPr>
        <mc:AlternateContent>
          <mc:Choice Requires="wps">
            <w:drawing>
              <wp:anchor distT="0" distB="0" distL="114300" distR="114300" simplePos="0" relativeHeight="251659264" behindDoc="0" locked="0" layoutInCell="1" allowOverlap="1" wp14:anchorId="4B298D14" wp14:editId="14160658">
                <wp:simplePos x="0" y="0"/>
                <wp:positionH relativeFrom="margin">
                  <wp:posOffset>5109845</wp:posOffset>
                </wp:positionH>
                <wp:positionV relativeFrom="paragraph">
                  <wp:posOffset>765810</wp:posOffset>
                </wp:positionV>
                <wp:extent cx="1191260" cy="6477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191260" cy="647700"/>
                        </a:xfrm>
                        <a:prstGeom prst="rect">
                          <a:avLst/>
                        </a:prstGeom>
                        <a:noFill/>
                        <a:ln w="6350">
                          <a:noFill/>
                        </a:ln>
                      </wps:spPr>
                      <wps:txbx>
                        <w:txbxContent>
                          <w:p w:rsidR="0047330D" w:rsidRDefault="0047330D" w:rsidP="0047330D">
                            <w:pPr>
                              <w:rPr>
                                <w:sz w:val="20"/>
                                <w:szCs w:val="20"/>
                              </w:rPr>
                            </w:pPr>
                            <w:r w:rsidRPr="00EF426C">
                              <w:rPr>
                                <w:sz w:val="20"/>
                                <w:szCs w:val="20"/>
                              </w:rPr>
                              <w:t xml:space="preserve"> </w:t>
                            </w:r>
                            <w:r w:rsidRPr="003053CA">
                              <w:rPr>
                                <w:noProof/>
                                <w:sz w:val="20"/>
                                <w:szCs w:val="20"/>
                                <w:lang w:eastAsia="lt-LT"/>
                              </w:rPr>
                              <w:drawing>
                                <wp:inline distT="0" distB="0" distL="0" distR="0" wp14:anchorId="5F58A536" wp14:editId="66C6F1F7">
                                  <wp:extent cx="190500" cy="161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EF426C">
                              <w:rPr>
                                <w:sz w:val="20"/>
                                <w:szCs w:val="20"/>
                              </w:rPr>
                              <w:t xml:space="preserve"> 200</w:t>
                            </w:r>
                            <w:r>
                              <w:rPr>
                                <w:sz w:val="20"/>
                                <w:szCs w:val="20"/>
                              </w:rPr>
                              <w:t>9</w:t>
                            </w:r>
                            <w:r w:rsidRPr="00EF426C">
                              <w:rPr>
                                <w:sz w:val="20"/>
                                <w:szCs w:val="20"/>
                              </w:rPr>
                              <w:t xml:space="preserve"> m. pr.</w:t>
                            </w:r>
                          </w:p>
                          <w:p w:rsidR="0047330D" w:rsidRPr="0073536E" w:rsidRDefault="0047330D" w:rsidP="0047330D">
                            <w:pPr>
                              <w:rPr>
                                <w:sz w:val="16"/>
                                <w:szCs w:val="16"/>
                              </w:rPr>
                            </w:pPr>
                          </w:p>
                          <w:p w:rsidR="0047330D" w:rsidRPr="00EF426C" w:rsidRDefault="0047330D" w:rsidP="0047330D">
                            <w:pPr>
                              <w:rPr>
                                <w:sz w:val="20"/>
                                <w:szCs w:val="20"/>
                              </w:rPr>
                            </w:pPr>
                            <w:r w:rsidRPr="00EF426C">
                              <w:rPr>
                                <w:sz w:val="20"/>
                                <w:szCs w:val="20"/>
                              </w:rPr>
                              <w:t xml:space="preserve"> </w:t>
                            </w:r>
                            <w:r w:rsidRPr="003053CA">
                              <w:rPr>
                                <w:noProof/>
                                <w:sz w:val="20"/>
                                <w:szCs w:val="20"/>
                                <w:lang w:eastAsia="lt-LT"/>
                              </w:rPr>
                              <w:drawing>
                                <wp:inline distT="0" distB="0" distL="0" distR="0" wp14:anchorId="793D7967" wp14:editId="46675B1B">
                                  <wp:extent cx="190500" cy="1619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EF426C">
                              <w:rPr>
                                <w:sz w:val="20"/>
                                <w:szCs w:val="20"/>
                              </w:rPr>
                              <w:t xml:space="preserve"> 20</w:t>
                            </w:r>
                            <w:r>
                              <w:rPr>
                                <w:sz w:val="20"/>
                                <w:szCs w:val="20"/>
                              </w:rPr>
                              <w:t>22</w:t>
                            </w:r>
                            <w:r w:rsidRPr="00EF426C">
                              <w:rPr>
                                <w:sz w:val="20"/>
                                <w:szCs w:val="20"/>
                              </w:rPr>
                              <w:t xml:space="preserve"> m. pr. </w:t>
                            </w:r>
                          </w:p>
                          <w:p w:rsidR="0047330D" w:rsidRDefault="0047330D" w:rsidP="0047330D"/>
                          <w:p w:rsidR="0047330D" w:rsidRDefault="0047330D" w:rsidP="004733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4B298D14" id="_x0000_t202" coordsize="21600,21600" o:spt="202" path="m,l,21600r21600,l21600,xe">
                <v:stroke joinstyle="miter"/>
                <v:path gradientshapeok="t" o:connecttype="rect"/>
              </v:shapetype>
              <v:shape id="Text Box 8" o:spid="_x0000_s1026" type="#_x0000_t202" style="position:absolute;left:0;text-align:left;margin-left:402.35pt;margin-top:60.3pt;width:93.8pt;height: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58/xKwIAAFEEAAAOAAAAZHJzL2Uyb0RvYy54bWysVN9v2jAQfp+0/8Hy+0jCKLQRoWKtmCah thJUfTaOTSLFPs82JOyv39kJFHV7mvbinH2/v+8u8/tONeQorKtBFzQbpZQIzaGs9b6gr9vVl1tK nGe6ZA1oUdCTcPR+8fnTvDW5GEMFTSkswSDa5a0paOW9yZPE8Uoo5kZghEalBKuYx6vdJ6VlLUZX TTJO02nSgi2NBS6cw9fHXkkXMb6UgvtnKZ3wpCko1ubjaeO5C2eymLN8b5mpaj6Uwf6hCsVqjUkv oR6ZZ+Rg6z9CqZpbcCD9iINKQMqai9gDdpOlH7rZVMyI2AuC48wFJvf/wvKn44sldVlQJEozhRRt RefJN+jIbUCnNS5Ho41BM9/hM7J8fnf4GJrupFXhi+0Q1CPOpwu2IRgPTtldNp6iiqNuOpnN0gh+ 8u5trPPfBSgShIJa5C5Cyo5r57ESND2bhGQaVnXTRP4aTVoM+vUmjQ4XDXo0Gh1DD32tQfLdrhsa 20F5wr4s9HPhDF/VmHzNnH9hFgcB68Xh9s94yAYwCQwSJRXYX397D/bID2opaXGwCup+HpgVlDQ/ NDJ3l00mYRLjZXIzG+PFXmt21xp9UA+As5vhGhkexWDvm7MoLag33IFlyIoqpjnmLqg/iw++H3fc IS6Wy2iEs2eYX+uN4SF0gDNAu+3emDUD/h6Ze4LzCLL8Aw29bU/E8uBB1pGjAHCP6oA7zm2kbtix sBjX92j1/idY/AYAAP//AwBQSwMEFAAGAAgAAAAhAFudwrriAAAACwEAAA8AAABkcnMvZG93bnJl di54bWxMj8FOwzAQRO9I/IO1SNyojYGQpnGqKlKFhOihpZfeNrGbRMTrELtt4OsxJziu5mnmbb6c bM/OZvSdIwX3MwHMUO10R42C/fv6LgXmA5LG3pFR8GU8LIvrqxwz7S60NeddaFgsIZ+hgjaEIePc 162x6GduMBSzoxsthniODdcjXmK57bkUIuEWO4oLLQ6mbE39sTtZBa/leoPbStr0uy9f3o6r4XN/ eFLq9mZaLYAFM4U/GH71ozoU0alyJ9Ke9QpS8fgc0RhIkQCLxHwuH4BVCqSUCfAi5/9/KH4AAAD/ /wMAUEsBAi0AFAAGAAgAAAAhALaDOJL+AAAA4QEAABMAAAAAAAAAAAAAAAAAAAAAAFtDb250ZW50 X1R5cGVzXS54bWxQSwECLQAUAAYACAAAACEAOP0h/9YAAACUAQAACwAAAAAAAAAAAAAAAAAvAQAA X3JlbHMvLnJlbHNQSwECLQAUAAYACAAAACEAgefP8SsCAABRBAAADgAAAAAAAAAAAAAAAAAuAgAA ZHJzL2Uyb0RvYy54bWxQSwECLQAUAAYACAAAACEAW53CuuIAAAALAQAADwAAAAAAAAAAAAAAAACF BAAAZHJzL2Rvd25yZXYueG1sUEsFBgAAAAAEAAQA8wAAAJQFAAAAAA== " filled="f" stroked="f" strokeweight=".5pt">
                <v:textbox>
                  <w:txbxContent>
                    <w:p w:rsidR="0047330D" w:rsidRDefault="0047330D" w:rsidP="0047330D">
                      <w:pPr>
                        <w:rPr>
                          <w:sz w:val="20"/>
                          <w:szCs w:val="20"/>
                        </w:rPr>
                      </w:pPr>
                      <w:r w:rsidRPr="00EF426C">
                        <w:rPr>
                          <w:sz w:val="20"/>
                          <w:szCs w:val="20"/>
                        </w:rPr>
                        <w:t xml:space="preserve"> </w:t>
                      </w:r>
                      <w:r w:rsidRPr="003053CA">
                        <w:rPr>
                          <w:noProof/>
                          <w:sz w:val="20"/>
                          <w:szCs w:val="20"/>
                          <w:lang w:eastAsia="lt-LT"/>
                        </w:rPr>
                        <w:drawing>
                          <wp:inline distT="0" distB="0" distL="0" distR="0" wp14:anchorId="5F58A536" wp14:editId="66C6F1F7">
                            <wp:extent cx="190500" cy="161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EF426C">
                        <w:rPr>
                          <w:sz w:val="20"/>
                          <w:szCs w:val="20"/>
                        </w:rPr>
                        <w:t xml:space="preserve"> 200</w:t>
                      </w:r>
                      <w:r>
                        <w:rPr>
                          <w:sz w:val="20"/>
                          <w:szCs w:val="20"/>
                        </w:rPr>
                        <w:t>9</w:t>
                      </w:r>
                      <w:r w:rsidRPr="00EF426C">
                        <w:rPr>
                          <w:sz w:val="20"/>
                          <w:szCs w:val="20"/>
                        </w:rPr>
                        <w:t xml:space="preserve"> m. pr.</w:t>
                      </w:r>
                    </w:p>
                    <w:p w:rsidR="0047330D" w:rsidRPr="0073536E" w:rsidRDefault="0047330D" w:rsidP="0047330D">
                      <w:pPr>
                        <w:rPr>
                          <w:sz w:val="16"/>
                          <w:szCs w:val="16"/>
                        </w:rPr>
                      </w:pPr>
                    </w:p>
                    <w:p w:rsidR="0047330D" w:rsidRPr="00EF426C" w:rsidRDefault="0047330D" w:rsidP="0047330D">
                      <w:pPr>
                        <w:rPr>
                          <w:sz w:val="20"/>
                          <w:szCs w:val="20"/>
                        </w:rPr>
                      </w:pPr>
                      <w:r w:rsidRPr="00EF426C">
                        <w:rPr>
                          <w:sz w:val="20"/>
                          <w:szCs w:val="20"/>
                        </w:rPr>
                        <w:t xml:space="preserve"> </w:t>
                      </w:r>
                      <w:r w:rsidRPr="003053CA">
                        <w:rPr>
                          <w:noProof/>
                          <w:sz w:val="20"/>
                          <w:szCs w:val="20"/>
                          <w:lang w:eastAsia="lt-LT"/>
                        </w:rPr>
                        <w:drawing>
                          <wp:inline distT="0" distB="0" distL="0" distR="0" wp14:anchorId="793D7967" wp14:editId="46675B1B">
                            <wp:extent cx="190500" cy="1619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EF426C">
                        <w:rPr>
                          <w:sz w:val="20"/>
                          <w:szCs w:val="20"/>
                        </w:rPr>
                        <w:t xml:space="preserve"> 20</w:t>
                      </w:r>
                      <w:r>
                        <w:rPr>
                          <w:sz w:val="20"/>
                          <w:szCs w:val="20"/>
                        </w:rPr>
                        <w:t>22</w:t>
                      </w:r>
                      <w:r w:rsidRPr="00EF426C">
                        <w:rPr>
                          <w:sz w:val="20"/>
                          <w:szCs w:val="20"/>
                        </w:rPr>
                        <w:t xml:space="preserve"> m. pr. </w:t>
                      </w:r>
                    </w:p>
                    <w:p w:rsidR="0047330D" w:rsidRDefault="0047330D" w:rsidP="0047330D"/>
                    <w:p w:rsidR="0047330D" w:rsidRDefault="0047330D" w:rsidP="0047330D"/>
                  </w:txbxContent>
                </v:textbox>
                <w10:wrap anchorx="margin"/>
              </v:shape>
            </w:pict>
          </mc:Fallback>
        </mc:AlternateContent>
      </w:r>
      <w:r w:rsidRPr="0047330D">
        <w:rPr>
          <w:rFonts w:asciiTheme="minorHAnsi" w:eastAsiaTheme="minorHAnsi" w:hAnsiTheme="minorHAnsi" w:cstheme="minorBidi"/>
          <w:noProof/>
          <w:sz w:val="22"/>
          <w:szCs w:val="22"/>
          <w:lang w:eastAsia="lt-LT"/>
        </w:rPr>
        <w:drawing>
          <wp:inline distT="0" distB="0" distL="0" distR="0" wp14:anchorId="2BFE1BC9" wp14:editId="4E7CC23D">
            <wp:extent cx="3057525" cy="3242945"/>
            <wp:effectExtent l="0" t="0" r="0" b="0"/>
            <wp:docPr id="2" name="Chart 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CC3DF64-12C4-46BB-9BB4-AE5A1992F6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47330D">
        <w:rPr>
          <w:rFonts w:asciiTheme="minorHAnsi" w:eastAsiaTheme="minorHAnsi" w:hAnsiTheme="minorHAnsi" w:cstheme="minorBidi"/>
          <w:noProof/>
          <w:sz w:val="22"/>
          <w:szCs w:val="22"/>
          <w:lang w:eastAsia="lt-LT"/>
        </w:rPr>
        <w:drawing>
          <wp:inline distT="0" distB="0" distL="0" distR="0" wp14:anchorId="23347E4C" wp14:editId="2FDDDECF">
            <wp:extent cx="2476500" cy="3242945"/>
            <wp:effectExtent l="0" t="0" r="0" b="0"/>
            <wp:docPr id="4" name="Chart 4">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65DB065-554C-4278-A585-ADB3F2A410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6"/>
    <w:p w:rsidR="0047330D" w:rsidRPr="0047330D" w:rsidRDefault="0047330D" w:rsidP="0047330D">
      <w:pPr>
        <w:tabs>
          <w:tab w:val="left" w:pos="709"/>
          <w:tab w:val="left" w:pos="1134"/>
        </w:tabs>
        <w:jc w:val="center"/>
        <w:rPr>
          <w:rFonts w:eastAsiaTheme="minorHAnsi"/>
          <w:sz w:val="22"/>
          <w:szCs w:val="22"/>
        </w:rPr>
      </w:pPr>
      <w:r w:rsidRPr="0047330D">
        <w:rPr>
          <w:rFonts w:eastAsiaTheme="minorHAnsi"/>
          <w:i/>
          <w:sz w:val="22"/>
          <w:szCs w:val="22"/>
        </w:rPr>
        <w:t>1 pav.</w:t>
      </w:r>
      <w:r w:rsidRPr="0047330D">
        <w:rPr>
          <w:rFonts w:eastAsiaTheme="minorHAnsi"/>
          <w:b/>
          <w:sz w:val="22"/>
          <w:szCs w:val="22"/>
        </w:rPr>
        <w:t xml:space="preserve"> Klaipėdos m. sav. demografinis medis, 2009 ir 2022 metai</w:t>
      </w:r>
    </w:p>
    <w:p w:rsidR="0047330D" w:rsidRPr="0047330D" w:rsidRDefault="0047330D" w:rsidP="0047330D">
      <w:pPr>
        <w:tabs>
          <w:tab w:val="left" w:pos="709"/>
          <w:tab w:val="left" w:pos="1134"/>
        </w:tabs>
        <w:jc w:val="center"/>
        <w:rPr>
          <w:rFonts w:eastAsiaTheme="minorHAnsi"/>
          <w:sz w:val="20"/>
          <w:szCs w:val="20"/>
        </w:rPr>
      </w:pPr>
      <w:r w:rsidRPr="0047330D">
        <w:rPr>
          <w:rFonts w:eastAsiaTheme="minorHAnsi"/>
          <w:sz w:val="20"/>
          <w:szCs w:val="20"/>
        </w:rPr>
        <w:t>Šaltinis: Lietuvos statistikos departamentas</w:t>
      </w:r>
    </w:p>
    <w:p w:rsidR="0047330D" w:rsidRPr="0047330D" w:rsidRDefault="0047330D" w:rsidP="0047330D">
      <w:pPr>
        <w:tabs>
          <w:tab w:val="left" w:pos="709"/>
          <w:tab w:val="left" w:pos="1134"/>
        </w:tabs>
        <w:jc w:val="both"/>
        <w:rPr>
          <w:rFonts w:eastAsiaTheme="minorHAnsi"/>
          <w:color w:val="FF0000"/>
        </w:rPr>
      </w:pPr>
    </w:p>
    <w:p w:rsidR="0047330D" w:rsidRPr="0047330D" w:rsidRDefault="0047330D" w:rsidP="0047330D">
      <w:pPr>
        <w:keepNext/>
        <w:keepLines/>
        <w:jc w:val="center"/>
        <w:outlineLvl w:val="1"/>
        <w:rPr>
          <w:rFonts w:eastAsiaTheme="majorEastAsia"/>
          <w:b/>
          <w:bCs/>
        </w:rPr>
      </w:pPr>
      <w:bookmarkStart w:id="7" w:name="_Toc496874349"/>
      <w:r w:rsidRPr="0047330D">
        <w:rPr>
          <w:rFonts w:eastAsiaTheme="majorEastAsia"/>
          <w:b/>
          <w:bCs/>
        </w:rPr>
        <w:t>Strateginio tikslo siekimas</w:t>
      </w:r>
      <w:bookmarkEnd w:id="7"/>
    </w:p>
    <w:p w:rsidR="0047330D" w:rsidRPr="0047330D" w:rsidRDefault="0047330D" w:rsidP="0047330D">
      <w:pPr>
        <w:keepNext/>
        <w:keepLines/>
        <w:ind w:firstLine="709"/>
        <w:jc w:val="center"/>
        <w:outlineLvl w:val="1"/>
        <w:rPr>
          <w:rFonts w:eastAsiaTheme="majorEastAsia"/>
          <w:b/>
          <w:bCs/>
        </w:rPr>
      </w:pPr>
    </w:p>
    <w:p w:rsidR="0047330D" w:rsidRPr="0047330D" w:rsidRDefault="0047330D" w:rsidP="0047330D">
      <w:pPr>
        <w:ind w:firstLine="794"/>
        <w:jc w:val="both"/>
        <w:rPr>
          <w:rFonts w:eastAsiaTheme="minorHAnsi"/>
        </w:rPr>
      </w:pPr>
      <w:r w:rsidRPr="0047330D">
        <w:rPr>
          <w:rFonts w:eastAsiaTheme="minorHAnsi"/>
        </w:rPr>
        <w:t xml:space="preserve">LSS numatytas strateginis tikslas – pasiekti, kad 2025 metais šalies gyventojai būtų sveikesni ir gyventų ilgiau, pagerėtų gyventojų sveikata ir sumažėtų sveikatos netolygumai. Šiam strateginiam tikslui matuoti yra numatyti 2 rodiklių – vidutinės gyvenimo trukmės ir išvengiamo mirtingumo – stebėjimas. </w:t>
      </w:r>
    </w:p>
    <w:p w:rsidR="0047330D" w:rsidRPr="0047330D" w:rsidRDefault="0047330D" w:rsidP="0047330D">
      <w:pPr>
        <w:ind w:firstLine="794"/>
        <w:jc w:val="both"/>
        <w:rPr>
          <w:rFonts w:eastAsiaTheme="minorHAnsi"/>
          <w:highlight w:val="yellow"/>
        </w:rPr>
      </w:pPr>
      <w:r w:rsidRPr="0047330D">
        <w:rPr>
          <w:rFonts w:eastAsiaTheme="minorHAnsi"/>
        </w:rPr>
        <w:t xml:space="preserve">2021 metais Klaipėdos m. sav. vidutinė tikėtina gyvenimo trukmė buvo 74,9 metai, tai atitinka Lietuvos vidurkį – 74,2 metai. </w:t>
      </w:r>
    </w:p>
    <w:p w:rsidR="0047330D" w:rsidRPr="0047330D" w:rsidRDefault="0047330D" w:rsidP="0047330D">
      <w:pPr>
        <w:ind w:firstLine="794"/>
        <w:jc w:val="both"/>
        <w:rPr>
          <w:rFonts w:eastAsiaTheme="minorHAnsi"/>
        </w:rPr>
      </w:pPr>
      <w:r w:rsidRPr="0047330D">
        <w:rPr>
          <w:rFonts w:eastAsiaTheme="minorHAnsi"/>
        </w:rPr>
        <w:t>Išvengiamo mirtingumo rodiklis – tai mirtingumas, nulemtas ligų (ar būklių), kurių galima išvengti, taikant žinomas efektyvias prevencines, diagnostikos ir gydymo priemones. 2021 metais Klaipėdos m. sav. išvengiamo mirtingumo rodiklis (22,4 proc.) buvo geresnis už Lietuvos rodiklį (27,3 proc.), todėl savivaldybė patenka į geriausių rodiklių grupę (žalioji zona).</w:t>
      </w:r>
    </w:p>
    <w:p w:rsidR="0047330D" w:rsidRPr="0047330D" w:rsidRDefault="0047330D" w:rsidP="0047330D">
      <w:pPr>
        <w:ind w:firstLine="794"/>
        <w:jc w:val="both"/>
        <w:rPr>
          <w:rFonts w:eastAsiaTheme="minorHAnsi"/>
          <w:highlight w:val="yellow"/>
        </w:rPr>
      </w:pPr>
    </w:p>
    <w:p w:rsidR="0047330D" w:rsidRPr="0047330D" w:rsidRDefault="0047330D" w:rsidP="0047330D">
      <w:pPr>
        <w:keepNext/>
        <w:keepLines/>
        <w:jc w:val="center"/>
        <w:outlineLvl w:val="1"/>
        <w:rPr>
          <w:rFonts w:eastAsiaTheme="majorEastAsia"/>
          <w:b/>
          <w:bCs/>
        </w:rPr>
      </w:pPr>
      <w:r w:rsidRPr="0047330D">
        <w:rPr>
          <w:rFonts w:eastAsiaTheme="majorEastAsia"/>
          <w:b/>
          <w:bCs/>
        </w:rPr>
        <w:t>1 tikslas – sukurti saugesnę socialinę aplinką, mažinti sveikatos netolygumus ir socialinę atskirtį</w:t>
      </w:r>
    </w:p>
    <w:p w:rsidR="0047330D" w:rsidRPr="0047330D" w:rsidRDefault="0047330D" w:rsidP="0047330D">
      <w:pPr>
        <w:rPr>
          <w:rFonts w:eastAsiaTheme="minorHAnsi"/>
          <w:sz w:val="22"/>
          <w:szCs w:val="22"/>
        </w:rPr>
      </w:pPr>
    </w:p>
    <w:p w:rsidR="0047330D" w:rsidRPr="0047330D" w:rsidRDefault="0047330D" w:rsidP="0047330D">
      <w:pPr>
        <w:ind w:firstLine="794"/>
        <w:jc w:val="both"/>
        <w:rPr>
          <w:rFonts w:eastAsiaTheme="minorHAnsi"/>
        </w:rPr>
      </w:pPr>
      <w:r w:rsidRPr="0047330D">
        <w:rPr>
          <w:rFonts w:eastAsiaTheme="minorHAnsi"/>
        </w:rPr>
        <w:t xml:space="preserve">Atsižvelgiant į LSS iškeltus uždavinius tikslams pasiekti bei remiantis priedo lentelėje „Klaipėdos miesto savivaldybės sveikatos ir su sveikata susijusių rodiklių profilis“ pateiktomis rodiklių reikšmėmis, matoma, kad: </w:t>
      </w:r>
    </w:p>
    <w:p w:rsidR="0047330D" w:rsidRPr="0047330D" w:rsidRDefault="0047330D" w:rsidP="0047330D">
      <w:pPr>
        <w:ind w:firstLine="794"/>
        <w:jc w:val="both"/>
        <w:rPr>
          <w:rFonts w:eastAsiaTheme="minorHAnsi"/>
        </w:rPr>
      </w:pPr>
      <w:r w:rsidRPr="0047330D">
        <w:rPr>
          <w:rFonts w:eastAsiaTheme="minorHAnsi"/>
        </w:rPr>
        <w:t>1.1. Uždavinio „sumažinti skurdo lygį ir nedarbą“ rodikliai Klaipėdos m. sav. yra geresni už Lietuvos vidurkį arba jį atitinka.</w:t>
      </w:r>
    </w:p>
    <w:p w:rsidR="0047330D" w:rsidRPr="0047330D" w:rsidRDefault="0047330D" w:rsidP="0047330D">
      <w:pPr>
        <w:ind w:firstLine="794"/>
        <w:jc w:val="both"/>
        <w:rPr>
          <w:rFonts w:eastAsiaTheme="minorHAnsi"/>
        </w:rPr>
      </w:pPr>
      <w:r w:rsidRPr="0047330D">
        <w:rPr>
          <w:rFonts w:eastAsiaTheme="minorHAnsi"/>
        </w:rPr>
        <w:t>1.2. Uždavinio „sumažinti socialinę ekonominę gyventojų diferenciaciją šalies ir bendruomenių lygiu“ rodikliai Klaipėdos m. sav. yra geresni už Lietuvos vidurkį arba jį atitinka, bet išsiskiria didesni sergamumo tuberkulioze rodikliai.</w:t>
      </w:r>
    </w:p>
    <w:p w:rsidR="0047330D" w:rsidRPr="0047330D" w:rsidRDefault="0047330D" w:rsidP="0047330D">
      <w:pPr>
        <w:ind w:firstLine="1298"/>
        <w:jc w:val="both"/>
        <w:rPr>
          <w:highlight w:val="yellow"/>
          <w:lang w:eastAsia="lt-LT"/>
        </w:rPr>
      </w:pPr>
    </w:p>
    <w:p w:rsidR="0047330D" w:rsidRPr="0047330D" w:rsidRDefault="0047330D" w:rsidP="0047330D">
      <w:pPr>
        <w:jc w:val="center"/>
        <w:rPr>
          <w:rFonts w:eastAsiaTheme="minorHAnsi"/>
          <w:b/>
        </w:rPr>
      </w:pPr>
      <w:r w:rsidRPr="0047330D">
        <w:rPr>
          <w:rFonts w:eastAsiaTheme="minorHAnsi"/>
          <w:b/>
        </w:rPr>
        <w:t>2 tikslas – sukurti sveikatai palankią fizinę darbo ir gyvenamąją aplinką</w:t>
      </w:r>
    </w:p>
    <w:p w:rsidR="0047330D" w:rsidRPr="0047330D" w:rsidRDefault="0047330D" w:rsidP="0047330D">
      <w:pPr>
        <w:ind w:firstLine="360"/>
        <w:jc w:val="both"/>
        <w:rPr>
          <w:lang w:eastAsia="lt-LT"/>
        </w:rPr>
      </w:pPr>
    </w:p>
    <w:p w:rsidR="0047330D" w:rsidRPr="0047330D" w:rsidRDefault="0047330D" w:rsidP="0047330D">
      <w:pPr>
        <w:ind w:firstLine="794"/>
        <w:jc w:val="both"/>
        <w:rPr>
          <w:lang w:eastAsia="lt-LT"/>
        </w:rPr>
      </w:pPr>
      <w:r w:rsidRPr="0047330D">
        <w:rPr>
          <w:lang w:eastAsia="lt-LT"/>
        </w:rPr>
        <w:t xml:space="preserve">Atsižvelgiant į LSS iškeltus uždavinius tikslams pasiekti bei remiantis priedo lentelėje pateiktomis rodiklių reikšmėmis, matoma, kad: </w:t>
      </w:r>
    </w:p>
    <w:p w:rsidR="0047330D" w:rsidRPr="0047330D" w:rsidRDefault="0047330D" w:rsidP="0047330D">
      <w:pPr>
        <w:ind w:firstLine="794"/>
        <w:jc w:val="both"/>
        <w:rPr>
          <w:lang w:eastAsia="lt-LT"/>
        </w:rPr>
      </w:pPr>
      <w:r w:rsidRPr="0047330D">
        <w:rPr>
          <w:lang w:eastAsia="lt-LT"/>
        </w:rPr>
        <w:t xml:space="preserve">2.1. Uždavinio ,,kurti saugias darbo ir sveikas buities sąlygas, didinti prekių ir paslaugų vartotojų saugumą“ rodikliai Klaipėdos m. sav. </w:t>
      </w:r>
      <w:bookmarkStart w:id="8" w:name="_Hlk116566528"/>
      <w:r w:rsidRPr="0047330D">
        <w:rPr>
          <w:lang w:eastAsia="lt-LT"/>
        </w:rPr>
        <w:t xml:space="preserve">daugeliu atvejų atitinka Lietuvos vidurkį, tačiau išsiskiria didesnis </w:t>
      </w:r>
      <w:bookmarkEnd w:id="8"/>
      <w:r w:rsidRPr="0047330D">
        <w:rPr>
          <w:lang w:eastAsia="lt-LT"/>
        </w:rPr>
        <w:t>žuvusių ar sunkiai sužalotų darbe asmenų rodiklis.</w:t>
      </w:r>
    </w:p>
    <w:p w:rsidR="0047330D" w:rsidRPr="0047330D" w:rsidRDefault="0047330D" w:rsidP="0047330D">
      <w:pPr>
        <w:ind w:firstLine="794"/>
        <w:jc w:val="both"/>
        <w:rPr>
          <w:lang w:eastAsia="lt-LT"/>
        </w:rPr>
      </w:pPr>
      <w:r w:rsidRPr="0047330D">
        <w:rPr>
          <w:lang w:eastAsia="lt-LT"/>
        </w:rPr>
        <w:t xml:space="preserve">2.2. </w:t>
      </w:r>
      <w:r w:rsidRPr="0047330D">
        <w:rPr>
          <w:rFonts w:eastAsiaTheme="minorHAnsi"/>
        </w:rPr>
        <w:t>Uždavinio „kurti palankias sąlygas saugiai leisti laisvalaikį“ rodikliai Klaipėdos m. sav. atitinka Lietuvos vidurkį arba yra geresni už jį.</w:t>
      </w:r>
    </w:p>
    <w:p w:rsidR="0047330D" w:rsidRPr="0047330D" w:rsidRDefault="0047330D" w:rsidP="0047330D">
      <w:pPr>
        <w:ind w:firstLine="794"/>
        <w:jc w:val="both"/>
        <w:rPr>
          <w:rFonts w:eastAsiaTheme="minorHAnsi"/>
        </w:rPr>
      </w:pPr>
      <w:r w:rsidRPr="0047330D">
        <w:rPr>
          <w:rFonts w:eastAsiaTheme="minorHAnsi"/>
        </w:rPr>
        <w:t>2.3. Uždavinio „mažinti avaringumą ir traumų kelių eismo įvykiuose skaičių“ rodikliai Klaipėdos m. sav. atitinka Lietuvos vidurkį.</w:t>
      </w:r>
    </w:p>
    <w:p w:rsidR="0047330D" w:rsidRPr="0047330D" w:rsidRDefault="0047330D" w:rsidP="0047330D">
      <w:pPr>
        <w:ind w:firstLine="794"/>
        <w:jc w:val="both"/>
        <w:rPr>
          <w:rFonts w:eastAsiaTheme="minorHAnsi"/>
        </w:rPr>
      </w:pPr>
      <w:r w:rsidRPr="0047330D">
        <w:rPr>
          <w:rFonts w:eastAsiaTheme="minorHAnsi"/>
        </w:rPr>
        <w:t xml:space="preserve">2.4. Uždavinio „mažinti oro, vandens ir dirvožemio užterštumą, triukšmą“ į atmosferą iš stacionarių taršos šaltinių išmestų teršalų kiekio rodiklis Klaipėdos m. sav. viršija Lietuvos vidurkį. </w:t>
      </w:r>
    </w:p>
    <w:p w:rsidR="0047330D" w:rsidRPr="0047330D" w:rsidRDefault="0047330D" w:rsidP="0047330D">
      <w:pPr>
        <w:keepNext/>
        <w:keepLines/>
        <w:outlineLvl w:val="1"/>
        <w:rPr>
          <w:b/>
          <w:bCs/>
          <w:highlight w:val="yellow"/>
          <w:lang w:eastAsia="lt-LT"/>
        </w:rPr>
      </w:pPr>
    </w:p>
    <w:p w:rsidR="0047330D" w:rsidRPr="0047330D" w:rsidRDefault="0047330D" w:rsidP="0047330D">
      <w:pPr>
        <w:keepNext/>
        <w:keepLines/>
        <w:jc w:val="center"/>
        <w:outlineLvl w:val="1"/>
        <w:rPr>
          <w:b/>
          <w:bCs/>
          <w:lang w:eastAsia="lt-LT"/>
        </w:rPr>
      </w:pPr>
      <w:bookmarkStart w:id="9" w:name="_Toc496874350"/>
      <w:r w:rsidRPr="0047330D">
        <w:rPr>
          <w:b/>
          <w:bCs/>
          <w:lang w:eastAsia="lt-LT"/>
        </w:rPr>
        <w:t>3 tikslas – formuoti sveiką gyvenseną ir jos kultūrą</w:t>
      </w:r>
      <w:bookmarkEnd w:id="9"/>
    </w:p>
    <w:p w:rsidR="0047330D" w:rsidRPr="0047330D" w:rsidRDefault="0047330D" w:rsidP="0047330D">
      <w:pPr>
        <w:ind w:firstLine="1298"/>
        <w:jc w:val="both"/>
        <w:rPr>
          <w:rFonts w:eastAsiaTheme="minorHAnsi"/>
        </w:rPr>
      </w:pPr>
    </w:p>
    <w:p w:rsidR="0047330D" w:rsidRPr="0047330D" w:rsidRDefault="0047330D" w:rsidP="0047330D">
      <w:pPr>
        <w:ind w:firstLine="794"/>
        <w:jc w:val="both"/>
        <w:rPr>
          <w:rFonts w:eastAsiaTheme="minorHAnsi"/>
        </w:rPr>
      </w:pPr>
      <w:r w:rsidRPr="0047330D">
        <w:rPr>
          <w:rFonts w:eastAsiaTheme="minorHAnsi"/>
        </w:rPr>
        <w:t xml:space="preserve">Atsižvelgiant į LSS iškeltus uždavinius tikslams pasiekti bei remiantis priedo lentelėje pateiktomis rodiklių reikšmėmis, matoma, kad: </w:t>
      </w:r>
    </w:p>
    <w:p w:rsidR="0047330D" w:rsidRPr="0047330D" w:rsidRDefault="0047330D" w:rsidP="0047330D">
      <w:pPr>
        <w:ind w:firstLine="794"/>
        <w:jc w:val="both"/>
        <w:rPr>
          <w:rFonts w:eastAsiaTheme="minorHAnsi"/>
        </w:rPr>
      </w:pPr>
      <w:r w:rsidRPr="0047330D">
        <w:rPr>
          <w:rFonts w:eastAsiaTheme="minorHAnsi"/>
        </w:rPr>
        <w:t>3.1. Uždavinio „sumažinti alkoholinių gėrimų, tabako vartojimą, neteisėtą narkotinių ir psichotropinių medžiagų vartojimą ir prieinamumą“ rodikliai Klaipėdos m. sav. daugeliu atvejų atitinka Lietuvos vidurkį, tačiau išsiskiria didesnis mirtingumas nuo narkotikų sąlygotų priežasčių bei per didelis alkoholio prieinamumo rodiklis.</w:t>
      </w:r>
    </w:p>
    <w:p w:rsidR="0047330D" w:rsidRPr="0047330D" w:rsidRDefault="0047330D" w:rsidP="0047330D">
      <w:pPr>
        <w:ind w:firstLine="794"/>
        <w:jc w:val="both"/>
        <w:rPr>
          <w:rFonts w:eastAsiaTheme="minorHAnsi"/>
        </w:rPr>
      </w:pPr>
      <w:r w:rsidRPr="0047330D">
        <w:rPr>
          <w:rFonts w:eastAsiaTheme="minorHAnsi"/>
        </w:rPr>
        <w:t>3.2. Uždavinio „skatinti sveikos mitybos įpročius“ rodiklis Klaipėdos m. sav. atitinka Lietuvos vidurkį.</w:t>
      </w:r>
    </w:p>
    <w:p w:rsidR="0047330D" w:rsidRPr="0047330D" w:rsidRDefault="0047330D" w:rsidP="0047330D">
      <w:pPr>
        <w:ind w:firstLine="794"/>
        <w:jc w:val="both"/>
        <w:rPr>
          <w:rFonts w:eastAsiaTheme="minorHAnsi"/>
          <w:sz w:val="22"/>
          <w:szCs w:val="22"/>
          <w:highlight w:val="yellow"/>
        </w:rPr>
      </w:pPr>
    </w:p>
    <w:p w:rsidR="0047330D" w:rsidRPr="0047330D" w:rsidRDefault="0047330D" w:rsidP="0047330D">
      <w:pPr>
        <w:keepNext/>
        <w:keepLines/>
        <w:jc w:val="center"/>
        <w:outlineLvl w:val="1"/>
        <w:rPr>
          <w:b/>
          <w:bCs/>
          <w:lang w:eastAsia="lt-LT"/>
        </w:rPr>
      </w:pPr>
      <w:bookmarkStart w:id="10" w:name="_Toc496874351"/>
      <w:r w:rsidRPr="0047330D">
        <w:rPr>
          <w:b/>
          <w:bCs/>
          <w:lang w:eastAsia="lt-LT"/>
        </w:rPr>
        <w:t>4 tikslas – užtikrinti kokybišką ir efektyvią sveikatos priežiūrą, orientuotą į gyventojų poreikius</w:t>
      </w:r>
      <w:bookmarkEnd w:id="10"/>
    </w:p>
    <w:p w:rsidR="0047330D" w:rsidRPr="0047330D" w:rsidRDefault="0047330D" w:rsidP="0047330D">
      <w:pPr>
        <w:rPr>
          <w:rFonts w:eastAsiaTheme="minorHAnsi"/>
          <w:sz w:val="22"/>
          <w:szCs w:val="22"/>
          <w:lang w:eastAsia="lt-LT"/>
        </w:rPr>
      </w:pPr>
    </w:p>
    <w:p w:rsidR="0047330D" w:rsidRPr="0047330D" w:rsidRDefault="0047330D" w:rsidP="0047330D">
      <w:pPr>
        <w:ind w:firstLine="794"/>
        <w:jc w:val="both"/>
        <w:rPr>
          <w:rFonts w:eastAsiaTheme="minorHAnsi"/>
        </w:rPr>
      </w:pPr>
      <w:r w:rsidRPr="0047330D">
        <w:rPr>
          <w:rFonts w:eastAsiaTheme="minorHAnsi"/>
        </w:rPr>
        <w:t>Atsižvelgiant į LSS iškeltus uždavinius tikslams pasiekti bei remiantis priedo lentelėje pateiktomis rodiklių reikšmėmis, matoma, kad:</w:t>
      </w:r>
    </w:p>
    <w:p w:rsidR="0047330D" w:rsidRPr="0047330D" w:rsidRDefault="0047330D" w:rsidP="0047330D">
      <w:pPr>
        <w:ind w:firstLine="794"/>
        <w:jc w:val="both"/>
        <w:rPr>
          <w:rFonts w:eastAsiaTheme="minorHAnsi"/>
        </w:rPr>
      </w:pPr>
      <w:r w:rsidRPr="0047330D">
        <w:rPr>
          <w:rFonts w:eastAsiaTheme="minorHAnsi"/>
        </w:rPr>
        <w:t>4.1. Uždavinio „užtikrinti sveikatos sistemos tvarumą ir kokybę, plėtojant sveikatos technologijas, kurių efektyvumas pagrįstas mokslo įrodymais“ vienas iš Klaipėdos m. sav. rodiklių yra blogesnis už Lietuvos vidurkį – išvengiamų hospitalizacijų dėl diabeto rodiklis.</w:t>
      </w:r>
    </w:p>
    <w:p w:rsidR="0047330D" w:rsidRPr="0047330D" w:rsidRDefault="0047330D" w:rsidP="0047330D">
      <w:pPr>
        <w:ind w:firstLine="794"/>
        <w:jc w:val="both"/>
        <w:rPr>
          <w:rFonts w:eastAsiaTheme="minorHAnsi"/>
          <w:bCs/>
        </w:rPr>
      </w:pPr>
      <w:r w:rsidRPr="0047330D">
        <w:rPr>
          <w:rFonts w:eastAsiaTheme="minorHAnsi"/>
        </w:rPr>
        <w:t>4.2. Uždavinio „plėtoti sveikatos infrastruktūrą ir gerinti sveikatos priežiūros paslaugų kokybę, saugą, prieinamumą ir į pacientą orientuotą sveikatos priežiūrą“ rodikliai Klaipėdos m. sav. daugeliu atvejų atitinka Lietuvos vidurkį, tačiau išsiskiria didesnis sergamumo vaistams atsparia tuberkulioze rodiklis.</w:t>
      </w:r>
    </w:p>
    <w:p w:rsidR="0047330D" w:rsidRPr="0047330D" w:rsidRDefault="0047330D" w:rsidP="0047330D">
      <w:pPr>
        <w:ind w:firstLine="794"/>
        <w:jc w:val="both"/>
        <w:rPr>
          <w:rFonts w:eastAsiaTheme="minorHAnsi"/>
        </w:rPr>
      </w:pPr>
      <w:r w:rsidRPr="0047330D">
        <w:rPr>
          <w:rFonts w:eastAsiaTheme="minorHAnsi"/>
        </w:rPr>
        <w:t>4.3. Uždavinio „pagerinti motinos ir vaiko sveikatą“ rodikliai Klaipėdos m. sav. daugeliu atvejų atitinka Lietuvos vidurkį, tačiau išsiskiria prastesni vaikų skiepijimo apimčių rodikliai.</w:t>
      </w:r>
    </w:p>
    <w:p w:rsidR="0047330D" w:rsidRPr="0047330D" w:rsidRDefault="0047330D" w:rsidP="0047330D">
      <w:pPr>
        <w:ind w:firstLine="794"/>
        <w:jc w:val="both"/>
        <w:rPr>
          <w:rFonts w:eastAsiaTheme="minorHAnsi"/>
        </w:rPr>
      </w:pPr>
      <w:r w:rsidRPr="0047330D">
        <w:rPr>
          <w:rFonts w:eastAsiaTheme="minorHAnsi"/>
        </w:rPr>
        <w:t xml:space="preserve">4.4. Uždavinio „stiprinti lėtinių neinfekcinių ligų prevenciją ir kontrolę“ </w:t>
      </w:r>
      <w:bookmarkStart w:id="11" w:name="_Toc496874353"/>
      <w:r w:rsidRPr="0047330D">
        <w:rPr>
          <w:rFonts w:eastAsiaTheme="minorHAnsi"/>
        </w:rPr>
        <w:t>rodikliai Klaipėdos m. sav. yra geresni už Lietuvos vidurkį arba jį atitinka.</w:t>
      </w:r>
    </w:p>
    <w:p w:rsidR="0047330D" w:rsidRPr="0047330D" w:rsidRDefault="0047330D" w:rsidP="0047330D">
      <w:pPr>
        <w:ind w:firstLine="794"/>
        <w:jc w:val="both"/>
        <w:rPr>
          <w:rFonts w:eastAsiaTheme="minorHAnsi"/>
        </w:rPr>
      </w:pPr>
    </w:p>
    <w:p w:rsidR="0047330D" w:rsidRPr="0047330D" w:rsidRDefault="0047330D" w:rsidP="0047330D">
      <w:pPr>
        <w:jc w:val="center"/>
        <w:rPr>
          <w:b/>
        </w:rPr>
      </w:pPr>
      <w:r w:rsidRPr="0047330D">
        <w:rPr>
          <w:b/>
        </w:rPr>
        <w:t>SPECIALIOJI DALIS</w:t>
      </w:r>
      <w:bookmarkEnd w:id="11"/>
    </w:p>
    <w:p w:rsidR="0047330D" w:rsidRPr="0047330D" w:rsidRDefault="0047330D" w:rsidP="0047330D">
      <w:pPr>
        <w:keepNext/>
        <w:keepLines/>
        <w:ind w:firstLine="709"/>
        <w:contextualSpacing/>
        <w:outlineLvl w:val="1"/>
        <w:rPr>
          <w:rFonts w:eastAsiaTheme="majorEastAsia"/>
          <w:b/>
          <w:bCs/>
        </w:rPr>
      </w:pPr>
    </w:p>
    <w:p w:rsidR="0047330D" w:rsidRPr="0047330D" w:rsidRDefault="0047330D" w:rsidP="0047330D">
      <w:pPr>
        <w:jc w:val="center"/>
        <w:rPr>
          <w:b/>
        </w:rPr>
      </w:pPr>
      <w:bookmarkStart w:id="12" w:name="_Toc496874354"/>
      <w:r w:rsidRPr="0047330D">
        <w:rPr>
          <w:b/>
        </w:rPr>
        <w:t>Prioritetinių sričių identifikavimas</w:t>
      </w:r>
      <w:bookmarkEnd w:id="12"/>
    </w:p>
    <w:p w:rsidR="0047330D" w:rsidRPr="0047330D" w:rsidRDefault="0047330D" w:rsidP="0047330D">
      <w:pPr>
        <w:ind w:firstLine="1298"/>
        <w:contextualSpacing/>
        <w:jc w:val="both"/>
        <w:rPr>
          <w:rFonts w:eastAsiaTheme="minorHAnsi"/>
        </w:rPr>
      </w:pPr>
    </w:p>
    <w:p w:rsidR="0047330D" w:rsidRPr="0047330D" w:rsidRDefault="0047330D" w:rsidP="00872820">
      <w:pPr>
        <w:tabs>
          <w:tab w:val="left" w:pos="993"/>
        </w:tabs>
        <w:ind w:firstLine="851"/>
        <w:jc w:val="both"/>
        <w:rPr>
          <w:rFonts w:eastAsiaTheme="minorHAnsi"/>
        </w:rPr>
      </w:pPr>
      <w:r w:rsidRPr="0047330D">
        <w:rPr>
          <w:rFonts w:eastAsiaTheme="minorHAnsi"/>
        </w:rPr>
        <w:t xml:space="preserve">Remiantis priedo lentelėje „Klaipėdos miesto savivaldybės sveikatos ir su sveikata susijusių rodiklių profilis“ pateiktais rodikliais ir įvertinus savivaldybės rodiklio santykį su Lietuvos vidurkiu, matoma, </w:t>
      </w:r>
      <w:r w:rsidR="000B3EB9">
        <w:rPr>
          <w:rFonts w:eastAsiaTheme="minorHAnsi"/>
        </w:rPr>
        <w:t>kad</w:t>
      </w:r>
      <w:r w:rsidRPr="0047330D">
        <w:rPr>
          <w:rFonts w:eastAsiaTheme="minorHAnsi"/>
        </w:rPr>
        <w:t>:</w:t>
      </w:r>
    </w:p>
    <w:p w:rsidR="0047330D" w:rsidRPr="0047330D" w:rsidRDefault="0047330D" w:rsidP="00D45B4D">
      <w:pPr>
        <w:numPr>
          <w:ilvl w:val="0"/>
          <w:numId w:val="1"/>
        </w:numPr>
        <w:tabs>
          <w:tab w:val="left" w:pos="0"/>
          <w:tab w:val="left" w:pos="993"/>
          <w:tab w:val="left" w:pos="1134"/>
        </w:tabs>
        <w:spacing w:after="200"/>
        <w:ind w:left="0" w:firstLine="851"/>
        <w:contextualSpacing/>
        <w:jc w:val="both"/>
        <w:rPr>
          <w:lang w:eastAsia="lt-LT"/>
        </w:rPr>
      </w:pPr>
      <w:r w:rsidRPr="0047330D">
        <w:rPr>
          <w:lang w:eastAsia="lt-LT"/>
        </w:rPr>
        <w:t>14 rodiklių reikšmės yra geresnės už Lietuvos vidurkį (</w:t>
      </w:r>
      <w:r w:rsidRPr="0047330D">
        <w:rPr>
          <w:color w:val="00B050"/>
          <w:lang w:eastAsia="lt-LT"/>
        </w:rPr>
        <w:t>žalioji zona</w:t>
      </w:r>
      <w:r w:rsidRPr="0047330D">
        <w:rPr>
          <w:lang w:eastAsia="lt-LT"/>
        </w:rPr>
        <w:t>):</w:t>
      </w:r>
    </w:p>
    <w:p w:rsidR="0047330D" w:rsidRPr="0047330D" w:rsidRDefault="0047330D" w:rsidP="00872820">
      <w:pPr>
        <w:numPr>
          <w:ilvl w:val="0"/>
          <w:numId w:val="5"/>
        </w:numPr>
        <w:tabs>
          <w:tab w:val="left" w:pos="0"/>
          <w:tab w:val="left" w:pos="993"/>
        </w:tabs>
        <w:spacing w:after="200"/>
        <w:ind w:left="0" w:firstLine="851"/>
        <w:contextualSpacing/>
        <w:jc w:val="both"/>
        <w:rPr>
          <w:lang w:eastAsia="lt-LT"/>
        </w:rPr>
      </w:pPr>
      <w:bookmarkStart w:id="13" w:name="_Hlk116568227"/>
      <w:bookmarkStart w:id="14" w:name="_Hlk86331405"/>
      <w:r w:rsidRPr="0047330D">
        <w:rPr>
          <w:lang w:eastAsia="lt-LT"/>
        </w:rPr>
        <w:t>Išvengiamas mirtingumas (proc.);</w:t>
      </w:r>
    </w:p>
    <w:p w:rsidR="0047330D" w:rsidRPr="0047330D" w:rsidRDefault="0047330D" w:rsidP="00872820">
      <w:pPr>
        <w:numPr>
          <w:ilvl w:val="0"/>
          <w:numId w:val="5"/>
        </w:numPr>
        <w:tabs>
          <w:tab w:val="left" w:pos="0"/>
          <w:tab w:val="left" w:pos="993"/>
        </w:tabs>
        <w:spacing w:after="200"/>
        <w:ind w:left="0" w:firstLine="851"/>
        <w:contextualSpacing/>
        <w:jc w:val="both"/>
        <w:rPr>
          <w:lang w:eastAsia="lt-LT"/>
        </w:rPr>
      </w:pPr>
      <w:r w:rsidRPr="0047330D">
        <w:rPr>
          <w:lang w:eastAsia="lt-LT"/>
        </w:rPr>
        <w:t>Ilgalaikio nedarbo lygis (proc.);</w:t>
      </w:r>
    </w:p>
    <w:p w:rsidR="0047330D" w:rsidRPr="0047330D" w:rsidRDefault="0047330D" w:rsidP="00872820">
      <w:pPr>
        <w:numPr>
          <w:ilvl w:val="0"/>
          <w:numId w:val="5"/>
        </w:numPr>
        <w:tabs>
          <w:tab w:val="left" w:pos="0"/>
          <w:tab w:val="left" w:pos="993"/>
        </w:tabs>
        <w:spacing w:after="200"/>
        <w:ind w:left="0" w:firstLine="851"/>
        <w:contextualSpacing/>
        <w:jc w:val="both"/>
        <w:rPr>
          <w:lang w:eastAsia="lt-LT"/>
        </w:rPr>
      </w:pPr>
      <w:r w:rsidRPr="0047330D">
        <w:rPr>
          <w:lang w:eastAsia="lt-LT"/>
        </w:rPr>
        <w:t>Gyventojų skaičiaus pokytis 1 000 gyv.;</w:t>
      </w:r>
    </w:p>
    <w:p w:rsidR="0047330D" w:rsidRPr="0047330D" w:rsidRDefault="0047330D" w:rsidP="00872820">
      <w:pPr>
        <w:numPr>
          <w:ilvl w:val="0"/>
          <w:numId w:val="5"/>
        </w:numPr>
        <w:tabs>
          <w:tab w:val="left" w:pos="0"/>
          <w:tab w:val="left" w:pos="993"/>
        </w:tabs>
        <w:spacing w:after="200"/>
        <w:ind w:left="0" w:firstLine="851"/>
        <w:contextualSpacing/>
        <w:jc w:val="both"/>
        <w:rPr>
          <w:lang w:eastAsia="lt-LT"/>
        </w:rPr>
      </w:pPr>
      <w:r w:rsidRPr="0047330D">
        <w:rPr>
          <w:lang w:eastAsia="lt-LT"/>
        </w:rPr>
        <w:t>Mirtingumas dėl išorinių priežasčių (V00–Y98) 100 000 gyv.;</w:t>
      </w:r>
    </w:p>
    <w:p w:rsidR="0047330D" w:rsidRPr="0047330D" w:rsidRDefault="0047330D" w:rsidP="00872820">
      <w:pPr>
        <w:numPr>
          <w:ilvl w:val="0"/>
          <w:numId w:val="5"/>
        </w:numPr>
        <w:tabs>
          <w:tab w:val="left" w:pos="0"/>
          <w:tab w:val="left" w:pos="993"/>
        </w:tabs>
        <w:spacing w:after="200"/>
        <w:ind w:left="0" w:firstLine="851"/>
        <w:contextualSpacing/>
        <w:jc w:val="both"/>
        <w:rPr>
          <w:lang w:eastAsia="lt-LT"/>
        </w:rPr>
      </w:pPr>
      <w:r w:rsidRPr="0047330D">
        <w:rPr>
          <w:lang w:eastAsia="lt-LT"/>
        </w:rPr>
        <w:t>Socialinės pašalpos gavėjų skaičius 1 000 gyv.;</w:t>
      </w:r>
    </w:p>
    <w:p w:rsidR="0047330D" w:rsidRPr="0047330D" w:rsidRDefault="0047330D" w:rsidP="00872820">
      <w:pPr>
        <w:numPr>
          <w:ilvl w:val="0"/>
          <w:numId w:val="5"/>
        </w:numPr>
        <w:tabs>
          <w:tab w:val="left" w:pos="0"/>
          <w:tab w:val="left" w:pos="993"/>
        </w:tabs>
        <w:spacing w:after="200"/>
        <w:ind w:left="0" w:firstLine="851"/>
        <w:contextualSpacing/>
        <w:jc w:val="both"/>
        <w:rPr>
          <w:lang w:eastAsia="lt-LT"/>
        </w:rPr>
      </w:pPr>
      <w:r w:rsidRPr="0047330D">
        <w:rPr>
          <w:lang w:eastAsia="lt-LT"/>
        </w:rPr>
        <w:t>Asmenų, pirmą kartą pripažintų neįgaliais, skaičius 10 000 gyv.;</w:t>
      </w:r>
      <w:r w:rsidRPr="0047330D">
        <w:rPr>
          <w:rFonts w:asciiTheme="minorHAnsi" w:eastAsiaTheme="minorHAnsi" w:hAnsiTheme="minorHAnsi" w:cstheme="minorBidi"/>
          <w:sz w:val="22"/>
          <w:szCs w:val="22"/>
        </w:rPr>
        <w:t xml:space="preserve"> </w:t>
      </w:r>
    </w:p>
    <w:p w:rsidR="0047330D" w:rsidRPr="0047330D" w:rsidRDefault="0047330D" w:rsidP="000B3EB9">
      <w:pPr>
        <w:numPr>
          <w:ilvl w:val="0"/>
          <w:numId w:val="5"/>
        </w:numPr>
        <w:tabs>
          <w:tab w:val="left" w:pos="0"/>
          <w:tab w:val="left" w:pos="993"/>
        </w:tabs>
        <w:spacing w:after="200"/>
        <w:ind w:left="0" w:firstLine="851"/>
        <w:contextualSpacing/>
        <w:jc w:val="both"/>
        <w:rPr>
          <w:lang w:eastAsia="lt-LT"/>
        </w:rPr>
      </w:pPr>
      <w:r w:rsidRPr="0047330D">
        <w:rPr>
          <w:lang w:eastAsia="lt-LT"/>
        </w:rPr>
        <w:t>Mirtingumas nuo nukritimo (W00</w:t>
      </w:r>
      <w:r w:rsidR="000B3EB9">
        <w:rPr>
          <w:lang w:eastAsia="lt-LT"/>
        </w:rPr>
        <w:t>–</w:t>
      </w:r>
      <w:r w:rsidRPr="0047330D">
        <w:rPr>
          <w:lang w:eastAsia="lt-LT"/>
        </w:rPr>
        <w:t>W19) 100 000 gyv.;</w:t>
      </w:r>
    </w:p>
    <w:p w:rsidR="0047330D" w:rsidRPr="0047330D" w:rsidRDefault="0047330D" w:rsidP="000B3EB9">
      <w:pPr>
        <w:numPr>
          <w:ilvl w:val="0"/>
          <w:numId w:val="5"/>
        </w:numPr>
        <w:tabs>
          <w:tab w:val="left" w:pos="0"/>
          <w:tab w:val="left" w:pos="993"/>
        </w:tabs>
        <w:spacing w:after="200"/>
        <w:ind w:left="0" w:firstLine="851"/>
        <w:contextualSpacing/>
        <w:jc w:val="both"/>
        <w:rPr>
          <w:lang w:eastAsia="lt-LT"/>
        </w:rPr>
      </w:pPr>
      <w:r w:rsidRPr="0047330D">
        <w:rPr>
          <w:lang w:eastAsia="lt-LT"/>
        </w:rPr>
        <w:t>Mirtingumas nuo alkoholio sąlygotų priežasčių 100 000 gyv.;</w:t>
      </w:r>
    </w:p>
    <w:p w:rsidR="0047330D" w:rsidRPr="0047330D" w:rsidRDefault="0047330D" w:rsidP="000B3EB9">
      <w:pPr>
        <w:numPr>
          <w:ilvl w:val="0"/>
          <w:numId w:val="5"/>
        </w:numPr>
        <w:tabs>
          <w:tab w:val="left" w:pos="993"/>
        </w:tabs>
        <w:spacing w:after="200"/>
        <w:ind w:left="0" w:firstLine="851"/>
        <w:contextualSpacing/>
        <w:jc w:val="both"/>
        <w:rPr>
          <w:lang w:eastAsia="lt-LT"/>
        </w:rPr>
      </w:pPr>
      <w:r w:rsidRPr="0047330D">
        <w:rPr>
          <w:lang w:eastAsia="lt-LT"/>
        </w:rPr>
        <w:t>Sergamumas vaistams atsparia tuberkulioze (A15</w:t>
      </w:r>
      <w:r w:rsidR="000B3EB9">
        <w:rPr>
          <w:lang w:eastAsia="lt-LT"/>
        </w:rPr>
        <w:t>–</w:t>
      </w:r>
      <w:r w:rsidRPr="0047330D">
        <w:rPr>
          <w:lang w:eastAsia="lt-LT"/>
        </w:rPr>
        <w:t>A19) 100 000 gyv. (TB registro duomenys);</w:t>
      </w:r>
    </w:p>
    <w:p w:rsidR="0047330D" w:rsidRPr="0047330D" w:rsidRDefault="0047330D" w:rsidP="000B3EB9">
      <w:pPr>
        <w:numPr>
          <w:ilvl w:val="0"/>
          <w:numId w:val="5"/>
        </w:numPr>
        <w:tabs>
          <w:tab w:val="left" w:pos="0"/>
          <w:tab w:val="left" w:pos="993"/>
        </w:tabs>
        <w:spacing w:after="200"/>
        <w:ind w:left="0" w:firstLine="851"/>
        <w:contextualSpacing/>
        <w:jc w:val="both"/>
        <w:rPr>
          <w:lang w:eastAsia="lt-LT"/>
        </w:rPr>
      </w:pPr>
      <w:r w:rsidRPr="0047330D">
        <w:rPr>
          <w:lang w:eastAsia="lt-LT"/>
        </w:rPr>
        <w:t>Vaikų (7</w:t>
      </w:r>
      <w:r w:rsidR="000B3EB9">
        <w:rPr>
          <w:lang w:eastAsia="lt-LT"/>
        </w:rPr>
        <w:t>–</w:t>
      </w:r>
      <w:r w:rsidRPr="0047330D">
        <w:rPr>
          <w:lang w:eastAsia="lt-LT"/>
        </w:rPr>
        <w:t>17 m.), neturinčių ėduonies pažeistų, plombuotų ir išrautų dantų, dalis (proc.);</w:t>
      </w:r>
    </w:p>
    <w:p w:rsidR="0047330D" w:rsidRPr="0047330D" w:rsidRDefault="0047330D" w:rsidP="000B3EB9">
      <w:pPr>
        <w:numPr>
          <w:ilvl w:val="0"/>
          <w:numId w:val="5"/>
        </w:numPr>
        <w:tabs>
          <w:tab w:val="left" w:pos="0"/>
          <w:tab w:val="left" w:pos="993"/>
        </w:tabs>
        <w:spacing w:after="200"/>
        <w:ind w:left="0" w:firstLine="851"/>
        <w:contextualSpacing/>
        <w:jc w:val="both"/>
        <w:rPr>
          <w:lang w:eastAsia="lt-LT"/>
        </w:rPr>
      </w:pPr>
      <w:r w:rsidRPr="0047330D">
        <w:rPr>
          <w:lang w:eastAsia="lt-LT"/>
        </w:rPr>
        <w:t>Mirtingumo nuo kraujotakos sistemos ligų  (I00</w:t>
      </w:r>
      <w:r w:rsidR="000B3EB9">
        <w:rPr>
          <w:lang w:eastAsia="lt-LT"/>
        </w:rPr>
        <w:t>–</w:t>
      </w:r>
      <w:r w:rsidRPr="0047330D">
        <w:rPr>
          <w:lang w:eastAsia="lt-LT"/>
        </w:rPr>
        <w:t>I99) 100 000 gyv.;</w:t>
      </w:r>
    </w:p>
    <w:p w:rsidR="0047330D" w:rsidRPr="0047330D" w:rsidRDefault="0047330D" w:rsidP="000B3EB9">
      <w:pPr>
        <w:numPr>
          <w:ilvl w:val="0"/>
          <w:numId w:val="5"/>
        </w:numPr>
        <w:tabs>
          <w:tab w:val="left" w:pos="0"/>
          <w:tab w:val="left" w:pos="993"/>
        </w:tabs>
        <w:spacing w:after="200"/>
        <w:ind w:left="0" w:firstLine="851"/>
        <w:contextualSpacing/>
        <w:jc w:val="both"/>
        <w:rPr>
          <w:lang w:eastAsia="lt-LT"/>
        </w:rPr>
      </w:pPr>
      <w:r w:rsidRPr="0047330D">
        <w:rPr>
          <w:lang w:eastAsia="lt-LT"/>
        </w:rPr>
        <w:t xml:space="preserve">Tikslinės populiacijos dalis (proc.), 2 metų </w:t>
      </w:r>
      <w:r w:rsidR="000B3EB9">
        <w:rPr>
          <w:lang w:eastAsia="lt-LT"/>
        </w:rPr>
        <w:t>laikotarpiu</w:t>
      </w:r>
      <w:r w:rsidRPr="0047330D">
        <w:rPr>
          <w:lang w:eastAsia="lt-LT"/>
        </w:rPr>
        <w:t xml:space="preserve"> dalyvavusi krūties vėžio programoje;</w:t>
      </w:r>
    </w:p>
    <w:p w:rsidR="0047330D" w:rsidRPr="0047330D" w:rsidRDefault="0047330D" w:rsidP="000B3EB9">
      <w:pPr>
        <w:numPr>
          <w:ilvl w:val="0"/>
          <w:numId w:val="5"/>
        </w:numPr>
        <w:tabs>
          <w:tab w:val="left" w:pos="0"/>
          <w:tab w:val="left" w:pos="993"/>
        </w:tabs>
        <w:spacing w:after="200"/>
        <w:ind w:left="0" w:firstLine="851"/>
        <w:contextualSpacing/>
        <w:jc w:val="both"/>
        <w:rPr>
          <w:lang w:eastAsia="lt-LT"/>
        </w:rPr>
      </w:pPr>
      <w:r w:rsidRPr="0047330D">
        <w:rPr>
          <w:lang w:eastAsia="lt-LT"/>
        </w:rPr>
        <w:t>Tikslinės populiacijos dalis (proc.), 3 metų</w:t>
      </w:r>
      <w:r w:rsidR="000B3EB9">
        <w:rPr>
          <w:lang w:eastAsia="lt-LT"/>
        </w:rPr>
        <w:t xml:space="preserve"> laikotarpiu</w:t>
      </w:r>
      <w:r w:rsidRPr="0047330D">
        <w:rPr>
          <w:lang w:eastAsia="lt-LT"/>
        </w:rPr>
        <w:t xml:space="preserve"> dalyvavusi gimdos kaklelio programoje;</w:t>
      </w:r>
    </w:p>
    <w:p w:rsidR="0047330D" w:rsidRDefault="0047330D" w:rsidP="00872820">
      <w:pPr>
        <w:numPr>
          <w:ilvl w:val="0"/>
          <w:numId w:val="5"/>
        </w:numPr>
        <w:tabs>
          <w:tab w:val="left" w:pos="0"/>
          <w:tab w:val="left" w:pos="993"/>
        </w:tabs>
        <w:spacing w:after="200"/>
        <w:ind w:left="0" w:firstLine="851"/>
        <w:contextualSpacing/>
        <w:jc w:val="both"/>
        <w:rPr>
          <w:lang w:eastAsia="lt-LT"/>
        </w:rPr>
      </w:pPr>
      <w:r w:rsidRPr="0047330D">
        <w:rPr>
          <w:lang w:eastAsia="lt-LT"/>
        </w:rPr>
        <w:t>Tikslinės populiacijos dalis (proc.), dalyvavusi ŠKL programoje.</w:t>
      </w:r>
    </w:p>
    <w:p w:rsidR="00ED4472" w:rsidRPr="0047330D" w:rsidRDefault="00ED4472" w:rsidP="00872820">
      <w:pPr>
        <w:tabs>
          <w:tab w:val="left" w:pos="0"/>
          <w:tab w:val="left" w:pos="993"/>
        </w:tabs>
        <w:spacing w:after="200"/>
        <w:ind w:firstLine="851"/>
        <w:contextualSpacing/>
        <w:jc w:val="both"/>
        <w:rPr>
          <w:lang w:eastAsia="lt-LT"/>
        </w:rPr>
      </w:pPr>
    </w:p>
    <w:bookmarkEnd w:id="13"/>
    <w:bookmarkEnd w:id="14"/>
    <w:p w:rsidR="0047330D" w:rsidRPr="0047330D" w:rsidRDefault="0047330D" w:rsidP="00872820">
      <w:pPr>
        <w:numPr>
          <w:ilvl w:val="0"/>
          <w:numId w:val="1"/>
        </w:numPr>
        <w:tabs>
          <w:tab w:val="left" w:pos="0"/>
          <w:tab w:val="left" w:pos="993"/>
        </w:tabs>
        <w:spacing w:after="200"/>
        <w:ind w:left="0" w:firstLine="851"/>
        <w:contextualSpacing/>
        <w:jc w:val="both"/>
        <w:rPr>
          <w:lang w:eastAsia="lt-LT"/>
        </w:rPr>
      </w:pPr>
      <w:r w:rsidRPr="0047330D">
        <w:rPr>
          <w:lang w:eastAsia="lt-LT"/>
        </w:rPr>
        <w:t>26 rodiklių reikšmės patenka į Lietuvos vidurkį atitinkančią kvintilių grupę (</w:t>
      </w:r>
      <w:r w:rsidRPr="0047330D">
        <w:rPr>
          <w:color w:val="FFFF00"/>
          <w:lang w:eastAsia="lt-LT"/>
        </w:rPr>
        <w:t>geltonoji zona</w:t>
      </w:r>
      <w:r w:rsidRPr="0047330D">
        <w:rPr>
          <w:lang w:eastAsia="lt-LT"/>
        </w:rPr>
        <w:t>):</w:t>
      </w:r>
    </w:p>
    <w:p w:rsidR="0047330D" w:rsidRPr="0047330D" w:rsidRDefault="0047330D" w:rsidP="00872820">
      <w:pPr>
        <w:numPr>
          <w:ilvl w:val="0"/>
          <w:numId w:val="5"/>
        </w:numPr>
        <w:tabs>
          <w:tab w:val="left" w:pos="993"/>
        </w:tabs>
        <w:spacing w:after="200"/>
        <w:ind w:left="0" w:firstLine="851"/>
        <w:contextualSpacing/>
        <w:rPr>
          <w:lang w:eastAsia="lt-LT"/>
        </w:rPr>
      </w:pPr>
      <w:r w:rsidRPr="0047330D">
        <w:rPr>
          <w:lang w:eastAsia="lt-LT"/>
        </w:rPr>
        <w:t>Vidutinė tikėtina gyvenimo trukmė, kai amžius 0 (metais);</w:t>
      </w:r>
    </w:p>
    <w:p w:rsidR="0047330D" w:rsidRPr="0047330D" w:rsidRDefault="0047330D" w:rsidP="00872820">
      <w:pPr>
        <w:numPr>
          <w:ilvl w:val="0"/>
          <w:numId w:val="5"/>
        </w:numPr>
        <w:tabs>
          <w:tab w:val="left" w:pos="0"/>
          <w:tab w:val="left" w:pos="993"/>
        </w:tabs>
        <w:spacing w:after="200"/>
        <w:ind w:left="0" w:firstLine="851"/>
        <w:contextualSpacing/>
        <w:jc w:val="both"/>
        <w:rPr>
          <w:lang w:eastAsia="lt-LT"/>
        </w:rPr>
      </w:pPr>
      <w:r w:rsidRPr="0047330D">
        <w:rPr>
          <w:lang w:eastAsia="lt-LT"/>
        </w:rPr>
        <w:t>Savižudybių sk</w:t>
      </w:r>
      <w:r w:rsidR="000B3EB9">
        <w:rPr>
          <w:lang w:eastAsia="lt-LT"/>
        </w:rPr>
        <w:t>aičius</w:t>
      </w:r>
      <w:r w:rsidRPr="0047330D">
        <w:rPr>
          <w:lang w:eastAsia="lt-LT"/>
        </w:rPr>
        <w:t xml:space="preserve">  (X60</w:t>
      </w:r>
      <w:r w:rsidR="000B3EB9">
        <w:rPr>
          <w:lang w:eastAsia="lt-LT"/>
        </w:rPr>
        <w:t>–</w:t>
      </w:r>
      <w:r w:rsidRPr="0047330D">
        <w:rPr>
          <w:lang w:eastAsia="lt-LT"/>
        </w:rPr>
        <w:t>X84) 100 000 gyv.;</w:t>
      </w:r>
    </w:p>
    <w:p w:rsidR="0047330D" w:rsidRPr="0047330D" w:rsidRDefault="0047330D" w:rsidP="00872820">
      <w:pPr>
        <w:numPr>
          <w:ilvl w:val="0"/>
          <w:numId w:val="5"/>
        </w:numPr>
        <w:tabs>
          <w:tab w:val="left" w:pos="0"/>
          <w:tab w:val="left" w:pos="993"/>
        </w:tabs>
        <w:spacing w:after="200"/>
        <w:ind w:left="0" w:firstLine="851"/>
        <w:contextualSpacing/>
        <w:jc w:val="both"/>
        <w:rPr>
          <w:lang w:eastAsia="lt-LT"/>
        </w:rPr>
      </w:pPr>
      <w:r w:rsidRPr="0047330D">
        <w:rPr>
          <w:lang w:eastAsia="lt-LT"/>
        </w:rPr>
        <w:t>Bandymų žudytis skaičius (X60–X64, X66–X84) 100 000 gyv.;</w:t>
      </w:r>
    </w:p>
    <w:p w:rsidR="0047330D" w:rsidRPr="0047330D" w:rsidRDefault="0047330D" w:rsidP="00872820">
      <w:pPr>
        <w:numPr>
          <w:ilvl w:val="0"/>
          <w:numId w:val="5"/>
        </w:numPr>
        <w:tabs>
          <w:tab w:val="left" w:pos="0"/>
          <w:tab w:val="left" w:pos="993"/>
        </w:tabs>
        <w:spacing w:after="200"/>
        <w:ind w:left="0" w:firstLine="851"/>
        <w:contextualSpacing/>
        <w:jc w:val="both"/>
        <w:rPr>
          <w:lang w:eastAsia="lt-LT"/>
        </w:rPr>
      </w:pPr>
      <w:r w:rsidRPr="0047330D">
        <w:rPr>
          <w:lang w:eastAsia="lt-LT"/>
        </w:rPr>
        <w:t>Mokyklinio amžiaus vaikų, nesimokančių mokyklose, skaičius 1 000 gyventojų;</w:t>
      </w:r>
    </w:p>
    <w:p w:rsidR="0047330D" w:rsidRPr="0047330D" w:rsidRDefault="0047330D" w:rsidP="00872820">
      <w:pPr>
        <w:numPr>
          <w:ilvl w:val="0"/>
          <w:numId w:val="5"/>
        </w:numPr>
        <w:tabs>
          <w:tab w:val="left" w:pos="0"/>
          <w:tab w:val="left" w:pos="993"/>
        </w:tabs>
        <w:spacing w:after="200"/>
        <w:ind w:left="0" w:firstLine="851"/>
        <w:contextualSpacing/>
        <w:jc w:val="both"/>
        <w:rPr>
          <w:lang w:eastAsia="lt-LT"/>
        </w:rPr>
      </w:pPr>
      <w:r w:rsidRPr="0047330D">
        <w:rPr>
          <w:lang w:eastAsia="lt-LT"/>
        </w:rPr>
        <w:t>Mokinių, gaunančių nemokamą maitinimą mokyklose, skaičius 1 000 gyv.;</w:t>
      </w:r>
    </w:p>
    <w:p w:rsidR="0047330D" w:rsidRPr="0047330D" w:rsidRDefault="0047330D" w:rsidP="00872820">
      <w:pPr>
        <w:numPr>
          <w:ilvl w:val="0"/>
          <w:numId w:val="5"/>
        </w:numPr>
        <w:tabs>
          <w:tab w:val="left" w:pos="993"/>
        </w:tabs>
        <w:ind w:left="0" w:firstLine="851"/>
        <w:jc w:val="both"/>
      </w:pPr>
      <w:r w:rsidRPr="0047330D">
        <w:t>Traumų dėl nukritimų (W00–W19) 65+ m. amžiaus grupėje skaičius 10 000 gyv.;</w:t>
      </w:r>
    </w:p>
    <w:p w:rsidR="0047330D" w:rsidRPr="0047330D" w:rsidRDefault="0047330D" w:rsidP="00872820">
      <w:pPr>
        <w:numPr>
          <w:ilvl w:val="0"/>
          <w:numId w:val="5"/>
        </w:numPr>
        <w:tabs>
          <w:tab w:val="left" w:pos="0"/>
          <w:tab w:val="left" w:pos="993"/>
        </w:tabs>
        <w:ind w:left="0" w:firstLine="851"/>
        <w:contextualSpacing/>
        <w:jc w:val="both"/>
        <w:rPr>
          <w:lang w:eastAsia="lt-LT"/>
        </w:rPr>
      </w:pPr>
      <w:r w:rsidRPr="0047330D">
        <w:rPr>
          <w:lang w:eastAsia="lt-LT"/>
        </w:rPr>
        <w:t>Naujai susirgusių žarnyno infekcinėmis ligomis (A00</w:t>
      </w:r>
      <w:r w:rsidR="000B3EB9">
        <w:rPr>
          <w:lang w:eastAsia="lt-LT"/>
        </w:rPr>
        <w:t>–</w:t>
      </w:r>
      <w:r w:rsidRPr="0047330D">
        <w:rPr>
          <w:lang w:eastAsia="lt-LT"/>
        </w:rPr>
        <w:t>A08) asmenų skaičius 10 000 gyv.;</w:t>
      </w:r>
    </w:p>
    <w:p w:rsidR="0047330D" w:rsidRPr="0047330D" w:rsidRDefault="0047330D" w:rsidP="00872820">
      <w:pPr>
        <w:numPr>
          <w:ilvl w:val="0"/>
          <w:numId w:val="5"/>
        </w:numPr>
        <w:tabs>
          <w:tab w:val="left" w:pos="0"/>
          <w:tab w:val="left" w:pos="993"/>
        </w:tabs>
        <w:ind w:left="0" w:firstLine="851"/>
        <w:contextualSpacing/>
        <w:jc w:val="both"/>
        <w:rPr>
          <w:lang w:eastAsia="lt-LT"/>
        </w:rPr>
      </w:pPr>
      <w:r w:rsidRPr="0047330D">
        <w:rPr>
          <w:lang w:eastAsia="lt-LT"/>
        </w:rPr>
        <w:t>Mirtingumas nuo paskendimo (W65</w:t>
      </w:r>
      <w:r w:rsidR="000B3EB9">
        <w:rPr>
          <w:lang w:eastAsia="lt-LT"/>
        </w:rPr>
        <w:t>–</w:t>
      </w:r>
      <w:r w:rsidRPr="0047330D">
        <w:rPr>
          <w:lang w:eastAsia="lt-LT"/>
        </w:rPr>
        <w:t>W74) 100 000 gyv.;</w:t>
      </w:r>
    </w:p>
    <w:p w:rsidR="0047330D" w:rsidRPr="0047330D" w:rsidRDefault="0047330D" w:rsidP="00872820">
      <w:pPr>
        <w:numPr>
          <w:ilvl w:val="0"/>
          <w:numId w:val="5"/>
        </w:numPr>
        <w:tabs>
          <w:tab w:val="left" w:pos="0"/>
          <w:tab w:val="left" w:pos="993"/>
        </w:tabs>
        <w:spacing w:after="200"/>
        <w:ind w:left="0" w:firstLine="851"/>
        <w:contextualSpacing/>
        <w:jc w:val="both"/>
        <w:rPr>
          <w:lang w:eastAsia="lt-LT"/>
        </w:rPr>
      </w:pPr>
      <w:bookmarkStart w:id="15" w:name="_Hlk54188424"/>
      <w:r w:rsidRPr="0047330D">
        <w:rPr>
          <w:lang w:eastAsia="lt-LT"/>
        </w:rPr>
        <w:t>Mirtingumas transporto įvykiuose  (V00</w:t>
      </w:r>
      <w:r w:rsidR="000B3EB9">
        <w:rPr>
          <w:lang w:eastAsia="lt-LT"/>
        </w:rPr>
        <w:t>–</w:t>
      </w:r>
      <w:r w:rsidRPr="0047330D">
        <w:rPr>
          <w:lang w:eastAsia="lt-LT"/>
        </w:rPr>
        <w:t>V99) 100 000 gyv.;</w:t>
      </w:r>
    </w:p>
    <w:bookmarkEnd w:id="15"/>
    <w:p w:rsidR="0047330D" w:rsidRPr="0047330D" w:rsidRDefault="0047330D" w:rsidP="00872820">
      <w:pPr>
        <w:numPr>
          <w:ilvl w:val="0"/>
          <w:numId w:val="5"/>
        </w:numPr>
        <w:tabs>
          <w:tab w:val="left" w:pos="0"/>
          <w:tab w:val="left" w:pos="993"/>
        </w:tabs>
        <w:spacing w:after="200"/>
        <w:ind w:left="0" w:firstLine="851"/>
        <w:contextualSpacing/>
        <w:jc w:val="both"/>
        <w:rPr>
          <w:lang w:eastAsia="lt-LT"/>
        </w:rPr>
      </w:pPr>
      <w:r w:rsidRPr="0047330D">
        <w:rPr>
          <w:lang w:eastAsia="lt-LT"/>
        </w:rPr>
        <w:t>Pėsčiųjų mirtingumas nuo transporto įvykių (V00</w:t>
      </w:r>
      <w:r w:rsidR="000B3EB9">
        <w:rPr>
          <w:lang w:eastAsia="lt-LT"/>
        </w:rPr>
        <w:t>–</w:t>
      </w:r>
      <w:r w:rsidRPr="0047330D">
        <w:rPr>
          <w:lang w:eastAsia="lt-LT"/>
        </w:rPr>
        <w:t>V09) 100 000 gyv.;</w:t>
      </w:r>
    </w:p>
    <w:p w:rsidR="0047330D" w:rsidRPr="0047330D" w:rsidRDefault="0047330D" w:rsidP="00872820">
      <w:pPr>
        <w:numPr>
          <w:ilvl w:val="0"/>
          <w:numId w:val="5"/>
        </w:numPr>
        <w:tabs>
          <w:tab w:val="left" w:pos="993"/>
        </w:tabs>
        <w:ind w:left="0" w:firstLine="851"/>
        <w:jc w:val="both"/>
      </w:pPr>
      <w:r w:rsidRPr="0047330D">
        <w:rPr>
          <w:lang w:eastAsia="lt-LT"/>
        </w:rPr>
        <w:t>Traumų dėl transporto įvykių (V00</w:t>
      </w:r>
      <w:r w:rsidR="000B3EB9">
        <w:rPr>
          <w:lang w:eastAsia="lt-LT"/>
        </w:rPr>
        <w:t>–</w:t>
      </w:r>
      <w:r w:rsidRPr="0047330D">
        <w:rPr>
          <w:lang w:eastAsia="lt-LT"/>
        </w:rPr>
        <w:t>V99) sk</w:t>
      </w:r>
      <w:r w:rsidR="000B3EB9">
        <w:rPr>
          <w:lang w:eastAsia="lt-LT"/>
        </w:rPr>
        <w:t>aičius</w:t>
      </w:r>
      <w:r w:rsidRPr="0047330D">
        <w:rPr>
          <w:lang w:eastAsia="lt-LT"/>
        </w:rPr>
        <w:t xml:space="preserve"> 10 000 gyv.;</w:t>
      </w:r>
      <w:r w:rsidRPr="0047330D">
        <w:t xml:space="preserve"> </w:t>
      </w:r>
    </w:p>
    <w:p w:rsidR="0047330D" w:rsidRPr="0047330D" w:rsidRDefault="0047330D" w:rsidP="00872820">
      <w:pPr>
        <w:numPr>
          <w:ilvl w:val="0"/>
          <w:numId w:val="5"/>
        </w:numPr>
        <w:tabs>
          <w:tab w:val="left" w:pos="993"/>
        </w:tabs>
        <w:ind w:left="0" w:firstLine="851"/>
        <w:jc w:val="both"/>
      </w:pPr>
      <w:r w:rsidRPr="0047330D">
        <w:t>Nusikalstamos veikos, susijusios su disponavimu narkotinėmis medžiagomis ir jų kontrabanda (nusikaltimai)</w:t>
      </w:r>
      <w:r w:rsidR="000B3EB9">
        <w:t>,</w:t>
      </w:r>
      <w:r w:rsidRPr="0047330D">
        <w:t xml:space="preserve"> 100 000 gyv.;</w:t>
      </w:r>
    </w:p>
    <w:p w:rsidR="0047330D" w:rsidRPr="0047330D" w:rsidRDefault="0047330D" w:rsidP="00872820">
      <w:pPr>
        <w:numPr>
          <w:ilvl w:val="0"/>
          <w:numId w:val="5"/>
        </w:numPr>
        <w:tabs>
          <w:tab w:val="left" w:pos="993"/>
        </w:tabs>
        <w:ind w:left="0" w:firstLine="851"/>
        <w:jc w:val="both"/>
      </w:pPr>
      <w:r w:rsidRPr="0047330D">
        <w:t>Gyventojų skaičius, tenkantis 1 tabako licencijai;</w:t>
      </w:r>
    </w:p>
    <w:p w:rsidR="0047330D" w:rsidRPr="0047330D" w:rsidRDefault="0047330D" w:rsidP="00872820">
      <w:pPr>
        <w:numPr>
          <w:ilvl w:val="0"/>
          <w:numId w:val="5"/>
        </w:numPr>
        <w:tabs>
          <w:tab w:val="left" w:pos="993"/>
        </w:tabs>
        <w:ind w:left="0" w:firstLine="851"/>
        <w:contextualSpacing/>
        <w:jc w:val="both"/>
      </w:pPr>
      <w:r w:rsidRPr="0047330D">
        <w:t>Kūdikių, išimtinai žindytų iki 6 mėn. amžiaus, dalis (proc.);</w:t>
      </w:r>
    </w:p>
    <w:p w:rsidR="0047330D" w:rsidRPr="0047330D" w:rsidRDefault="0047330D" w:rsidP="000B3EB9">
      <w:pPr>
        <w:numPr>
          <w:ilvl w:val="0"/>
          <w:numId w:val="5"/>
        </w:numPr>
        <w:tabs>
          <w:tab w:val="left" w:pos="993"/>
        </w:tabs>
        <w:ind w:left="0" w:firstLine="851"/>
        <w:contextualSpacing/>
        <w:jc w:val="both"/>
      </w:pPr>
      <w:r w:rsidRPr="0047330D">
        <w:t>Išvengiamų hospitalizacijų (IH) skaičius 1 000 gyv.;</w:t>
      </w:r>
    </w:p>
    <w:p w:rsidR="0047330D" w:rsidRPr="0047330D" w:rsidRDefault="0047330D" w:rsidP="000B3EB9">
      <w:pPr>
        <w:numPr>
          <w:ilvl w:val="0"/>
          <w:numId w:val="5"/>
        </w:numPr>
        <w:tabs>
          <w:tab w:val="left" w:pos="0"/>
          <w:tab w:val="left" w:pos="993"/>
        </w:tabs>
        <w:ind w:left="0" w:firstLine="851"/>
        <w:contextualSpacing/>
        <w:jc w:val="both"/>
        <w:rPr>
          <w:lang w:eastAsia="lt-LT"/>
        </w:rPr>
      </w:pPr>
      <w:r w:rsidRPr="0047330D">
        <w:rPr>
          <w:lang w:eastAsia="lt-LT"/>
        </w:rPr>
        <w:t>Slaugytojų, tenkančių vienam gydytojui, skaičius;</w:t>
      </w:r>
    </w:p>
    <w:p w:rsidR="0047330D" w:rsidRPr="0047330D" w:rsidRDefault="0047330D" w:rsidP="000B3EB9">
      <w:pPr>
        <w:numPr>
          <w:ilvl w:val="0"/>
          <w:numId w:val="5"/>
        </w:numPr>
        <w:tabs>
          <w:tab w:val="left" w:pos="0"/>
          <w:tab w:val="left" w:pos="993"/>
        </w:tabs>
        <w:ind w:left="0" w:firstLine="851"/>
        <w:contextualSpacing/>
        <w:jc w:val="both"/>
        <w:rPr>
          <w:lang w:eastAsia="lt-LT"/>
        </w:rPr>
      </w:pPr>
      <w:r w:rsidRPr="0047330D">
        <w:rPr>
          <w:lang w:eastAsia="lt-LT"/>
        </w:rPr>
        <w:t>Šeimos gydytojų skaičius 10 000 gyventojų;</w:t>
      </w:r>
    </w:p>
    <w:p w:rsidR="0047330D" w:rsidRPr="0047330D" w:rsidRDefault="0047330D" w:rsidP="000B3EB9">
      <w:pPr>
        <w:numPr>
          <w:ilvl w:val="0"/>
          <w:numId w:val="5"/>
        </w:numPr>
        <w:tabs>
          <w:tab w:val="left" w:pos="0"/>
          <w:tab w:val="left" w:pos="993"/>
        </w:tabs>
        <w:ind w:left="0" w:firstLine="851"/>
        <w:contextualSpacing/>
        <w:jc w:val="both"/>
        <w:rPr>
          <w:lang w:eastAsia="lt-LT"/>
        </w:rPr>
      </w:pPr>
      <w:r w:rsidRPr="0047330D">
        <w:rPr>
          <w:lang w:eastAsia="lt-LT"/>
        </w:rPr>
        <w:t>Apsilankymų pas gydytojus skaičius 1 gyv.;</w:t>
      </w:r>
    </w:p>
    <w:p w:rsidR="0047330D" w:rsidRPr="0047330D" w:rsidRDefault="0047330D" w:rsidP="000B3EB9">
      <w:pPr>
        <w:numPr>
          <w:ilvl w:val="0"/>
          <w:numId w:val="5"/>
        </w:numPr>
        <w:tabs>
          <w:tab w:val="left" w:pos="993"/>
        </w:tabs>
        <w:ind w:left="0" w:firstLine="851"/>
        <w:jc w:val="both"/>
      </w:pPr>
      <w:r w:rsidRPr="0047330D">
        <w:t>Sergamumas ŽIV ir LPL (B20</w:t>
      </w:r>
      <w:r w:rsidR="000B3EB9">
        <w:t>–</w:t>
      </w:r>
      <w:r w:rsidRPr="0047330D">
        <w:t>B24, Z21, A50</w:t>
      </w:r>
      <w:r w:rsidR="000B3EB9">
        <w:t>–</w:t>
      </w:r>
      <w:r w:rsidRPr="0047330D">
        <w:t>A54, A56) 10 000 gyv.;</w:t>
      </w:r>
    </w:p>
    <w:p w:rsidR="0047330D" w:rsidRPr="0047330D" w:rsidRDefault="0047330D" w:rsidP="000B3EB9">
      <w:pPr>
        <w:numPr>
          <w:ilvl w:val="0"/>
          <w:numId w:val="5"/>
        </w:numPr>
        <w:tabs>
          <w:tab w:val="left" w:pos="0"/>
          <w:tab w:val="left" w:pos="993"/>
        </w:tabs>
        <w:ind w:left="0" w:firstLine="851"/>
        <w:contextualSpacing/>
        <w:jc w:val="both"/>
        <w:rPr>
          <w:lang w:eastAsia="lt-LT"/>
        </w:rPr>
      </w:pPr>
      <w:r w:rsidRPr="0047330D">
        <w:rPr>
          <w:lang w:eastAsia="lt-LT"/>
        </w:rPr>
        <w:t>Kūdikių mirtingumas 1 000 gyvų gimusių;</w:t>
      </w:r>
    </w:p>
    <w:p w:rsidR="0047330D" w:rsidRPr="0047330D" w:rsidRDefault="0047330D" w:rsidP="000B3EB9">
      <w:pPr>
        <w:numPr>
          <w:ilvl w:val="0"/>
          <w:numId w:val="5"/>
        </w:numPr>
        <w:tabs>
          <w:tab w:val="left" w:pos="993"/>
        </w:tabs>
        <w:ind w:left="0" w:firstLine="851"/>
        <w:jc w:val="both"/>
      </w:pPr>
      <w:r w:rsidRPr="0047330D">
        <w:t>Vaikų (6</w:t>
      </w:r>
      <w:r w:rsidR="000B3EB9">
        <w:t>–</w:t>
      </w:r>
      <w:r w:rsidRPr="0047330D">
        <w:t>14 m.) dalis, dalyvavusi dantų dengimo silantinėmis medžiagomis programoje, proc.;</w:t>
      </w:r>
    </w:p>
    <w:p w:rsidR="0047330D" w:rsidRPr="0047330D" w:rsidRDefault="0047330D" w:rsidP="00872820">
      <w:pPr>
        <w:numPr>
          <w:ilvl w:val="0"/>
          <w:numId w:val="5"/>
        </w:numPr>
        <w:tabs>
          <w:tab w:val="left" w:pos="0"/>
          <w:tab w:val="left" w:pos="993"/>
        </w:tabs>
        <w:ind w:left="0" w:firstLine="851"/>
        <w:contextualSpacing/>
        <w:jc w:val="both"/>
        <w:rPr>
          <w:lang w:eastAsia="lt-LT"/>
        </w:rPr>
      </w:pPr>
      <w:r w:rsidRPr="0047330D">
        <w:rPr>
          <w:lang w:eastAsia="lt-LT"/>
        </w:rPr>
        <w:t>Paauglių (15–17 m.) gimdymų skaičius 1000 15</w:t>
      </w:r>
      <w:r w:rsidR="000B3EB9">
        <w:rPr>
          <w:lang w:eastAsia="lt-LT"/>
        </w:rPr>
        <w:t>–</w:t>
      </w:r>
      <w:r w:rsidRPr="0047330D">
        <w:rPr>
          <w:lang w:eastAsia="lt-LT"/>
        </w:rPr>
        <w:t>17 m. moterų;</w:t>
      </w:r>
    </w:p>
    <w:p w:rsidR="0047330D" w:rsidRPr="0047330D" w:rsidRDefault="0047330D" w:rsidP="00872820">
      <w:pPr>
        <w:numPr>
          <w:ilvl w:val="0"/>
          <w:numId w:val="5"/>
        </w:numPr>
        <w:tabs>
          <w:tab w:val="left" w:pos="993"/>
        </w:tabs>
        <w:ind w:left="0" w:firstLine="851"/>
        <w:jc w:val="both"/>
      </w:pPr>
      <w:r w:rsidRPr="0047330D">
        <w:t>Mirtingumas nuo piktybinių navikų (C00</w:t>
      </w:r>
      <w:r w:rsidR="000B3EB9">
        <w:t>–</w:t>
      </w:r>
      <w:r w:rsidRPr="0047330D">
        <w:t>C96) 100 000 gyv.;</w:t>
      </w:r>
    </w:p>
    <w:p w:rsidR="0047330D" w:rsidRPr="0047330D" w:rsidRDefault="0047330D" w:rsidP="00872820">
      <w:pPr>
        <w:numPr>
          <w:ilvl w:val="0"/>
          <w:numId w:val="5"/>
        </w:numPr>
        <w:tabs>
          <w:tab w:val="left" w:pos="0"/>
          <w:tab w:val="left" w:pos="993"/>
        </w:tabs>
        <w:ind w:left="0" w:firstLine="851"/>
        <w:contextualSpacing/>
        <w:jc w:val="both"/>
        <w:rPr>
          <w:lang w:eastAsia="lt-LT"/>
        </w:rPr>
      </w:pPr>
      <w:r w:rsidRPr="0047330D">
        <w:rPr>
          <w:lang w:eastAsia="lt-LT"/>
        </w:rPr>
        <w:t>Mirtingumo nuo cerebrovaskulinių ligų rodiklis (I60</w:t>
      </w:r>
      <w:r w:rsidR="000B3EB9">
        <w:rPr>
          <w:lang w:eastAsia="lt-LT"/>
        </w:rPr>
        <w:t>–</w:t>
      </w:r>
      <w:r w:rsidRPr="0047330D">
        <w:rPr>
          <w:lang w:eastAsia="lt-LT"/>
        </w:rPr>
        <w:t>I69) 100 000 gyv.;</w:t>
      </w:r>
    </w:p>
    <w:p w:rsidR="0047330D" w:rsidRPr="0047330D" w:rsidRDefault="0047330D" w:rsidP="00872820">
      <w:pPr>
        <w:numPr>
          <w:ilvl w:val="0"/>
          <w:numId w:val="5"/>
        </w:numPr>
        <w:tabs>
          <w:tab w:val="left" w:pos="0"/>
          <w:tab w:val="left" w:pos="993"/>
        </w:tabs>
        <w:spacing w:after="200"/>
        <w:ind w:left="0" w:firstLine="851"/>
        <w:contextualSpacing/>
        <w:jc w:val="both"/>
        <w:rPr>
          <w:lang w:eastAsia="lt-LT"/>
        </w:rPr>
      </w:pPr>
      <w:r w:rsidRPr="0047330D">
        <w:rPr>
          <w:lang w:eastAsia="lt-LT"/>
        </w:rPr>
        <w:t>Sergamumas II tipo cukriniu diabetu (E11) 10 000 gyventojų;</w:t>
      </w:r>
    </w:p>
    <w:p w:rsidR="0047330D" w:rsidRDefault="0047330D" w:rsidP="00872820">
      <w:pPr>
        <w:numPr>
          <w:ilvl w:val="0"/>
          <w:numId w:val="5"/>
        </w:numPr>
        <w:tabs>
          <w:tab w:val="left" w:pos="0"/>
          <w:tab w:val="left" w:pos="993"/>
        </w:tabs>
        <w:spacing w:after="200"/>
        <w:ind w:left="0" w:firstLine="851"/>
        <w:contextualSpacing/>
        <w:jc w:val="both"/>
        <w:rPr>
          <w:lang w:eastAsia="lt-LT"/>
        </w:rPr>
      </w:pPr>
      <w:r w:rsidRPr="0047330D">
        <w:rPr>
          <w:lang w:eastAsia="lt-LT"/>
        </w:rPr>
        <w:t xml:space="preserve">Tikslinės populiacijos dalis (proc.), 2 metų </w:t>
      </w:r>
      <w:r w:rsidR="000B3EB9">
        <w:rPr>
          <w:lang w:eastAsia="lt-LT"/>
        </w:rPr>
        <w:t>laikotarpiu</w:t>
      </w:r>
      <w:r w:rsidRPr="0047330D">
        <w:rPr>
          <w:lang w:eastAsia="lt-LT"/>
        </w:rPr>
        <w:t xml:space="preserve"> dalyvavusi storosios žarnos vėžio programoje.</w:t>
      </w:r>
    </w:p>
    <w:p w:rsidR="00ED4472" w:rsidRPr="0047330D" w:rsidRDefault="00ED4472" w:rsidP="00872820">
      <w:pPr>
        <w:tabs>
          <w:tab w:val="left" w:pos="0"/>
          <w:tab w:val="left" w:pos="993"/>
        </w:tabs>
        <w:spacing w:after="200"/>
        <w:ind w:firstLine="851"/>
        <w:contextualSpacing/>
        <w:jc w:val="both"/>
        <w:rPr>
          <w:lang w:eastAsia="lt-LT"/>
        </w:rPr>
      </w:pPr>
    </w:p>
    <w:p w:rsidR="0047330D" w:rsidRPr="0047330D" w:rsidRDefault="0047330D" w:rsidP="00790468">
      <w:pPr>
        <w:numPr>
          <w:ilvl w:val="0"/>
          <w:numId w:val="1"/>
        </w:numPr>
        <w:tabs>
          <w:tab w:val="left" w:pos="0"/>
          <w:tab w:val="left" w:pos="1134"/>
        </w:tabs>
        <w:spacing w:after="200"/>
        <w:ind w:left="0" w:firstLine="851"/>
        <w:contextualSpacing/>
        <w:jc w:val="both"/>
        <w:rPr>
          <w:lang w:eastAsia="lt-LT"/>
        </w:rPr>
      </w:pPr>
      <w:r w:rsidRPr="0047330D">
        <w:rPr>
          <w:lang w:eastAsia="lt-LT"/>
        </w:rPr>
        <w:t>10 rodiklių reikšmės yra prastesnės nei Lietuvos vidurkis (</w:t>
      </w:r>
      <w:r w:rsidRPr="0047330D">
        <w:rPr>
          <w:color w:val="FF0000"/>
          <w:lang w:eastAsia="lt-LT"/>
        </w:rPr>
        <w:t>raudonoji zona</w:t>
      </w:r>
      <w:r w:rsidRPr="0047330D">
        <w:rPr>
          <w:lang w:eastAsia="lt-LT"/>
        </w:rPr>
        <w:t>):</w:t>
      </w:r>
      <w:bookmarkStart w:id="16" w:name="_Hlk86331480"/>
    </w:p>
    <w:p w:rsidR="0047330D" w:rsidRPr="0047330D" w:rsidRDefault="0047330D" w:rsidP="00872820">
      <w:pPr>
        <w:numPr>
          <w:ilvl w:val="0"/>
          <w:numId w:val="5"/>
        </w:numPr>
        <w:tabs>
          <w:tab w:val="left" w:pos="993"/>
        </w:tabs>
        <w:spacing w:after="200"/>
        <w:ind w:left="0" w:firstLine="851"/>
        <w:contextualSpacing/>
        <w:jc w:val="both"/>
      </w:pPr>
      <w:r w:rsidRPr="0047330D">
        <w:t>Sergamumas tuberkulioze (A15</w:t>
      </w:r>
      <w:r w:rsidR="00790468">
        <w:t>–</w:t>
      </w:r>
      <w:r w:rsidRPr="0047330D">
        <w:t>A19) 100 000 gyv. (TB registro duomenys);</w:t>
      </w:r>
    </w:p>
    <w:p w:rsidR="0047330D" w:rsidRPr="0047330D" w:rsidRDefault="0047330D" w:rsidP="00872820">
      <w:pPr>
        <w:numPr>
          <w:ilvl w:val="0"/>
          <w:numId w:val="5"/>
        </w:numPr>
        <w:tabs>
          <w:tab w:val="left" w:pos="993"/>
        </w:tabs>
        <w:ind w:left="0" w:firstLine="851"/>
        <w:contextualSpacing/>
        <w:jc w:val="both"/>
      </w:pPr>
      <w:r w:rsidRPr="0047330D">
        <w:t>Sergamumas tuberkulioze (+ recidyvai) (A15</w:t>
      </w:r>
      <w:r w:rsidR="00790468">
        <w:t>–</w:t>
      </w:r>
      <w:r w:rsidRPr="0047330D">
        <w:t>A19) 100 000 gyv. (TB registro duomenys);</w:t>
      </w:r>
    </w:p>
    <w:p w:rsidR="0047330D" w:rsidRPr="0047330D" w:rsidRDefault="0047330D" w:rsidP="00872820">
      <w:pPr>
        <w:numPr>
          <w:ilvl w:val="0"/>
          <w:numId w:val="5"/>
        </w:numPr>
        <w:tabs>
          <w:tab w:val="left" w:pos="993"/>
        </w:tabs>
        <w:ind w:left="0" w:firstLine="851"/>
        <w:jc w:val="both"/>
      </w:pPr>
      <w:r w:rsidRPr="0047330D">
        <w:rPr>
          <w:lang w:eastAsia="lt-LT"/>
        </w:rPr>
        <w:t>Asmenų, žuvusių ar sunkiai sužalotų darbe, skaičius 10 000 gyv.;</w:t>
      </w:r>
    </w:p>
    <w:p w:rsidR="0047330D" w:rsidRPr="0047330D" w:rsidRDefault="0047330D" w:rsidP="00872820">
      <w:pPr>
        <w:numPr>
          <w:ilvl w:val="0"/>
          <w:numId w:val="5"/>
        </w:numPr>
        <w:tabs>
          <w:tab w:val="left" w:pos="993"/>
        </w:tabs>
        <w:ind w:left="0" w:firstLine="851"/>
        <w:jc w:val="both"/>
      </w:pPr>
      <w:r w:rsidRPr="0047330D">
        <w:t>Į atmosferą iš stacionarių taršos šaltinių išmestų teršalų kiekis, tenkantis 1 kv. km;</w:t>
      </w:r>
    </w:p>
    <w:p w:rsidR="0047330D" w:rsidRPr="0047330D" w:rsidRDefault="0047330D" w:rsidP="00872820">
      <w:pPr>
        <w:numPr>
          <w:ilvl w:val="0"/>
          <w:numId w:val="5"/>
        </w:numPr>
        <w:tabs>
          <w:tab w:val="left" w:pos="993"/>
        </w:tabs>
        <w:spacing w:after="200"/>
        <w:ind w:left="0" w:firstLine="851"/>
        <w:contextualSpacing/>
      </w:pPr>
      <w:r w:rsidRPr="0047330D">
        <w:t>Mirtingumas nuo narkotikų sąlygotų priežasčių 100 000 gyv.;</w:t>
      </w:r>
    </w:p>
    <w:p w:rsidR="0047330D" w:rsidRPr="0047330D" w:rsidRDefault="0047330D" w:rsidP="00872820">
      <w:pPr>
        <w:numPr>
          <w:ilvl w:val="0"/>
          <w:numId w:val="5"/>
        </w:numPr>
        <w:tabs>
          <w:tab w:val="left" w:pos="993"/>
        </w:tabs>
        <w:ind w:left="0" w:firstLine="851"/>
        <w:jc w:val="both"/>
      </w:pPr>
      <w:r w:rsidRPr="0047330D">
        <w:t>Gyventojų skaičius, tenkantis 1 alkoholio licencijai;</w:t>
      </w:r>
    </w:p>
    <w:p w:rsidR="0047330D" w:rsidRPr="0047330D" w:rsidRDefault="0047330D" w:rsidP="00872820">
      <w:pPr>
        <w:numPr>
          <w:ilvl w:val="0"/>
          <w:numId w:val="5"/>
        </w:numPr>
        <w:tabs>
          <w:tab w:val="left" w:pos="993"/>
        </w:tabs>
        <w:ind w:left="0" w:firstLine="851"/>
        <w:jc w:val="both"/>
      </w:pPr>
      <w:r w:rsidRPr="0047330D">
        <w:t>Išvengiamų hospitalizacijų dėl diabeto skaičius (18+ m.) 1 000 gyv.;</w:t>
      </w:r>
    </w:p>
    <w:p w:rsidR="0047330D" w:rsidRDefault="0047330D" w:rsidP="00872820">
      <w:pPr>
        <w:numPr>
          <w:ilvl w:val="0"/>
          <w:numId w:val="5"/>
        </w:numPr>
        <w:tabs>
          <w:tab w:val="left" w:pos="993"/>
        </w:tabs>
        <w:ind w:left="0" w:firstLine="851"/>
        <w:contextualSpacing/>
        <w:jc w:val="both"/>
      </w:pPr>
      <w:r w:rsidRPr="0047330D">
        <w:t>Sergamumas vaistams atsparia tuberkulioze (A15</w:t>
      </w:r>
      <w:r w:rsidR="00790468">
        <w:t>–</w:t>
      </w:r>
      <w:r w:rsidRPr="0047330D">
        <w:t>A19) (visi) 100 000 gyv. (TB registro duomenys);</w:t>
      </w:r>
    </w:p>
    <w:p w:rsidR="0047330D" w:rsidRPr="0047330D" w:rsidRDefault="0047330D" w:rsidP="00872820">
      <w:pPr>
        <w:numPr>
          <w:ilvl w:val="0"/>
          <w:numId w:val="5"/>
        </w:numPr>
        <w:tabs>
          <w:tab w:val="left" w:pos="993"/>
        </w:tabs>
        <w:ind w:left="0" w:firstLine="851"/>
        <w:contextualSpacing/>
        <w:jc w:val="both"/>
      </w:pPr>
      <w:r w:rsidRPr="0047330D">
        <w:t>2 metų amžiaus vaikų MMR1 (tymų, epideminio parotito, raudonukės vakcina, 1 dozė) skiepijimo apimtys, proc.;</w:t>
      </w:r>
    </w:p>
    <w:p w:rsidR="0047330D" w:rsidRPr="0047330D" w:rsidRDefault="0047330D" w:rsidP="00872820">
      <w:pPr>
        <w:numPr>
          <w:ilvl w:val="0"/>
          <w:numId w:val="5"/>
        </w:numPr>
        <w:tabs>
          <w:tab w:val="left" w:pos="993"/>
        </w:tabs>
        <w:ind w:left="0" w:firstLine="851"/>
        <w:contextualSpacing/>
        <w:jc w:val="both"/>
      </w:pPr>
      <w:r w:rsidRPr="0047330D">
        <w:t>1 metų amžiaus vaikų DTP3 (difterijos, stabligės, kokliušo vakcina), poliomielito ir B tipo Haemophilus influenzae infekcijos skiepijimo apimtys (3 dozės), proc.</w:t>
      </w:r>
    </w:p>
    <w:bookmarkEnd w:id="16"/>
    <w:p w:rsidR="0047330D" w:rsidRPr="0047330D" w:rsidRDefault="0047330D" w:rsidP="00872820">
      <w:pPr>
        <w:tabs>
          <w:tab w:val="left" w:pos="284"/>
          <w:tab w:val="left" w:pos="426"/>
          <w:tab w:val="left" w:pos="567"/>
          <w:tab w:val="left" w:pos="709"/>
          <w:tab w:val="left" w:pos="993"/>
        </w:tabs>
        <w:ind w:firstLine="851"/>
        <w:contextualSpacing/>
        <w:jc w:val="both"/>
        <w:rPr>
          <w:color w:val="000000"/>
          <w:lang w:eastAsia="lt-LT"/>
        </w:rPr>
      </w:pPr>
    </w:p>
    <w:p w:rsidR="0047330D" w:rsidRPr="0047330D" w:rsidRDefault="0047330D" w:rsidP="00872820">
      <w:pPr>
        <w:tabs>
          <w:tab w:val="left" w:pos="993"/>
        </w:tabs>
        <w:ind w:firstLine="851"/>
        <w:jc w:val="both"/>
        <w:rPr>
          <w:rFonts w:eastAsiaTheme="minorHAnsi"/>
        </w:rPr>
      </w:pPr>
      <w:r w:rsidRPr="0047330D">
        <w:rPr>
          <w:rFonts w:eastAsiaTheme="minorHAnsi"/>
        </w:rPr>
        <w:t xml:space="preserve">Klaipėdos m. sav. </w:t>
      </w:r>
      <w:r w:rsidR="00790468">
        <w:rPr>
          <w:rFonts w:eastAsiaTheme="minorHAnsi"/>
        </w:rPr>
        <w:t>b</w:t>
      </w:r>
      <w:r w:rsidRPr="0047330D">
        <w:rPr>
          <w:rFonts w:eastAsiaTheme="minorHAnsi"/>
        </w:rPr>
        <w:t>endruomenės sveikatos taryba išrinko prioritetinius visuomenės sveikatos stebėsenos rodiklius:</w:t>
      </w:r>
    </w:p>
    <w:p w:rsidR="0047330D" w:rsidRPr="0047330D" w:rsidRDefault="0047330D" w:rsidP="00872820">
      <w:pPr>
        <w:numPr>
          <w:ilvl w:val="0"/>
          <w:numId w:val="5"/>
        </w:numPr>
        <w:tabs>
          <w:tab w:val="left" w:pos="993"/>
        </w:tabs>
        <w:spacing w:after="200"/>
        <w:ind w:left="0" w:firstLine="851"/>
        <w:contextualSpacing/>
        <w:jc w:val="both"/>
      </w:pPr>
      <w:bookmarkStart w:id="17" w:name="_Toc496874357"/>
      <w:r w:rsidRPr="0047330D">
        <w:t>Sergamumas tuberkulioze (A15</w:t>
      </w:r>
      <w:r w:rsidR="00790468">
        <w:t>–</w:t>
      </w:r>
      <w:r w:rsidRPr="0047330D">
        <w:t>A19) 100 000 gyv. (TB registro duomenys);</w:t>
      </w:r>
    </w:p>
    <w:p w:rsidR="0047330D" w:rsidRPr="0047330D" w:rsidRDefault="0047330D" w:rsidP="00872820">
      <w:pPr>
        <w:numPr>
          <w:ilvl w:val="0"/>
          <w:numId w:val="5"/>
        </w:numPr>
        <w:tabs>
          <w:tab w:val="left" w:pos="993"/>
        </w:tabs>
        <w:spacing w:after="200"/>
        <w:ind w:left="0" w:firstLine="851"/>
        <w:contextualSpacing/>
        <w:jc w:val="both"/>
      </w:pPr>
      <w:r w:rsidRPr="0047330D">
        <w:t>Sergamumas tuberkulioze (+ recidyvai) (A15</w:t>
      </w:r>
      <w:r w:rsidR="00790468">
        <w:t>–</w:t>
      </w:r>
      <w:r w:rsidRPr="0047330D">
        <w:t>A19) 100 000 gyv. (TB registro duomenys);</w:t>
      </w:r>
    </w:p>
    <w:p w:rsidR="0047330D" w:rsidRPr="0047330D" w:rsidRDefault="0047330D" w:rsidP="00872820">
      <w:pPr>
        <w:numPr>
          <w:ilvl w:val="0"/>
          <w:numId w:val="5"/>
        </w:numPr>
        <w:tabs>
          <w:tab w:val="left" w:pos="993"/>
        </w:tabs>
        <w:spacing w:after="200"/>
        <w:ind w:left="0" w:firstLine="851"/>
        <w:contextualSpacing/>
      </w:pPr>
      <w:r w:rsidRPr="0047330D">
        <w:t>Sergamumas vaistams atsparia tuberkulioze (A15</w:t>
      </w:r>
      <w:r w:rsidR="00790468">
        <w:t>–</w:t>
      </w:r>
      <w:r w:rsidRPr="0047330D">
        <w:t>A19) (visi) 100 000 gyv. (TB registro duomenys).</w:t>
      </w:r>
    </w:p>
    <w:p w:rsidR="0047330D" w:rsidRPr="0047330D" w:rsidRDefault="0047330D" w:rsidP="0047330D">
      <w:pPr>
        <w:spacing w:after="200" w:line="276" w:lineRule="auto"/>
        <w:ind w:left="785"/>
        <w:contextualSpacing/>
      </w:pPr>
    </w:p>
    <w:p w:rsidR="0047330D" w:rsidRPr="0047330D" w:rsidRDefault="0047330D" w:rsidP="0047330D">
      <w:pPr>
        <w:jc w:val="center"/>
        <w:rPr>
          <w:rFonts w:eastAsiaTheme="majorEastAsia"/>
          <w:b/>
          <w:bCs/>
        </w:rPr>
      </w:pPr>
      <w:r w:rsidRPr="0047330D">
        <w:rPr>
          <w:rFonts w:eastAsiaTheme="majorEastAsia"/>
          <w:b/>
          <w:bCs/>
        </w:rPr>
        <w:t>Nauji tuberkuliozės atvejai</w:t>
      </w:r>
    </w:p>
    <w:p w:rsidR="0047330D" w:rsidRPr="0047330D" w:rsidRDefault="0047330D" w:rsidP="0047330D">
      <w:pPr>
        <w:ind w:firstLine="851"/>
        <w:jc w:val="both"/>
        <w:rPr>
          <w:rFonts w:eastAsiaTheme="majorEastAsia"/>
          <w:b/>
          <w:bCs/>
          <w:highlight w:val="yellow"/>
        </w:rPr>
      </w:pPr>
    </w:p>
    <w:p w:rsidR="0047330D" w:rsidRPr="0047330D" w:rsidRDefault="0047330D" w:rsidP="0047330D">
      <w:pPr>
        <w:ind w:firstLine="851"/>
        <w:jc w:val="both"/>
        <w:rPr>
          <w:rFonts w:eastAsiaTheme="minorHAnsi"/>
        </w:rPr>
      </w:pPr>
      <w:r w:rsidRPr="0047330D">
        <w:rPr>
          <w:rFonts w:eastAsiaTheme="minorHAnsi"/>
        </w:rPr>
        <w:t>Tuberkuliozė – visuomenei pavojinga infekcija, kadangi bakterijos nuo sergančio asmens plinta gana lengvai, be to, valstybei brangiai kainuoja, nes ligoniai ilgai gydomi specializuotuose tuberkuliozės stacionaruose.</w:t>
      </w:r>
    </w:p>
    <w:p w:rsidR="0047330D" w:rsidRPr="005E5DEE" w:rsidRDefault="0047330D" w:rsidP="0047330D">
      <w:pPr>
        <w:ind w:firstLine="851"/>
        <w:jc w:val="both"/>
        <w:rPr>
          <w:rFonts w:eastAsiaTheme="minorHAnsi"/>
        </w:rPr>
      </w:pPr>
      <w:r w:rsidRPr="0047330D">
        <w:rPr>
          <w:rFonts w:eastAsiaTheme="minorHAnsi"/>
        </w:rPr>
        <w:t xml:space="preserve">Tuberkuliozės plitimą Lietuvoje lemia šios pagrindinės priežastys: socialinės (nedarbas, skurdas, alkoholio, narkotikų vartojimas), psichologinės (dalies sergančiųjų nesuvokimas tuberkuliozės sukeliamų sveikatos sutrikimų sunkumo, nenoras gydytis ir baigti gydymo kursą, gydymo režimo pažeidimai), organizacinės (pacientai neturi lėšų pasiekti gydymo įstaigas). PSO rekomenduota tiesiogiai stebimo trumpo gydymo kurso (DOTS) strategija Lietuvoje taikoma stacionaruose bei ambulatoriškai </w:t>
      </w:r>
      <w:r w:rsidRPr="005E5DEE">
        <w:rPr>
          <w:rFonts w:eastAsiaTheme="minorHAnsi"/>
        </w:rPr>
        <w:t>besigydantiems ligoniams.</w:t>
      </w:r>
    </w:p>
    <w:p w:rsidR="0047330D" w:rsidRPr="0047330D" w:rsidRDefault="0047330D" w:rsidP="0047330D">
      <w:pPr>
        <w:ind w:firstLine="851"/>
        <w:jc w:val="both"/>
        <w:rPr>
          <w:rFonts w:eastAsiaTheme="minorHAnsi"/>
        </w:rPr>
      </w:pPr>
      <w:r w:rsidRPr="0047330D">
        <w:rPr>
          <w:rFonts w:eastAsiaTheme="minorHAnsi"/>
        </w:rPr>
        <w:t>Lietuvoje tuberkuliozė yra aktuali problema, kadangi beveik visose savivaldybėse 2021</w:t>
      </w:r>
      <w:r w:rsidR="003B24A2">
        <w:rPr>
          <w:rFonts w:eastAsiaTheme="minorHAnsi"/>
        </w:rPr>
        <w:t> </w:t>
      </w:r>
      <w:r w:rsidRPr="0047330D">
        <w:rPr>
          <w:rFonts w:eastAsiaTheme="minorHAnsi"/>
        </w:rPr>
        <w:t xml:space="preserve">metais buvo registruojami nauji šios ligos atvejai. Iš viso Lietuvoje tais metais užregistruota 550 naujų atvejų (19,6/100 000 gyv.). Prasčiausia situacija Radviliškio r. sav., Kazlų Rūdos sav., Šalčininkų r. sav. ir Akmenės r. sav. – jose Lietuvos vidurkis viršytas daugiau kaip 2 kartus. </w:t>
      </w:r>
    </w:p>
    <w:p w:rsidR="0047330D" w:rsidRPr="0047330D" w:rsidRDefault="0047330D" w:rsidP="0047330D">
      <w:pPr>
        <w:ind w:firstLine="851"/>
        <w:jc w:val="both"/>
        <w:rPr>
          <w:rFonts w:eastAsiaTheme="minorHAnsi"/>
        </w:rPr>
      </w:pPr>
      <w:r w:rsidRPr="0047330D">
        <w:rPr>
          <w:rFonts w:eastAsiaTheme="minorHAnsi"/>
        </w:rPr>
        <w:t>2021 metais Klaipėdos apskrityje buvo užregistruoti 75 nauji tuberkuliozės atvejai (23,2/100000 gyv.), iš jų 43 nustatyti Klaipėdos m. sav. (28,3/100 000 gyv.), 12 – Šilutės r. sav. (30,9/100 000 gyv.), 9 – Klaipėdos r. sav. (15,5/100 000 gyv.), 5 – Kretingos r. sav. (13,3/100 000 gyv.), 5 – Skuodo r. sav. (24,9/100 000 gyv.) ir 1 – Palangos m. sav. (12,3/100 000 gyv.). 2021 metais sergamumo tuberkulioze rodiklis Klaipėdos m. sav. viršijo Lietuvos vidurkį 1,4 karto ir</w:t>
      </w:r>
      <w:r w:rsidR="003B24A2">
        <w:rPr>
          <w:rFonts w:eastAsiaTheme="minorHAnsi"/>
        </w:rPr>
        <w:t>,</w:t>
      </w:r>
      <w:r w:rsidRPr="0047330D">
        <w:rPr>
          <w:rFonts w:eastAsiaTheme="minorHAnsi"/>
        </w:rPr>
        <w:t xml:space="preserve"> lyginant su 2020 metais</w:t>
      </w:r>
      <w:r w:rsidR="003B24A2">
        <w:rPr>
          <w:rFonts w:eastAsiaTheme="minorHAnsi"/>
        </w:rPr>
        <w:t>,</w:t>
      </w:r>
      <w:r w:rsidRPr="0047330D">
        <w:rPr>
          <w:rFonts w:eastAsiaTheme="minorHAnsi"/>
        </w:rPr>
        <w:t xml:space="preserve"> šis rodiklis ž</w:t>
      </w:r>
      <w:r w:rsidR="003B24A2">
        <w:rPr>
          <w:rFonts w:eastAsiaTheme="minorHAnsi"/>
        </w:rPr>
        <w:t>ym</w:t>
      </w:r>
      <w:r w:rsidRPr="0047330D">
        <w:rPr>
          <w:rFonts w:eastAsiaTheme="minorHAnsi"/>
        </w:rPr>
        <w:t>iai pablogėjo (2 pav.).</w:t>
      </w:r>
      <w:bookmarkStart w:id="18" w:name="_Hlk119328563"/>
    </w:p>
    <w:bookmarkEnd w:id="18"/>
    <w:p w:rsidR="0047330D" w:rsidRPr="0047330D" w:rsidRDefault="0047330D" w:rsidP="0047330D">
      <w:pPr>
        <w:jc w:val="both"/>
        <w:rPr>
          <w:color w:val="000000"/>
          <w:lang w:eastAsia="lt-LT"/>
        </w:rPr>
      </w:pPr>
    </w:p>
    <w:p w:rsidR="0047330D" w:rsidRPr="0047330D" w:rsidRDefault="0047330D" w:rsidP="0047330D">
      <w:pPr>
        <w:jc w:val="center"/>
        <w:rPr>
          <w:color w:val="000000"/>
          <w:lang w:eastAsia="lt-LT"/>
        </w:rPr>
      </w:pPr>
      <w:r w:rsidRPr="0047330D">
        <w:rPr>
          <w:noProof/>
          <w:color w:val="000000"/>
          <w:lang w:eastAsia="lt-LT"/>
        </w:rPr>
        <w:drawing>
          <wp:inline distT="0" distB="0" distL="0" distR="0" wp14:anchorId="6DB983B0" wp14:editId="00FDE4A3">
            <wp:extent cx="5043805" cy="2305050"/>
            <wp:effectExtent l="0" t="0" r="0" b="0"/>
            <wp:docPr id="24" name="Chart 24">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A2E40056-05CF-47ED-BE4B-70C1645DC1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7330D" w:rsidRPr="0047330D" w:rsidRDefault="0047330D" w:rsidP="0047330D">
      <w:pPr>
        <w:ind w:firstLine="794"/>
        <w:jc w:val="center"/>
        <w:rPr>
          <w:rFonts w:eastAsiaTheme="minorHAnsi"/>
          <w:b/>
          <w:sz w:val="22"/>
          <w:szCs w:val="22"/>
        </w:rPr>
      </w:pPr>
      <w:r w:rsidRPr="0047330D">
        <w:rPr>
          <w:rFonts w:eastAsiaTheme="minorHAnsi"/>
          <w:i/>
          <w:sz w:val="22"/>
          <w:szCs w:val="22"/>
        </w:rPr>
        <w:t>2 pav.</w:t>
      </w:r>
      <w:r w:rsidRPr="0047330D">
        <w:rPr>
          <w:rFonts w:eastAsiaTheme="minorHAnsi"/>
          <w:b/>
          <w:sz w:val="22"/>
          <w:szCs w:val="22"/>
        </w:rPr>
        <w:t xml:space="preserve"> Sergamumo tuberkulioze (100 000 gyv.) dinamika Klaipėdos m. sav. ir Lietuvoje </w:t>
      </w:r>
    </w:p>
    <w:p w:rsidR="0047330D" w:rsidRPr="0047330D" w:rsidRDefault="0047330D" w:rsidP="0047330D">
      <w:pPr>
        <w:ind w:firstLine="794"/>
        <w:jc w:val="center"/>
        <w:rPr>
          <w:rFonts w:eastAsiaTheme="minorHAnsi"/>
          <w:b/>
          <w:sz w:val="22"/>
          <w:szCs w:val="22"/>
        </w:rPr>
      </w:pPr>
      <w:r w:rsidRPr="0047330D">
        <w:rPr>
          <w:rFonts w:eastAsiaTheme="minorHAnsi"/>
          <w:b/>
          <w:sz w:val="22"/>
          <w:szCs w:val="22"/>
        </w:rPr>
        <w:t>2016</w:t>
      </w:r>
      <w:r w:rsidR="003B24A2">
        <w:rPr>
          <w:rFonts w:eastAsiaTheme="minorHAnsi"/>
          <w:b/>
          <w:sz w:val="22"/>
          <w:szCs w:val="22"/>
        </w:rPr>
        <w:t>–</w:t>
      </w:r>
      <w:r w:rsidRPr="0047330D">
        <w:rPr>
          <w:rFonts w:eastAsiaTheme="minorHAnsi"/>
          <w:b/>
          <w:sz w:val="22"/>
          <w:szCs w:val="22"/>
        </w:rPr>
        <w:t>2021 m.</w:t>
      </w:r>
    </w:p>
    <w:p w:rsidR="0047330D" w:rsidRPr="0047330D" w:rsidRDefault="0047330D" w:rsidP="0047330D">
      <w:pPr>
        <w:jc w:val="center"/>
        <w:rPr>
          <w:rFonts w:eastAsiaTheme="minorHAnsi"/>
          <w:sz w:val="20"/>
          <w:szCs w:val="20"/>
          <w:lang w:eastAsia="lt-LT"/>
        </w:rPr>
      </w:pPr>
      <w:r w:rsidRPr="0047330D">
        <w:rPr>
          <w:rFonts w:eastAsiaTheme="minorHAnsi"/>
          <w:sz w:val="20"/>
          <w:szCs w:val="20"/>
          <w:lang w:eastAsia="lt-LT"/>
        </w:rPr>
        <w:t>Šaltinis: Visuomen</w:t>
      </w:r>
      <w:r w:rsidR="003B24A2">
        <w:rPr>
          <w:rFonts w:eastAsiaTheme="minorHAnsi"/>
          <w:sz w:val="20"/>
          <w:szCs w:val="20"/>
          <w:lang w:eastAsia="lt-LT"/>
        </w:rPr>
        <w:t>ė</w:t>
      </w:r>
      <w:r w:rsidRPr="0047330D">
        <w:rPr>
          <w:rFonts w:eastAsiaTheme="minorHAnsi"/>
          <w:sz w:val="20"/>
          <w:szCs w:val="20"/>
          <w:lang w:eastAsia="lt-LT"/>
        </w:rPr>
        <w:t>s sveikatos stebėsenos informacinė sistema sveikstat.hi.lt</w:t>
      </w:r>
      <w:bookmarkEnd w:id="17"/>
    </w:p>
    <w:p w:rsidR="0047330D" w:rsidRPr="0047330D" w:rsidRDefault="0047330D" w:rsidP="0047330D">
      <w:pPr>
        <w:rPr>
          <w:rFonts w:eastAsiaTheme="minorHAnsi"/>
          <w:sz w:val="20"/>
          <w:szCs w:val="20"/>
          <w:lang w:eastAsia="lt-LT"/>
        </w:rPr>
      </w:pPr>
    </w:p>
    <w:p w:rsidR="0047330D" w:rsidRPr="0047330D" w:rsidRDefault="0047330D" w:rsidP="0047330D">
      <w:pPr>
        <w:jc w:val="center"/>
        <w:rPr>
          <w:rFonts w:eastAsiaTheme="minorHAnsi"/>
          <w:sz w:val="20"/>
          <w:szCs w:val="20"/>
          <w:lang w:eastAsia="lt-LT"/>
        </w:rPr>
      </w:pPr>
    </w:p>
    <w:p w:rsidR="0047330D" w:rsidRPr="0047330D" w:rsidRDefault="0047330D" w:rsidP="0047330D">
      <w:pPr>
        <w:jc w:val="center"/>
        <w:rPr>
          <w:rFonts w:eastAsiaTheme="majorEastAsia"/>
          <w:b/>
          <w:bCs/>
        </w:rPr>
      </w:pPr>
      <w:r w:rsidRPr="0047330D">
        <w:rPr>
          <w:rFonts w:eastAsiaTheme="majorEastAsia"/>
          <w:b/>
          <w:bCs/>
        </w:rPr>
        <w:t>Visi tuberkuliozės atvejai</w:t>
      </w:r>
    </w:p>
    <w:p w:rsidR="0047330D" w:rsidRPr="0047330D" w:rsidRDefault="0047330D" w:rsidP="0047330D">
      <w:pPr>
        <w:rPr>
          <w:rFonts w:eastAsiaTheme="minorHAnsi"/>
          <w:b/>
        </w:rPr>
      </w:pPr>
    </w:p>
    <w:p w:rsidR="0047330D" w:rsidRPr="0047330D" w:rsidRDefault="0047330D" w:rsidP="0047330D">
      <w:pPr>
        <w:ind w:firstLine="851"/>
        <w:jc w:val="both"/>
        <w:rPr>
          <w:rFonts w:eastAsiaTheme="minorHAnsi"/>
          <w:b/>
        </w:rPr>
      </w:pPr>
      <w:r w:rsidRPr="0047330D">
        <w:rPr>
          <w:rFonts w:eastAsiaTheme="minorHAnsi"/>
        </w:rPr>
        <w:t>Ekspertų nuomone, sergamumo tuberkulioze rodiklis metodiškai tiksliau skaičiuojamas įtraukiant ir recidyvus (t.</w:t>
      </w:r>
      <w:r w:rsidR="007B7975">
        <w:rPr>
          <w:rFonts w:eastAsiaTheme="minorHAnsi"/>
        </w:rPr>
        <w:t> </w:t>
      </w:r>
      <w:r w:rsidRPr="0047330D">
        <w:rPr>
          <w:rFonts w:eastAsiaTheme="minorHAnsi"/>
        </w:rPr>
        <w:t xml:space="preserve">y. atkrytis, </w:t>
      </w:r>
      <w:r w:rsidR="00675164">
        <w:rPr>
          <w:rFonts w:eastAsiaTheme="minorHAnsi"/>
        </w:rPr>
        <w:t xml:space="preserve">kai </w:t>
      </w:r>
      <w:r w:rsidRPr="0047330D">
        <w:rPr>
          <w:rFonts w:eastAsiaTheme="minorHAnsi"/>
        </w:rPr>
        <w:t>ligonis jau buvo išgydytas ir liga naujai atsinaujino, pasikartojo). Sergamumas (nauji atvejai ir recidyvai) tuberkulioze 2021 metais Lietuvoje buvo 22,4/100 000 gyv. (628 atvejai). Radviliškio r., Šalčininkų r., Kazlų Rūdos ir Alytaus r. savivaldybėse gyvenantys Lietuvos gyventojai 2021 metais sirgo tuberkulioze daugiausiai. Pastarųjų savivaldybių sergamumo tuberkulioze rodikliai Lietuvos vidurkį viršijo 2 ir daugiau kartų. Tuo tarpu mažiausi sergamumo tuberkulioze rodikliai buvo tarp Birštono, Neringos ir Zarasų r. savivaldybių gyventojų.</w:t>
      </w:r>
    </w:p>
    <w:p w:rsidR="0047330D" w:rsidRPr="0047330D" w:rsidRDefault="0047330D" w:rsidP="0047330D">
      <w:pPr>
        <w:ind w:firstLine="851"/>
        <w:jc w:val="both"/>
        <w:rPr>
          <w:rFonts w:eastAsiaTheme="minorHAnsi"/>
        </w:rPr>
      </w:pPr>
      <w:r w:rsidRPr="0047330D">
        <w:rPr>
          <w:rFonts w:eastAsiaTheme="minorHAnsi"/>
        </w:rPr>
        <w:t>2021 metais Klaipėdos apskrityje iš viso tuberkulioze (nauji atvejai ir recidyvai) sirgo 86 asmenys (26,6/100 000 gyv.), iš jų 48 asmenys Klaipėdos m. sav. (31,6/100 000 gyv.), 14 – Šilutės r. sav. (36,1/100 000 gyv.), 10 – Klaipėdos r. sav. (17,2/100 000 gyv.), 6 – Kretingos r. sav. (16/100000 gyv.), 6 – Skuodo r. sav. (29/100 000 gyv.) ir 2 – Palangos m. sav. (14,3/100 000 gyv.). 2021 metais sergamumo tuberkulioze rodiklis (visų tuberkuliozės atvejų) Klaipėdos m. sav. viršijo Lietuvos vidurkį 1,4 karto ir</w:t>
      </w:r>
      <w:r w:rsidR="007B7975">
        <w:rPr>
          <w:rFonts w:eastAsiaTheme="minorHAnsi"/>
        </w:rPr>
        <w:t>,</w:t>
      </w:r>
      <w:r w:rsidRPr="0047330D">
        <w:rPr>
          <w:rFonts w:eastAsiaTheme="minorHAnsi"/>
        </w:rPr>
        <w:t xml:space="preserve"> lyginant su 2020 metais</w:t>
      </w:r>
      <w:r w:rsidR="007B7975">
        <w:rPr>
          <w:rFonts w:eastAsiaTheme="minorHAnsi"/>
        </w:rPr>
        <w:t>,</w:t>
      </w:r>
      <w:r w:rsidRPr="0047330D">
        <w:rPr>
          <w:rFonts w:eastAsiaTheme="minorHAnsi"/>
        </w:rPr>
        <w:t xml:space="preserve"> šis rodiklis ž</w:t>
      </w:r>
      <w:r w:rsidR="007B7975">
        <w:rPr>
          <w:rFonts w:eastAsiaTheme="minorHAnsi"/>
        </w:rPr>
        <w:t>ym</w:t>
      </w:r>
      <w:r w:rsidRPr="0047330D">
        <w:rPr>
          <w:rFonts w:eastAsiaTheme="minorHAnsi"/>
        </w:rPr>
        <w:t>iai pablogėjo (3 pav.).</w:t>
      </w:r>
    </w:p>
    <w:p w:rsidR="0047330D" w:rsidRPr="0047330D" w:rsidRDefault="0047330D" w:rsidP="0047330D">
      <w:pPr>
        <w:ind w:firstLine="851"/>
        <w:jc w:val="both"/>
        <w:rPr>
          <w:color w:val="000000"/>
          <w:lang w:eastAsia="lt-LT"/>
        </w:rPr>
      </w:pPr>
    </w:p>
    <w:p w:rsidR="0047330D" w:rsidRPr="0047330D" w:rsidRDefault="0047330D" w:rsidP="0047330D">
      <w:pPr>
        <w:jc w:val="center"/>
        <w:rPr>
          <w:color w:val="000000"/>
          <w:lang w:eastAsia="lt-LT"/>
        </w:rPr>
      </w:pPr>
      <w:r w:rsidRPr="0047330D">
        <w:rPr>
          <w:noProof/>
          <w:color w:val="000000"/>
          <w:lang w:eastAsia="lt-LT"/>
        </w:rPr>
        <w:drawing>
          <wp:inline distT="0" distB="0" distL="0" distR="0" wp14:anchorId="2738F1B2" wp14:editId="4E9D0125">
            <wp:extent cx="5024755" cy="2333625"/>
            <wp:effectExtent l="0" t="0" r="0" b="0"/>
            <wp:docPr id="1" name="Chart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A2E40056-05CF-47ED-BE4B-70C1645DC1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7330D" w:rsidRPr="0047330D" w:rsidRDefault="0047330D" w:rsidP="0047330D">
      <w:pPr>
        <w:ind w:firstLine="794"/>
        <w:jc w:val="center"/>
        <w:rPr>
          <w:rFonts w:eastAsiaTheme="minorHAnsi"/>
          <w:b/>
          <w:sz w:val="22"/>
          <w:szCs w:val="22"/>
        </w:rPr>
      </w:pPr>
      <w:r w:rsidRPr="0047330D">
        <w:rPr>
          <w:rFonts w:eastAsiaTheme="minorHAnsi"/>
          <w:i/>
          <w:sz w:val="22"/>
          <w:szCs w:val="22"/>
        </w:rPr>
        <w:t>3 pav.</w:t>
      </w:r>
      <w:r w:rsidRPr="0047330D">
        <w:rPr>
          <w:rFonts w:eastAsiaTheme="minorHAnsi"/>
          <w:b/>
          <w:sz w:val="22"/>
          <w:szCs w:val="22"/>
        </w:rPr>
        <w:t xml:space="preserve"> Sergamumas tuberkulioze (+recidyvai) 100 000 gyv. Klaipėdos m. sav. ir Lietuvoje 2017</w:t>
      </w:r>
      <w:r w:rsidR="00FB0E13">
        <w:rPr>
          <w:rFonts w:eastAsiaTheme="minorHAnsi"/>
          <w:b/>
          <w:sz w:val="22"/>
          <w:szCs w:val="22"/>
        </w:rPr>
        <w:t>–</w:t>
      </w:r>
      <w:r w:rsidRPr="0047330D">
        <w:rPr>
          <w:rFonts w:eastAsiaTheme="minorHAnsi"/>
          <w:b/>
          <w:sz w:val="22"/>
          <w:szCs w:val="22"/>
        </w:rPr>
        <w:t>2021 m.</w:t>
      </w:r>
    </w:p>
    <w:p w:rsidR="0047330D" w:rsidRPr="0047330D" w:rsidRDefault="0047330D" w:rsidP="0047330D">
      <w:pPr>
        <w:jc w:val="center"/>
        <w:rPr>
          <w:rFonts w:eastAsiaTheme="minorHAnsi"/>
          <w:sz w:val="20"/>
          <w:szCs w:val="20"/>
          <w:lang w:eastAsia="lt-LT"/>
        </w:rPr>
      </w:pPr>
      <w:r w:rsidRPr="0047330D">
        <w:rPr>
          <w:rFonts w:eastAsiaTheme="minorHAnsi"/>
          <w:sz w:val="20"/>
          <w:szCs w:val="20"/>
          <w:lang w:eastAsia="lt-LT"/>
        </w:rPr>
        <w:t>Šaltinis: Visuomen</w:t>
      </w:r>
      <w:r w:rsidR="00FB0E13">
        <w:rPr>
          <w:rFonts w:eastAsiaTheme="minorHAnsi"/>
          <w:sz w:val="20"/>
          <w:szCs w:val="20"/>
          <w:lang w:eastAsia="lt-LT"/>
        </w:rPr>
        <w:t>ė</w:t>
      </w:r>
      <w:r w:rsidRPr="0047330D">
        <w:rPr>
          <w:rFonts w:eastAsiaTheme="minorHAnsi"/>
          <w:sz w:val="20"/>
          <w:szCs w:val="20"/>
          <w:lang w:eastAsia="lt-LT"/>
        </w:rPr>
        <w:t>s sveikatos stebėsenos informacinė sistema sveikstat.hi.lt</w:t>
      </w:r>
    </w:p>
    <w:p w:rsidR="0047330D" w:rsidRPr="0047330D" w:rsidRDefault="0047330D" w:rsidP="0047330D">
      <w:pPr>
        <w:jc w:val="center"/>
        <w:rPr>
          <w:rFonts w:eastAsiaTheme="minorHAnsi"/>
          <w:sz w:val="20"/>
          <w:szCs w:val="20"/>
          <w:lang w:eastAsia="lt-LT"/>
        </w:rPr>
      </w:pPr>
    </w:p>
    <w:p w:rsidR="0047330D" w:rsidRPr="0047330D" w:rsidRDefault="0047330D" w:rsidP="0047330D">
      <w:pPr>
        <w:ind w:firstLine="851"/>
        <w:jc w:val="both"/>
        <w:rPr>
          <w:rFonts w:eastAsiaTheme="minorHAnsi"/>
        </w:rPr>
      </w:pPr>
      <w:r w:rsidRPr="0047330D">
        <w:rPr>
          <w:rFonts w:eastAsiaTheme="minorHAnsi"/>
        </w:rPr>
        <w:t>2021 metais Klaipėdos m. sav. 55 asmenims (15 moterų ir 40 vyrų) taikytas stacionarus tuberkuliozės gydymas: 18</w:t>
      </w:r>
      <w:r w:rsidR="00CA7D20">
        <w:rPr>
          <w:rFonts w:eastAsiaTheme="minorHAnsi"/>
        </w:rPr>
        <w:t>–</w:t>
      </w:r>
      <w:r w:rsidRPr="0047330D">
        <w:rPr>
          <w:rFonts w:eastAsiaTheme="minorHAnsi"/>
        </w:rPr>
        <w:t>44 m. amžiaus grupėje buvo 16 pacientų (5 moterys ir 11 vyrų), 45</w:t>
      </w:r>
      <w:r w:rsidR="00CA7D20">
        <w:rPr>
          <w:rFonts w:eastAsiaTheme="minorHAnsi"/>
        </w:rPr>
        <w:t>–</w:t>
      </w:r>
      <w:r w:rsidRPr="0047330D">
        <w:rPr>
          <w:rFonts w:eastAsiaTheme="minorHAnsi"/>
        </w:rPr>
        <w:t>64</w:t>
      </w:r>
      <w:r w:rsidR="00CA7D20">
        <w:rPr>
          <w:rFonts w:eastAsiaTheme="minorHAnsi"/>
        </w:rPr>
        <w:t> </w:t>
      </w:r>
      <w:r w:rsidRPr="0047330D">
        <w:rPr>
          <w:rFonts w:eastAsiaTheme="minorHAnsi"/>
        </w:rPr>
        <w:t>m. amžiaus grupėje – 27 pacientai (7 moterys ir 20 vyrų) ir vyresnių nei 65 m.</w:t>
      </w:r>
      <w:r w:rsidRPr="0047330D">
        <w:rPr>
          <w:rFonts w:asciiTheme="minorHAnsi" w:eastAsiaTheme="minorHAnsi" w:hAnsiTheme="minorHAnsi" w:cstheme="minorBidi"/>
          <w:sz w:val="22"/>
          <w:szCs w:val="22"/>
        </w:rPr>
        <w:t xml:space="preserve"> </w:t>
      </w:r>
      <w:r w:rsidRPr="0047330D">
        <w:rPr>
          <w:rFonts w:eastAsiaTheme="minorHAnsi"/>
        </w:rPr>
        <w:t>amžiaus grupėje – 12</w:t>
      </w:r>
      <w:r w:rsidR="00CA7D20">
        <w:rPr>
          <w:rFonts w:eastAsiaTheme="minorHAnsi"/>
        </w:rPr>
        <w:t> </w:t>
      </w:r>
      <w:r w:rsidRPr="0047330D">
        <w:rPr>
          <w:rFonts w:eastAsiaTheme="minorHAnsi"/>
        </w:rPr>
        <w:t>pacientų (3 moterys ir 9 vyrai). Tuberkulioze sergančių vaikų Klaipėdos m. sav. nebuvo. 2021</w:t>
      </w:r>
      <w:r w:rsidR="00CA7D20">
        <w:rPr>
          <w:rFonts w:eastAsiaTheme="minorHAnsi"/>
        </w:rPr>
        <w:t> </w:t>
      </w:r>
      <w:r w:rsidRPr="0047330D">
        <w:rPr>
          <w:rFonts w:eastAsiaTheme="minorHAnsi"/>
        </w:rPr>
        <w:t>metais Klaipėdos m. sav. nuo tuberkuliozės mirė 4 asmenys (visi vyrai).</w:t>
      </w:r>
    </w:p>
    <w:p w:rsidR="0047330D" w:rsidRPr="0047330D" w:rsidRDefault="0047330D" w:rsidP="0047330D">
      <w:pPr>
        <w:jc w:val="center"/>
        <w:rPr>
          <w:rFonts w:eastAsiaTheme="minorHAnsi"/>
          <w:sz w:val="20"/>
          <w:szCs w:val="20"/>
          <w:lang w:eastAsia="lt-LT"/>
        </w:rPr>
      </w:pPr>
    </w:p>
    <w:p w:rsidR="0047330D" w:rsidRPr="0047330D" w:rsidRDefault="0047330D" w:rsidP="0047330D">
      <w:pPr>
        <w:jc w:val="center"/>
        <w:rPr>
          <w:rFonts w:eastAsiaTheme="majorEastAsia"/>
          <w:b/>
          <w:bCs/>
        </w:rPr>
      </w:pPr>
      <w:r w:rsidRPr="0047330D">
        <w:rPr>
          <w:rFonts w:eastAsiaTheme="majorEastAsia"/>
          <w:b/>
          <w:bCs/>
        </w:rPr>
        <w:t>Visi vaistams atsparios tuberkuliozės atvejai</w:t>
      </w:r>
    </w:p>
    <w:p w:rsidR="0047330D" w:rsidRPr="0047330D" w:rsidRDefault="0047330D" w:rsidP="0047330D">
      <w:pPr>
        <w:jc w:val="center"/>
        <w:rPr>
          <w:rFonts w:eastAsiaTheme="majorEastAsia"/>
          <w:b/>
          <w:bCs/>
        </w:rPr>
      </w:pPr>
    </w:p>
    <w:p w:rsidR="0047330D" w:rsidRPr="0047330D" w:rsidRDefault="0047330D" w:rsidP="0047330D">
      <w:pPr>
        <w:ind w:firstLine="851"/>
        <w:jc w:val="both"/>
        <w:rPr>
          <w:rFonts w:eastAsiaTheme="minorHAnsi"/>
        </w:rPr>
      </w:pPr>
      <w:r w:rsidRPr="0047330D">
        <w:rPr>
          <w:rFonts w:eastAsiaTheme="minorHAnsi"/>
        </w:rPr>
        <w:t>Sergančiųjų daugeliui vaistų atsparia tuberkulioze rodiklis – „Sergamumas vaistams atsparia tuberkulioze (A15</w:t>
      </w:r>
      <w:r w:rsidR="00CA7D20">
        <w:rPr>
          <w:rFonts w:eastAsiaTheme="minorHAnsi"/>
        </w:rPr>
        <w:t>–</w:t>
      </w:r>
      <w:r w:rsidRPr="0047330D">
        <w:rPr>
          <w:rFonts w:eastAsiaTheme="minorHAnsi"/>
        </w:rPr>
        <w:t>A19) (visi) 100 000 gyv. (TB registro duomenys)“ – skiriasi savo skaičiavimo metodika ir vadinamas paplitimu. Į sergančiųjų vaistams atsparios tuberkulioze rodiklio skaičiavimus įtraukiami ne tik nauji užregistruoti tuberkuliozės atvejai, bet ir recidyvai, ligoniai, grįžę po nutraukto gydymo, grįžę po nesėkmingo gydymo ir atvykę iš kito krašto. Kitas rodiklis „Sergamumas vaistams atsparia tuberkulioze (A15</w:t>
      </w:r>
      <w:r w:rsidR="00CA7D20">
        <w:rPr>
          <w:rFonts w:eastAsiaTheme="minorHAnsi"/>
        </w:rPr>
        <w:t>–</w:t>
      </w:r>
      <w:r w:rsidRPr="0047330D">
        <w:rPr>
          <w:rFonts w:eastAsiaTheme="minorHAnsi"/>
        </w:rPr>
        <w:t>A19) 100 000 gyv. (TB registro duomenys)“ skaičiuojamas įtraukiant tik naujus per metus užregistruotus atsparios vaistams tuberkuliozės atvejus.</w:t>
      </w:r>
    </w:p>
    <w:p w:rsidR="0047330D" w:rsidRPr="0047330D" w:rsidRDefault="0047330D" w:rsidP="0047330D">
      <w:pPr>
        <w:ind w:firstLine="851"/>
        <w:jc w:val="both"/>
        <w:rPr>
          <w:rFonts w:eastAsiaTheme="minorHAnsi"/>
        </w:rPr>
      </w:pPr>
      <w:r w:rsidRPr="0047330D">
        <w:rPr>
          <w:rFonts w:eastAsiaTheme="minorHAnsi"/>
        </w:rPr>
        <w:t xml:space="preserve">2021 metais Lietuvoje buvo 98 vaistams atsparios tuberkuliozės atvejai, iš jų nauji – 68. Atsparios vaistams tuberkuliozės rodiklis (visi atvejai) siekė 3,5/100 000 gyv., o naujų vaistams atsparios tuberkuliozės rodiklis buvo 2,4/100 000 gyv. Didžiausias sergamumas vaistams atsparia tuberkulioze (visi atvejai) pastebimas tarp Kelmės. r., Prienų r., Molėtų r., Kaišiadorių r. savivaldybių gyventojų. </w:t>
      </w:r>
    </w:p>
    <w:p w:rsidR="0047330D" w:rsidRPr="0047330D" w:rsidRDefault="0047330D" w:rsidP="0047330D">
      <w:pPr>
        <w:ind w:firstLine="851"/>
        <w:jc w:val="both"/>
        <w:rPr>
          <w:rFonts w:eastAsiaTheme="minorHAnsi"/>
        </w:rPr>
      </w:pPr>
      <w:r w:rsidRPr="0047330D">
        <w:rPr>
          <w:rFonts w:eastAsiaTheme="minorHAnsi"/>
        </w:rPr>
        <w:t>2021 metais Klaipėdos apskrityje atsparia vaistams tuberkulioze iš viso sirgo 14 asmenų (4,3/100 000 gyv.), iš jų 9 asmenys Klaipėdos m. sav. (5,9/100 000 gyv.), 2 – Klaipėdos r. sav. (3,4/100 000 gyv.), 1 – Šilutės r. sav. (2,6/100 000 gyv.), 1 – Skuodo r. sav. (6,2/100 000 gyv.) ir 1 – Palangos m. sav. (2/100 000 gyv.). 2021 metais šis tuberkulioze rodiklis Klaipėdos m. sav. viršijo Lietuvos vidurkį 1,7 karto ir</w:t>
      </w:r>
      <w:r w:rsidR="00CA7D20">
        <w:rPr>
          <w:rFonts w:eastAsiaTheme="minorHAnsi"/>
        </w:rPr>
        <w:t>,</w:t>
      </w:r>
      <w:r w:rsidRPr="0047330D">
        <w:rPr>
          <w:rFonts w:eastAsiaTheme="minorHAnsi"/>
        </w:rPr>
        <w:t xml:space="preserve"> lyginant su 2020 metais</w:t>
      </w:r>
      <w:r w:rsidR="00CA7D20">
        <w:rPr>
          <w:rFonts w:eastAsiaTheme="minorHAnsi"/>
        </w:rPr>
        <w:t>,</w:t>
      </w:r>
      <w:r w:rsidRPr="0047330D">
        <w:rPr>
          <w:rFonts w:eastAsiaTheme="minorHAnsi"/>
        </w:rPr>
        <w:t xml:space="preserve"> šis rodiklis ž</w:t>
      </w:r>
      <w:r w:rsidR="00CA7D20">
        <w:rPr>
          <w:rFonts w:eastAsiaTheme="minorHAnsi"/>
        </w:rPr>
        <w:t>ym</w:t>
      </w:r>
      <w:r w:rsidRPr="0047330D">
        <w:rPr>
          <w:rFonts w:eastAsiaTheme="minorHAnsi"/>
        </w:rPr>
        <w:t>iai pablogėjo (4 pav.).</w:t>
      </w:r>
    </w:p>
    <w:p w:rsidR="0047330D" w:rsidRPr="0047330D" w:rsidRDefault="0047330D" w:rsidP="0047330D">
      <w:pPr>
        <w:ind w:firstLine="851"/>
        <w:jc w:val="both"/>
        <w:rPr>
          <w:color w:val="FF0000"/>
          <w:lang w:eastAsia="lt-LT"/>
        </w:rPr>
      </w:pPr>
    </w:p>
    <w:p w:rsidR="0047330D" w:rsidRPr="0047330D" w:rsidRDefault="0047330D" w:rsidP="0047330D">
      <w:pPr>
        <w:jc w:val="center"/>
        <w:rPr>
          <w:color w:val="000000"/>
          <w:lang w:eastAsia="lt-LT"/>
        </w:rPr>
      </w:pPr>
      <w:r w:rsidRPr="0047330D">
        <w:rPr>
          <w:noProof/>
          <w:color w:val="000000"/>
          <w:lang w:eastAsia="lt-LT"/>
        </w:rPr>
        <w:drawing>
          <wp:inline distT="0" distB="0" distL="0" distR="0" wp14:anchorId="7841D8B8" wp14:editId="1123FF23">
            <wp:extent cx="5043805" cy="2305050"/>
            <wp:effectExtent l="0" t="0" r="0" b="0"/>
            <wp:docPr id="3" name="Chart 3">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A2E40056-05CF-47ED-BE4B-70C1645DC1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7330D" w:rsidRPr="0047330D" w:rsidRDefault="0047330D" w:rsidP="0047330D">
      <w:pPr>
        <w:ind w:firstLine="794"/>
        <w:jc w:val="center"/>
        <w:rPr>
          <w:rFonts w:eastAsiaTheme="minorHAnsi"/>
          <w:b/>
          <w:sz w:val="22"/>
          <w:szCs w:val="22"/>
        </w:rPr>
      </w:pPr>
      <w:r w:rsidRPr="0047330D">
        <w:rPr>
          <w:rFonts w:eastAsiaTheme="minorHAnsi"/>
          <w:i/>
          <w:sz w:val="22"/>
          <w:szCs w:val="22"/>
        </w:rPr>
        <w:t>4 pav.</w:t>
      </w:r>
      <w:r w:rsidRPr="0047330D">
        <w:rPr>
          <w:rFonts w:eastAsiaTheme="minorHAnsi"/>
          <w:b/>
          <w:sz w:val="22"/>
          <w:szCs w:val="22"/>
        </w:rPr>
        <w:t xml:space="preserve"> Sergamumas vaistams atsparia tuberkulioze (visi atvejai) 100 000 gyv. Klaipėdos m. sav. ir Lietuvoje 2017</w:t>
      </w:r>
      <w:r w:rsidR="00CA7D20">
        <w:rPr>
          <w:rFonts w:eastAsiaTheme="minorHAnsi"/>
          <w:b/>
          <w:sz w:val="22"/>
          <w:szCs w:val="22"/>
        </w:rPr>
        <w:t>–</w:t>
      </w:r>
      <w:r w:rsidRPr="0047330D">
        <w:rPr>
          <w:rFonts w:eastAsiaTheme="minorHAnsi"/>
          <w:b/>
          <w:sz w:val="22"/>
          <w:szCs w:val="22"/>
        </w:rPr>
        <w:t>2021 m.</w:t>
      </w:r>
    </w:p>
    <w:p w:rsidR="0047330D" w:rsidRPr="0047330D" w:rsidRDefault="0047330D" w:rsidP="0047330D">
      <w:pPr>
        <w:jc w:val="center"/>
        <w:rPr>
          <w:rFonts w:eastAsiaTheme="minorHAnsi"/>
          <w:sz w:val="20"/>
          <w:szCs w:val="20"/>
          <w:lang w:eastAsia="lt-LT"/>
        </w:rPr>
      </w:pPr>
      <w:r w:rsidRPr="0047330D">
        <w:rPr>
          <w:rFonts w:eastAsiaTheme="minorHAnsi"/>
          <w:sz w:val="20"/>
          <w:szCs w:val="20"/>
          <w:lang w:eastAsia="lt-LT"/>
        </w:rPr>
        <w:t>Šaltinis: Visuomen</w:t>
      </w:r>
      <w:r w:rsidR="00CA7D20">
        <w:rPr>
          <w:rFonts w:eastAsiaTheme="minorHAnsi"/>
          <w:sz w:val="20"/>
          <w:szCs w:val="20"/>
          <w:lang w:eastAsia="lt-LT"/>
        </w:rPr>
        <w:t>ė</w:t>
      </w:r>
      <w:r w:rsidRPr="0047330D">
        <w:rPr>
          <w:rFonts w:eastAsiaTheme="minorHAnsi"/>
          <w:sz w:val="20"/>
          <w:szCs w:val="20"/>
          <w:lang w:eastAsia="lt-LT"/>
        </w:rPr>
        <w:t>s sveikatos stebėsenos informacinė sistema sveikstat.hi.lt</w:t>
      </w:r>
    </w:p>
    <w:p w:rsidR="0047330D" w:rsidRPr="0047330D" w:rsidRDefault="0047330D" w:rsidP="0047330D">
      <w:pPr>
        <w:spacing w:after="200" w:line="276" w:lineRule="auto"/>
        <w:rPr>
          <w:rFonts w:eastAsiaTheme="minorHAnsi"/>
          <w:b/>
        </w:rPr>
      </w:pPr>
    </w:p>
    <w:p w:rsidR="0047330D" w:rsidRPr="0047330D" w:rsidRDefault="0047330D" w:rsidP="0047330D">
      <w:pPr>
        <w:ind w:firstLine="851"/>
        <w:jc w:val="both"/>
        <w:rPr>
          <w:rFonts w:eastAsiaTheme="minorHAnsi"/>
        </w:rPr>
      </w:pPr>
      <w:r w:rsidRPr="0047330D">
        <w:rPr>
          <w:rFonts w:eastAsiaTheme="minorHAnsi"/>
        </w:rPr>
        <w:t>Tuberkuliozei būdingas ir socialinis pobūdis: apie 30 proc. visų tuberkulioze sergančių asmenų yra bedarbiai arba neturintys nuolatinio darbo, piktnaudžiauja alkoholiu, reguliariai pažeidinėja gydymo režimą. Šie pacientai yra svarbus ir nuolatinis infekcijos ir vaistams atsparios tuberkuliozės vystymosi šaltinis.</w:t>
      </w:r>
    </w:p>
    <w:p w:rsidR="0047330D" w:rsidRPr="0047330D" w:rsidRDefault="0047330D" w:rsidP="0047330D">
      <w:pPr>
        <w:ind w:firstLine="851"/>
        <w:jc w:val="both"/>
        <w:rPr>
          <w:rFonts w:eastAsiaTheme="minorHAnsi"/>
        </w:rPr>
      </w:pPr>
      <w:r w:rsidRPr="0047330D">
        <w:rPr>
          <w:rFonts w:eastAsiaTheme="minorHAnsi"/>
        </w:rPr>
        <w:t>VšĮ Klaipėdos miesto poliklinika įgyvendino ES remiamus projektus, skirtus gerinti tuberkulioze sergančių asmenų gydymo kokybę: „Pirminės asmens sveikatos priežiūros paslaugų ir kokybės gerinimas VšĮ Klaipėdos sveikatos priežiūros centre, DOTS kabineto įrengimas“, „Socialinės paramos priemonių teikimas tuberkulioze sergantiems Klaipėdos miesto gyventojams (DOTS kabineto pacientams)</w:t>
      </w:r>
      <w:r w:rsidR="00416282">
        <w:rPr>
          <w:rFonts w:eastAsiaTheme="minorHAnsi"/>
        </w:rPr>
        <w:t>“</w:t>
      </w:r>
      <w:r w:rsidRPr="0047330D">
        <w:rPr>
          <w:rFonts w:eastAsiaTheme="minorHAnsi"/>
        </w:rPr>
        <w:t xml:space="preserve">. Pasibaigus projektams, toliau </w:t>
      </w:r>
      <w:bookmarkStart w:id="19" w:name="_Hlk119328982"/>
      <w:r w:rsidRPr="0047330D">
        <w:rPr>
          <w:rFonts w:eastAsiaTheme="minorHAnsi"/>
        </w:rPr>
        <w:t>DOTS kabinetą išlaiko Klaipėdos miesto savivaldybės</w:t>
      </w:r>
      <w:bookmarkEnd w:id="19"/>
      <w:r w:rsidRPr="0047330D">
        <w:rPr>
          <w:rFonts w:eastAsiaTheme="minorHAnsi"/>
        </w:rPr>
        <w:t xml:space="preserve"> administracija bei ji taip pat finansuoja profilaktines tuberkuliozės programas ir priemones (Klaipėdos miesto 2019</w:t>
      </w:r>
      <w:r w:rsidR="00416282">
        <w:rPr>
          <w:rFonts w:eastAsiaTheme="minorHAnsi"/>
        </w:rPr>
        <w:t>–</w:t>
      </w:r>
      <w:r w:rsidRPr="0047330D">
        <w:rPr>
          <w:rFonts w:eastAsiaTheme="minorHAnsi"/>
        </w:rPr>
        <w:t xml:space="preserve">2021 m. tuberkuliozės profilaktikos organizavimo ir vykdymo programa, „Tuberkuliozės profilaktikos organizavimo ir vykdymo Klaipėdos mieste paslaugos </w:t>
      </w:r>
      <w:r w:rsidR="00416282">
        <w:rPr>
          <w:rFonts w:eastAsiaTheme="minorHAnsi"/>
        </w:rPr>
        <w:br w:type="textWrapping" w:clear="all"/>
      </w:r>
      <w:r w:rsidRPr="0047330D">
        <w:rPr>
          <w:rFonts w:eastAsiaTheme="minorHAnsi"/>
        </w:rPr>
        <w:t>2022</w:t>
      </w:r>
      <w:r w:rsidR="00416282">
        <w:rPr>
          <w:rFonts w:eastAsiaTheme="minorHAnsi"/>
        </w:rPr>
        <w:t>–</w:t>
      </w:r>
      <w:r w:rsidRPr="0047330D">
        <w:rPr>
          <w:rFonts w:eastAsiaTheme="minorHAnsi"/>
        </w:rPr>
        <w:t>2025 m.“).</w:t>
      </w:r>
    </w:p>
    <w:p w:rsidR="0047330D" w:rsidRPr="0047330D" w:rsidRDefault="0047330D" w:rsidP="0047330D">
      <w:pPr>
        <w:ind w:firstLine="851"/>
        <w:jc w:val="both"/>
        <w:rPr>
          <w:rFonts w:eastAsiaTheme="minorHAnsi"/>
        </w:rPr>
      </w:pPr>
      <w:r w:rsidRPr="0047330D">
        <w:rPr>
          <w:rFonts w:eastAsiaTheme="minorHAnsi"/>
        </w:rPr>
        <w:br w:type="page"/>
      </w:r>
    </w:p>
    <w:p w:rsidR="0047330D" w:rsidRPr="0047330D" w:rsidRDefault="0047330D" w:rsidP="0047330D">
      <w:pPr>
        <w:jc w:val="center"/>
        <w:rPr>
          <w:b/>
        </w:rPr>
      </w:pPr>
      <w:r w:rsidRPr="0047330D">
        <w:rPr>
          <w:b/>
        </w:rPr>
        <w:t>APIBENDRINIMAS</w:t>
      </w:r>
    </w:p>
    <w:p w:rsidR="0047330D" w:rsidRPr="0047330D" w:rsidRDefault="0047330D" w:rsidP="0047330D">
      <w:pPr>
        <w:jc w:val="center"/>
        <w:rPr>
          <w:b/>
        </w:rPr>
      </w:pPr>
    </w:p>
    <w:p w:rsidR="0047330D" w:rsidRPr="0047330D" w:rsidRDefault="0047330D" w:rsidP="00416282">
      <w:pPr>
        <w:numPr>
          <w:ilvl w:val="0"/>
          <w:numId w:val="3"/>
        </w:numPr>
        <w:tabs>
          <w:tab w:val="left" w:pos="0"/>
          <w:tab w:val="left" w:pos="567"/>
          <w:tab w:val="left" w:pos="993"/>
        </w:tabs>
        <w:spacing w:after="200"/>
        <w:ind w:left="0" w:firstLine="709"/>
        <w:contextualSpacing/>
        <w:jc w:val="both"/>
        <w:rPr>
          <w:rFonts w:eastAsiaTheme="minorHAnsi"/>
        </w:rPr>
      </w:pPr>
      <w:r w:rsidRPr="0047330D">
        <w:rPr>
          <w:rFonts w:eastAsiaTheme="minorHAnsi"/>
        </w:rPr>
        <w:t>Gyventojų skaičius Klaipėdos mieste kasmet mažėjo iki 2021 metų. 2022 metų pradžioje Klaipėdoje gyveno 152 237 gyventojai – 82 427 (54,1 proc.) moterys ir 69 810 (45,9 proc.) vyrų. Didžiąją gyventojų dalį (62,8 proc.) sudaro darbingo amžiaus gyventojai. Išlieka gyventojų senėjimo tendencija, nes Klaipėdos m. sav. gyvena daugiau pensinio amžiaus žmonių nei vaikų. 2021 metais Klaipėdos mieste tiek gimusiųjų, tiek mirusiųjų skaičius sumažėjo</w:t>
      </w:r>
      <w:r w:rsidR="000C33D8">
        <w:rPr>
          <w:rFonts w:eastAsiaTheme="minorHAnsi"/>
        </w:rPr>
        <w:t>,</w:t>
      </w:r>
      <w:r w:rsidRPr="0047330D">
        <w:rPr>
          <w:rFonts w:eastAsiaTheme="minorHAnsi"/>
        </w:rPr>
        <w:t xml:space="preserve"> lyginant su 2020 metais, o natūrali gyventojų kaita buvo neigiama.</w:t>
      </w:r>
    </w:p>
    <w:p w:rsidR="0047330D" w:rsidRPr="0047330D" w:rsidRDefault="0047330D" w:rsidP="00416282">
      <w:pPr>
        <w:numPr>
          <w:ilvl w:val="0"/>
          <w:numId w:val="3"/>
        </w:numPr>
        <w:tabs>
          <w:tab w:val="left" w:pos="0"/>
          <w:tab w:val="left" w:pos="567"/>
          <w:tab w:val="left" w:pos="993"/>
        </w:tabs>
        <w:spacing w:after="200"/>
        <w:ind w:left="0" w:firstLine="709"/>
        <w:contextualSpacing/>
        <w:jc w:val="both"/>
        <w:rPr>
          <w:rFonts w:eastAsiaTheme="minorHAnsi"/>
        </w:rPr>
      </w:pPr>
      <w:r w:rsidRPr="0047330D">
        <w:rPr>
          <w:rFonts w:eastAsiaTheme="minorHAnsi"/>
        </w:rPr>
        <w:t>2021 metais į geriausių rodiklių grupę (</w:t>
      </w:r>
      <w:r w:rsidRPr="0047330D">
        <w:rPr>
          <w:rFonts w:eastAsiaTheme="minorHAnsi"/>
          <w:color w:val="00B050"/>
        </w:rPr>
        <w:t>žalioji zona</w:t>
      </w:r>
      <w:r w:rsidRPr="0047330D">
        <w:rPr>
          <w:rFonts w:eastAsiaTheme="minorHAnsi"/>
        </w:rPr>
        <w:t>) pateko 14 rodiklių:</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Išvengiamas mirtingumas (proc.);</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Ilgalaikio nedarbo lygis (proc.);</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Gyventojų skaičiaus pokytis 1 000 gyv.;</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Mirtingumas dėl išorinių priežasčių (V00–Y98) 100 000 gyv.;</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Socialinės pašalpos gavėjų skaičius 1 000 gyv.;</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 xml:space="preserve">Asmenų, pirmą kartą pripažintų neįgaliais, skaičius 10 000 gyv.; </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Mirtingumas nuo nukritimo (W00</w:t>
      </w:r>
      <w:r w:rsidR="000C33D8">
        <w:rPr>
          <w:lang w:eastAsia="lt-LT"/>
        </w:rPr>
        <w:t>–</w:t>
      </w:r>
      <w:r w:rsidRPr="0047330D">
        <w:rPr>
          <w:lang w:eastAsia="lt-LT"/>
        </w:rPr>
        <w:t>W19) 100 000 gyv.;</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Mirtingumas nuo alkoholio sąlygotų priežasčių 100 000 gyv.;</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Sergamumas vaistams atsparia tuberkulioze (A15</w:t>
      </w:r>
      <w:r w:rsidR="000C33D8">
        <w:rPr>
          <w:lang w:eastAsia="lt-LT"/>
        </w:rPr>
        <w:t>–</w:t>
      </w:r>
      <w:r w:rsidRPr="0047330D">
        <w:rPr>
          <w:lang w:eastAsia="lt-LT"/>
        </w:rPr>
        <w:t>A19) 100 000 gyv. (TB registro duomenys);</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Vaikų (7</w:t>
      </w:r>
      <w:r w:rsidR="000C33D8">
        <w:rPr>
          <w:lang w:eastAsia="lt-LT"/>
        </w:rPr>
        <w:t>–</w:t>
      </w:r>
      <w:r w:rsidRPr="0047330D">
        <w:rPr>
          <w:lang w:eastAsia="lt-LT"/>
        </w:rPr>
        <w:t>17 m.), neturinčių ėduonies pažeistų, plombuotų ir išrautų dantų, dalis (proc.);</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Mirtingumo nuo kraujotakos sistemos ligų  (I00</w:t>
      </w:r>
      <w:r w:rsidR="000C33D8">
        <w:rPr>
          <w:lang w:eastAsia="lt-LT"/>
        </w:rPr>
        <w:t>–</w:t>
      </w:r>
      <w:r w:rsidRPr="0047330D">
        <w:rPr>
          <w:lang w:eastAsia="lt-LT"/>
        </w:rPr>
        <w:t>I99) 100 000 gyv.;</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 xml:space="preserve">Tikslinės populiacijos dalis (proc.), 2 metų </w:t>
      </w:r>
      <w:r w:rsidR="000C33D8">
        <w:rPr>
          <w:lang w:eastAsia="lt-LT"/>
        </w:rPr>
        <w:t>laikotarpiu</w:t>
      </w:r>
      <w:r w:rsidRPr="0047330D">
        <w:rPr>
          <w:lang w:eastAsia="lt-LT"/>
        </w:rPr>
        <w:t xml:space="preserve"> dalyvavusi krūties vėžio programoje;</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 xml:space="preserve">Tikslinės populiacijos dalis (proc.), 3 metų </w:t>
      </w:r>
      <w:r w:rsidR="000C33D8">
        <w:rPr>
          <w:lang w:eastAsia="lt-LT"/>
        </w:rPr>
        <w:t>laikotarpiu</w:t>
      </w:r>
      <w:r w:rsidRPr="0047330D">
        <w:rPr>
          <w:lang w:eastAsia="lt-LT"/>
        </w:rPr>
        <w:t xml:space="preserve"> dalyvavusi gimdos kaklelio programoje;</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Tikslinės populiacijos dalis (proc.), dalyvavusi ŠKL programoje.</w:t>
      </w:r>
    </w:p>
    <w:p w:rsidR="0047330D" w:rsidRPr="0047330D" w:rsidRDefault="0047330D" w:rsidP="00416282">
      <w:pPr>
        <w:numPr>
          <w:ilvl w:val="0"/>
          <w:numId w:val="3"/>
        </w:numPr>
        <w:tabs>
          <w:tab w:val="left" w:pos="0"/>
          <w:tab w:val="left" w:pos="567"/>
          <w:tab w:val="left" w:pos="993"/>
        </w:tabs>
        <w:spacing w:after="200"/>
        <w:ind w:left="0" w:firstLine="709"/>
        <w:contextualSpacing/>
        <w:jc w:val="both"/>
        <w:rPr>
          <w:rFonts w:eastAsiaTheme="minorHAnsi"/>
        </w:rPr>
      </w:pPr>
      <w:r w:rsidRPr="0047330D">
        <w:rPr>
          <w:rFonts w:eastAsiaTheme="minorHAnsi"/>
        </w:rPr>
        <w:t>2021 metais į blogiausių rodiklių grupę (</w:t>
      </w:r>
      <w:r w:rsidRPr="0047330D">
        <w:rPr>
          <w:rFonts w:eastAsiaTheme="minorHAnsi"/>
          <w:color w:val="FF0000"/>
        </w:rPr>
        <w:t>raudonoji zona</w:t>
      </w:r>
      <w:r w:rsidRPr="0047330D">
        <w:rPr>
          <w:rFonts w:eastAsiaTheme="minorHAnsi"/>
        </w:rPr>
        <w:t xml:space="preserve">) pateko 10 rodiklių: </w:t>
      </w:r>
    </w:p>
    <w:p w:rsidR="0047330D" w:rsidRPr="0047330D" w:rsidRDefault="0047330D" w:rsidP="00416282">
      <w:pPr>
        <w:numPr>
          <w:ilvl w:val="0"/>
          <w:numId w:val="5"/>
        </w:numPr>
        <w:tabs>
          <w:tab w:val="left" w:pos="993"/>
        </w:tabs>
        <w:spacing w:after="200"/>
        <w:ind w:left="0" w:firstLine="709"/>
        <w:contextualSpacing/>
        <w:jc w:val="both"/>
      </w:pPr>
      <w:r w:rsidRPr="0047330D">
        <w:t>Sergamumas tuberkulioze (A15</w:t>
      </w:r>
      <w:r w:rsidR="000C33D8">
        <w:t>–</w:t>
      </w:r>
      <w:r w:rsidRPr="0047330D">
        <w:t>A19) 100 000 gyv. (TB registro duomenys);</w:t>
      </w:r>
    </w:p>
    <w:p w:rsidR="0047330D" w:rsidRPr="0047330D" w:rsidRDefault="0047330D" w:rsidP="00416282">
      <w:pPr>
        <w:numPr>
          <w:ilvl w:val="0"/>
          <w:numId w:val="5"/>
        </w:numPr>
        <w:tabs>
          <w:tab w:val="left" w:pos="993"/>
        </w:tabs>
        <w:spacing w:after="200"/>
        <w:ind w:left="0" w:firstLine="709"/>
        <w:contextualSpacing/>
        <w:jc w:val="both"/>
      </w:pPr>
      <w:r w:rsidRPr="0047330D">
        <w:t>Sergamumas tuberkulioze (+ recidyvai) (A15</w:t>
      </w:r>
      <w:r w:rsidR="000C33D8">
        <w:t>–</w:t>
      </w:r>
      <w:r w:rsidRPr="0047330D">
        <w:t>A19) 100 000 gyv. (TB registro duomenys);</w:t>
      </w:r>
    </w:p>
    <w:p w:rsidR="0047330D" w:rsidRPr="0047330D" w:rsidRDefault="0047330D" w:rsidP="00416282">
      <w:pPr>
        <w:numPr>
          <w:ilvl w:val="0"/>
          <w:numId w:val="5"/>
        </w:numPr>
        <w:tabs>
          <w:tab w:val="left" w:pos="993"/>
        </w:tabs>
        <w:ind w:left="0" w:firstLine="709"/>
        <w:jc w:val="both"/>
      </w:pPr>
      <w:r w:rsidRPr="0047330D">
        <w:rPr>
          <w:lang w:eastAsia="lt-LT"/>
        </w:rPr>
        <w:t>Asmenų, žuvusių ar sunkiai sužalotų darbe, skaičius 10 000 gyv.;</w:t>
      </w:r>
    </w:p>
    <w:p w:rsidR="0047330D" w:rsidRPr="0047330D" w:rsidRDefault="0047330D" w:rsidP="00416282">
      <w:pPr>
        <w:numPr>
          <w:ilvl w:val="0"/>
          <w:numId w:val="5"/>
        </w:numPr>
        <w:tabs>
          <w:tab w:val="left" w:pos="993"/>
        </w:tabs>
        <w:ind w:left="0" w:firstLine="709"/>
        <w:jc w:val="both"/>
      </w:pPr>
      <w:r w:rsidRPr="0047330D">
        <w:t>Į atmosferą iš stacionarių taršos šaltinių išmestų teršalų kiekis, tenkantis 1 kv. km;</w:t>
      </w:r>
    </w:p>
    <w:p w:rsidR="0047330D" w:rsidRPr="0047330D" w:rsidRDefault="0047330D" w:rsidP="00416282">
      <w:pPr>
        <w:numPr>
          <w:ilvl w:val="0"/>
          <w:numId w:val="5"/>
        </w:numPr>
        <w:tabs>
          <w:tab w:val="left" w:pos="993"/>
        </w:tabs>
        <w:ind w:left="0" w:firstLine="709"/>
        <w:contextualSpacing/>
      </w:pPr>
      <w:r w:rsidRPr="0047330D">
        <w:t>Mirtingumas nuo narkotikų sąlygotų priežasčių 100 000 gyv.;</w:t>
      </w:r>
    </w:p>
    <w:p w:rsidR="0047330D" w:rsidRPr="0047330D" w:rsidRDefault="0047330D" w:rsidP="00416282">
      <w:pPr>
        <w:numPr>
          <w:ilvl w:val="0"/>
          <w:numId w:val="5"/>
        </w:numPr>
        <w:tabs>
          <w:tab w:val="left" w:pos="993"/>
        </w:tabs>
        <w:ind w:left="0" w:firstLine="709"/>
        <w:jc w:val="both"/>
      </w:pPr>
      <w:r w:rsidRPr="0047330D">
        <w:t>Gyventojų skaičius, tenkantis 1 alkoholio licencijai;</w:t>
      </w:r>
    </w:p>
    <w:p w:rsidR="0047330D" w:rsidRPr="0047330D" w:rsidRDefault="0047330D" w:rsidP="00416282">
      <w:pPr>
        <w:numPr>
          <w:ilvl w:val="0"/>
          <w:numId w:val="5"/>
        </w:numPr>
        <w:tabs>
          <w:tab w:val="left" w:pos="993"/>
        </w:tabs>
        <w:ind w:left="0" w:firstLine="709"/>
        <w:jc w:val="both"/>
      </w:pPr>
      <w:r w:rsidRPr="0047330D">
        <w:t>Išvengiamų hospitalizacijų dėl diabeto skaičius (18+ m.) 1 000 gyv.;</w:t>
      </w:r>
    </w:p>
    <w:p w:rsidR="0047330D" w:rsidRPr="0047330D" w:rsidRDefault="0047330D" w:rsidP="00416282">
      <w:pPr>
        <w:numPr>
          <w:ilvl w:val="0"/>
          <w:numId w:val="5"/>
        </w:numPr>
        <w:tabs>
          <w:tab w:val="left" w:pos="993"/>
        </w:tabs>
        <w:ind w:left="0" w:firstLine="709"/>
        <w:contextualSpacing/>
        <w:jc w:val="both"/>
      </w:pPr>
      <w:r w:rsidRPr="0047330D">
        <w:t>Sergamumas vaistams atsparia tuberkulioze (A15</w:t>
      </w:r>
      <w:r w:rsidR="000C33D8">
        <w:t>–</w:t>
      </w:r>
      <w:r w:rsidRPr="0047330D">
        <w:t>A19) (visi) 100 000 gyv. (TB registro duomenys);</w:t>
      </w:r>
    </w:p>
    <w:p w:rsidR="0047330D" w:rsidRPr="0047330D" w:rsidRDefault="0047330D" w:rsidP="00416282">
      <w:pPr>
        <w:numPr>
          <w:ilvl w:val="0"/>
          <w:numId w:val="5"/>
        </w:numPr>
        <w:tabs>
          <w:tab w:val="left" w:pos="993"/>
        </w:tabs>
        <w:spacing w:after="200"/>
        <w:ind w:left="0" w:firstLine="709"/>
        <w:contextualSpacing/>
        <w:jc w:val="both"/>
      </w:pPr>
      <w:r w:rsidRPr="0047330D">
        <w:t>2 metų amžiaus vaikų MMR1 (tymų, epideminio parotito, raudonukės vakcina, 1 dozė) skiepijimo apimtys, proc.;</w:t>
      </w:r>
    </w:p>
    <w:p w:rsidR="0047330D" w:rsidRPr="0047330D" w:rsidRDefault="0047330D" w:rsidP="00416282">
      <w:pPr>
        <w:numPr>
          <w:ilvl w:val="0"/>
          <w:numId w:val="5"/>
        </w:numPr>
        <w:tabs>
          <w:tab w:val="left" w:pos="993"/>
        </w:tabs>
        <w:spacing w:after="200"/>
        <w:ind w:left="0" w:firstLine="709"/>
        <w:contextualSpacing/>
        <w:jc w:val="both"/>
      </w:pPr>
      <w:r w:rsidRPr="0047330D">
        <w:t>1 metų amžiaus vaikų DTP3 (difterijos, stabligės, kokliušo vakcina), poliomielito ir B tipo Haemophilus influenzae infekcijos skiepijimo apimtys (3 dozės), proc.</w:t>
      </w:r>
    </w:p>
    <w:p w:rsidR="0047330D" w:rsidRPr="0047330D" w:rsidRDefault="0047330D" w:rsidP="00416282">
      <w:pPr>
        <w:numPr>
          <w:ilvl w:val="0"/>
          <w:numId w:val="3"/>
        </w:numPr>
        <w:tabs>
          <w:tab w:val="left" w:pos="0"/>
          <w:tab w:val="left" w:pos="567"/>
          <w:tab w:val="left" w:pos="993"/>
        </w:tabs>
        <w:spacing w:after="200"/>
        <w:ind w:left="0" w:firstLine="709"/>
        <w:contextualSpacing/>
        <w:jc w:val="both"/>
        <w:rPr>
          <w:rFonts w:eastAsiaTheme="minorHAnsi"/>
        </w:rPr>
      </w:pPr>
      <w:r w:rsidRPr="0047330D">
        <w:rPr>
          <w:rFonts w:eastAsiaTheme="minorHAnsi"/>
        </w:rPr>
        <w:t xml:space="preserve">Buvo išrinktos prioritetinės Klaipėdos m. sav. sritys: </w:t>
      </w:r>
    </w:p>
    <w:p w:rsidR="0047330D" w:rsidRPr="0047330D" w:rsidRDefault="0047330D" w:rsidP="00416282">
      <w:pPr>
        <w:numPr>
          <w:ilvl w:val="0"/>
          <w:numId w:val="5"/>
        </w:numPr>
        <w:tabs>
          <w:tab w:val="left" w:pos="993"/>
        </w:tabs>
        <w:spacing w:after="200"/>
        <w:ind w:left="0" w:firstLine="709"/>
        <w:contextualSpacing/>
        <w:jc w:val="both"/>
      </w:pPr>
      <w:r w:rsidRPr="0047330D">
        <w:t>Sergamumas tuberkulioze (A15</w:t>
      </w:r>
      <w:r w:rsidR="000C33D8">
        <w:t>–</w:t>
      </w:r>
      <w:r w:rsidRPr="0047330D">
        <w:t>A19) 100 000 gyv. (TB registro duomenys);</w:t>
      </w:r>
    </w:p>
    <w:p w:rsidR="0047330D" w:rsidRPr="0047330D" w:rsidRDefault="0047330D" w:rsidP="00416282">
      <w:pPr>
        <w:numPr>
          <w:ilvl w:val="0"/>
          <w:numId w:val="5"/>
        </w:numPr>
        <w:tabs>
          <w:tab w:val="left" w:pos="993"/>
        </w:tabs>
        <w:spacing w:after="200"/>
        <w:ind w:left="0" w:firstLine="709"/>
        <w:contextualSpacing/>
        <w:jc w:val="both"/>
      </w:pPr>
      <w:r w:rsidRPr="0047330D">
        <w:t>Sergamumas tuberkulioze (+ recidyvai) (A15</w:t>
      </w:r>
      <w:r w:rsidR="000C33D8">
        <w:t>–</w:t>
      </w:r>
      <w:r w:rsidRPr="0047330D">
        <w:t>A19) 100 000 gyv. (TB registro duomenys);</w:t>
      </w:r>
    </w:p>
    <w:p w:rsidR="0047330D" w:rsidRPr="0047330D" w:rsidRDefault="0047330D" w:rsidP="00416282">
      <w:pPr>
        <w:numPr>
          <w:ilvl w:val="0"/>
          <w:numId w:val="5"/>
        </w:numPr>
        <w:tabs>
          <w:tab w:val="left" w:pos="993"/>
        </w:tabs>
        <w:spacing w:after="200"/>
        <w:ind w:left="0" w:firstLine="709"/>
        <w:contextualSpacing/>
      </w:pPr>
      <w:r w:rsidRPr="0047330D">
        <w:t>Sergamumas vaistams atsparia tuberkulioze (A15</w:t>
      </w:r>
      <w:r w:rsidR="000C33D8">
        <w:t>–</w:t>
      </w:r>
      <w:r w:rsidRPr="0047330D">
        <w:t>A19) (visi) 100 000 gyv. (TB registro duomenys).</w:t>
      </w:r>
    </w:p>
    <w:p w:rsidR="0047330D" w:rsidRPr="0047330D" w:rsidRDefault="0047330D" w:rsidP="00416282">
      <w:pPr>
        <w:numPr>
          <w:ilvl w:val="0"/>
          <w:numId w:val="3"/>
        </w:numPr>
        <w:tabs>
          <w:tab w:val="left" w:pos="0"/>
          <w:tab w:val="left" w:pos="567"/>
          <w:tab w:val="left" w:pos="993"/>
        </w:tabs>
        <w:spacing w:after="200"/>
        <w:ind w:left="0" w:firstLine="709"/>
        <w:contextualSpacing/>
        <w:jc w:val="both"/>
        <w:rPr>
          <w:rFonts w:eastAsiaTheme="minorHAnsi"/>
        </w:rPr>
      </w:pPr>
      <w:r w:rsidRPr="0047330D">
        <w:rPr>
          <w:rFonts w:eastAsiaTheme="minorHAnsi"/>
        </w:rPr>
        <w:t>2021 metais Klaipėdos mieste buvo užregistruoti 43 nauji tuberkuliozės atvejai, sergamumo tuberkulioze rodiklis Klaipėdos m. sav. viršijo Lietuvos vidurkį ir</w:t>
      </w:r>
      <w:r w:rsidR="000C33D8">
        <w:rPr>
          <w:rFonts w:eastAsiaTheme="minorHAnsi"/>
        </w:rPr>
        <w:t>,</w:t>
      </w:r>
      <w:r w:rsidRPr="0047330D">
        <w:rPr>
          <w:rFonts w:eastAsiaTheme="minorHAnsi"/>
        </w:rPr>
        <w:t xml:space="preserve"> lyginant su 2020 metais</w:t>
      </w:r>
      <w:r w:rsidR="000C33D8">
        <w:rPr>
          <w:rFonts w:eastAsiaTheme="minorHAnsi"/>
        </w:rPr>
        <w:t>,</w:t>
      </w:r>
      <w:r w:rsidRPr="0047330D">
        <w:rPr>
          <w:rFonts w:eastAsiaTheme="minorHAnsi"/>
        </w:rPr>
        <w:t xml:space="preserve"> šis rodiklis ž</w:t>
      </w:r>
      <w:r w:rsidR="000C33D8">
        <w:rPr>
          <w:rFonts w:eastAsiaTheme="minorHAnsi"/>
        </w:rPr>
        <w:t>ym</w:t>
      </w:r>
      <w:r w:rsidRPr="0047330D">
        <w:rPr>
          <w:rFonts w:eastAsiaTheme="minorHAnsi"/>
        </w:rPr>
        <w:t>iai pablogėjo.</w:t>
      </w:r>
    </w:p>
    <w:p w:rsidR="0047330D" w:rsidRPr="0047330D" w:rsidRDefault="0047330D" w:rsidP="00416282">
      <w:pPr>
        <w:numPr>
          <w:ilvl w:val="0"/>
          <w:numId w:val="3"/>
        </w:numPr>
        <w:tabs>
          <w:tab w:val="left" w:pos="0"/>
          <w:tab w:val="left" w:pos="567"/>
          <w:tab w:val="left" w:pos="993"/>
        </w:tabs>
        <w:spacing w:after="200"/>
        <w:ind w:left="0" w:firstLine="709"/>
        <w:contextualSpacing/>
        <w:jc w:val="both"/>
        <w:rPr>
          <w:rFonts w:eastAsiaTheme="minorHAnsi"/>
        </w:rPr>
      </w:pPr>
      <w:r w:rsidRPr="0047330D">
        <w:rPr>
          <w:rFonts w:eastAsiaTheme="minorHAnsi"/>
        </w:rPr>
        <w:t>2021 metais Klaipėdos mieste tuberkulioze sirgo 48 asmenys, sergamumo tuberkulioze (nauji atvejai ir recidyvai) rodiklis Klaipėdos m. sav. viršijo Lietuvos vidurkį ir</w:t>
      </w:r>
      <w:r w:rsidR="000C33D8">
        <w:rPr>
          <w:rFonts w:eastAsiaTheme="minorHAnsi"/>
        </w:rPr>
        <w:t>,</w:t>
      </w:r>
      <w:r w:rsidRPr="0047330D">
        <w:rPr>
          <w:rFonts w:eastAsiaTheme="minorHAnsi"/>
        </w:rPr>
        <w:t xml:space="preserve"> lyginant su 2020 metais</w:t>
      </w:r>
      <w:r w:rsidR="000C33D8">
        <w:rPr>
          <w:rFonts w:eastAsiaTheme="minorHAnsi"/>
        </w:rPr>
        <w:t>,</w:t>
      </w:r>
      <w:r w:rsidRPr="0047330D">
        <w:rPr>
          <w:rFonts w:eastAsiaTheme="minorHAnsi"/>
        </w:rPr>
        <w:t xml:space="preserve"> šis rodiklis ž</w:t>
      </w:r>
      <w:r w:rsidR="000C33D8">
        <w:rPr>
          <w:rFonts w:eastAsiaTheme="minorHAnsi"/>
        </w:rPr>
        <w:t>ym</w:t>
      </w:r>
      <w:r w:rsidRPr="0047330D">
        <w:rPr>
          <w:rFonts w:eastAsiaTheme="minorHAnsi"/>
        </w:rPr>
        <w:t>iai pablogėjo.</w:t>
      </w:r>
    </w:p>
    <w:p w:rsidR="0047330D" w:rsidRPr="0047330D" w:rsidRDefault="0047330D" w:rsidP="00416282">
      <w:pPr>
        <w:numPr>
          <w:ilvl w:val="0"/>
          <w:numId w:val="3"/>
        </w:numPr>
        <w:tabs>
          <w:tab w:val="left" w:pos="0"/>
          <w:tab w:val="left" w:pos="567"/>
          <w:tab w:val="left" w:pos="993"/>
        </w:tabs>
        <w:spacing w:after="200" w:line="276" w:lineRule="auto"/>
        <w:ind w:left="0" w:firstLine="709"/>
        <w:contextualSpacing/>
        <w:jc w:val="both"/>
        <w:rPr>
          <w:rFonts w:eastAsiaTheme="minorHAnsi"/>
        </w:rPr>
      </w:pPr>
      <w:r w:rsidRPr="0047330D">
        <w:rPr>
          <w:rFonts w:eastAsiaTheme="minorHAnsi"/>
        </w:rPr>
        <w:t>2021 metais Klaipėdos mieste atsparia vaistams tuberkulioze sirgo 9 asmenys, sergamumo vaistams atsparios tuberkuliozės (visi atvejai) rodiklis Klaipėdos m. sav. viršijo Lietuvos vidurkį ir</w:t>
      </w:r>
      <w:r w:rsidR="00A85AAE">
        <w:rPr>
          <w:rFonts w:eastAsiaTheme="minorHAnsi"/>
        </w:rPr>
        <w:t>,</w:t>
      </w:r>
      <w:r w:rsidRPr="0047330D">
        <w:rPr>
          <w:rFonts w:eastAsiaTheme="minorHAnsi"/>
        </w:rPr>
        <w:t xml:space="preserve"> lyginant su 2020 metais</w:t>
      </w:r>
      <w:r w:rsidR="00A85AAE">
        <w:rPr>
          <w:rFonts w:eastAsiaTheme="minorHAnsi"/>
        </w:rPr>
        <w:t>,</w:t>
      </w:r>
      <w:r w:rsidRPr="0047330D">
        <w:rPr>
          <w:rFonts w:eastAsiaTheme="minorHAnsi"/>
        </w:rPr>
        <w:t xml:space="preserve"> šis rodiklis ž</w:t>
      </w:r>
      <w:r w:rsidR="00A85AAE">
        <w:rPr>
          <w:rFonts w:eastAsiaTheme="minorHAnsi"/>
        </w:rPr>
        <w:t>ym</w:t>
      </w:r>
      <w:r w:rsidRPr="0047330D">
        <w:rPr>
          <w:rFonts w:eastAsiaTheme="minorHAnsi"/>
        </w:rPr>
        <w:t>iai pablogėjo.</w:t>
      </w:r>
    </w:p>
    <w:p w:rsidR="00431389" w:rsidRDefault="00431389" w:rsidP="0047330D">
      <w:pPr>
        <w:jc w:val="center"/>
        <w:rPr>
          <w:b/>
        </w:rPr>
      </w:pPr>
    </w:p>
    <w:p w:rsidR="0047330D" w:rsidRPr="0047330D" w:rsidRDefault="0047330D" w:rsidP="0047330D">
      <w:pPr>
        <w:jc w:val="center"/>
        <w:rPr>
          <w:b/>
        </w:rPr>
      </w:pPr>
      <w:r w:rsidRPr="0047330D">
        <w:rPr>
          <w:b/>
        </w:rPr>
        <w:t>REKOMENDACIJOS</w:t>
      </w:r>
    </w:p>
    <w:p w:rsidR="0047330D" w:rsidRPr="0047330D" w:rsidRDefault="0047330D" w:rsidP="0047330D">
      <w:pPr>
        <w:jc w:val="center"/>
        <w:rPr>
          <w:b/>
        </w:rPr>
      </w:pPr>
    </w:p>
    <w:p w:rsidR="0047330D" w:rsidRPr="0047330D" w:rsidRDefault="0047330D" w:rsidP="00900E25">
      <w:pPr>
        <w:ind w:firstLine="851"/>
        <w:jc w:val="both"/>
        <w:rPr>
          <w:rFonts w:eastAsiaTheme="minorHAnsi"/>
        </w:rPr>
      </w:pPr>
      <w:r w:rsidRPr="0047330D">
        <w:rPr>
          <w:rFonts w:eastAsiaTheme="minorHAnsi"/>
        </w:rPr>
        <w:t>Ataskaitos rekomendacijos orientuotos į išsamiau nagrinėtas prioritetines Klaipėdos miesto savivaldybės gyventojų sveikatos problemas – tris sergamumo tuberkulioze rodiklius. Siekiant gerinti kitus blogiausių rodiklių zonos (raudonoji zona) rodiklius tęsiamos ankstesniais ataskaitiniais laikotarpiais numatytos priemonės.</w:t>
      </w:r>
    </w:p>
    <w:p w:rsidR="0047330D" w:rsidRPr="0047330D" w:rsidRDefault="0047330D" w:rsidP="00900E25">
      <w:pPr>
        <w:ind w:firstLine="851"/>
        <w:jc w:val="both"/>
        <w:rPr>
          <w:caps/>
        </w:rPr>
      </w:pPr>
    </w:p>
    <w:p w:rsidR="0047330D" w:rsidRPr="0047330D" w:rsidRDefault="0047330D" w:rsidP="00900E25">
      <w:pPr>
        <w:ind w:firstLine="794"/>
        <w:jc w:val="both"/>
        <w:rPr>
          <w:rFonts w:eastAsiaTheme="minorHAnsi"/>
          <w:b/>
        </w:rPr>
      </w:pPr>
      <w:r w:rsidRPr="0047330D">
        <w:rPr>
          <w:rFonts w:eastAsiaTheme="minorHAnsi"/>
          <w:b/>
        </w:rPr>
        <w:t xml:space="preserve">Rekomendacija </w:t>
      </w:r>
      <w:r w:rsidRPr="0047330D">
        <w:rPr>
          <w:rFonts w:eastAsia="Calibri"/>
          <w:b/>
        </w:rPr>
        <w:t>Klaipėdos miesto visuomenės sveikatos biurui:</w:t>
      </w:r>
    </w:p>
    <w:p w:rsidR="0047330D" w:rsidRPr="0047330D" w:rsidRDefault="0047330D" w:rsidP="00900E25">
      <w:pPr>
        <w:numPr>
          <w:ilvl w:val="0"/>
          <w:numId w:val="2"/>
        </w:numPr>
        <w:tabs>
          <w:tab w:val="left" w:pos="993"/>
          <w:tab w:val="left" w:pos="1134"/>
          <w:tab w:val="left" w:pos="1985"/>
        </w:tabs>
        <w:spacing w:after="200"/>
        <w:ind w:firstLine="794"/>
        <w:contextualSpacing/>
        <w:jc w:val="both"/>
        <w:rPr>
          <w:rFonts w:eastAsiaTheme="minorHAnsi"/>
        </w:rPr>
      </w:pPr>
      <w:r w:rsidRPr="0047330D">
        <w:rPr>
          <w:rFonts w:eastAsiaTheme="minorHAnsi"/>
        </w:rPr>
        <w:t>Vykdyti informacijos sklaidą apie tuberkuliozės susirgimo profilaktiką savivaldybėje.</w:t>
      </w:r>
    </w:p>
    <w:p w:rsidR="0047330D" w:rsidRPr="0047330D" w:rsidRDefault="0047330D" w:rsidP="00900E25">
      <w:pPr>
        <w:tabs>
          <w:tab w:val="left" w:pos="993"/>
        </w:tabs>
        <w:ind w:firstLine="794"/>
        <w:jc w:val="both"/>
        <w:rPr>
          <w:rFonts w:eastAsiaTheme="minorHAnsi"/>
          <w:b/>
        </w:rPr>
      </w:pPr>
    </w:p>
    <w:p w:rsidR="0047330D" w:rsidRPr="0047330D" w:rsidRDefault="0047330D" w:rsidP="00900E25">
      <w:pPr>
        <w:tabs>
          <w:tab w:val="left" w:pos="993"/>
        </w:tabs>
        <w:ind w:firstLine="794"/>
        <w:jc w:val="both"/>
        <w:rPr>
          <w:rFonts w:eastAsiaTheme="minorHAnsi"/>
          <w:b/>
        </w:rPr>
      </w:pPr>
      <w:r w:rsidRPr="0047330D">
        <w:rPr>
          <w:rFonts w:eastAsiaTheme="minorHAnsi"/>
          <w:b/>
        </w:rPr>
        <w:t>Rekomendacijos Klaipėdos miesto savivaldybės administracijai:</w:t>
      </w:r>
    </w:p>
    <w:p w:rsidR="0047330D" w:rsidRPr="0047330D" w:rsidRDefault="0047330D" w:rsidP="00900E25">
      <w:pPr>
        <w:numPr>
          <w:ilvl w:val="0"/>
          <w:numId w:val="2"/>
        </w:numPr>
        <w:tabs>
          <w:tab w:val="left" w:pos="993"/>
        </w:tabs>
        <w:spacing w:after="200"/>
        <w:ind w:firstLine="851"/>
        <w:contextualSpacing/>
        <w:jc w:val="both"/>
        <w:rPr>
          <w:rFonts w:eastAsiaTheme="minorHAnsi"/>
        </w:rPr>
      </w:pPr>
      <w:r w:rsidRPr="0047330D">
        <w:rPr>
          <w:rFonts w:eastAsiaTheme="minorHAnsi"/>
        </w:rPr>
        <w:t>Užtikrinti DOTS kabineto išlaikymą Klaipėdos miesto savivaldybėje.</w:t>
      </w:r>
    </w:p>
    <w:p w:rsidR="0047330D" w:rsidRPr="0047330D" w:rsidRDefault="0047330D" w:rsidP="00900E25">
      <w:pPr>
        <w:numPr>
          <w:ilvl w:val="0"/>
          <w:numId w:val="2"/>
        </w:numPr>
        <w:tabs>
          <w:tab w:val="left" w:pos="993"/>
        </w:tabs>
        <w:spacing w:after="200"/>
        <w:ind w:firstLine="851"/>
        <w:contextualSpacing/>
        <w:jc w:val="both"/>
        <w:rPr>
          <w:rFonts w:eastAsiaTheme="minorHAnsi"/>
        </w:rPr>
      </w:pPr>
      <w:r w:rsidRPr="0047330D">
        <w:rPr>
          <w:rFonts w:eastAsiaTheme="minorHAnsi"/>
        </w:rPr>
        <w:t>Užtikrinti tuberkuliozės profilaktikos organizavimo ir vykdymo Klaipėdos mieste paslaugas 2022 m. didžiausios rizikos asmenims ir vaikams.</w:t>
      </w:r>
    </w:p>
    <w:p w:rsidR="0047330D" w:rsidRPr="0047330D" w:rsidRDefault="0047330D" w:rsidP="00900E25">
      <w:pPr>
        <w:tabs>
          <w:tab w:val="left" w:pos="993"/>
        </w:tabs>
        <w:contextualSpacing/>
        <w:jc w:val="both"/>
        <w:rPr>
          <w:rFonts w:eastAsiaTheme="minorHAnsi"/>
        </w:rPr>
      </w:pPr>
    </w:p>
    <w:p w:rsidR="0047330D" w:rsidRPr="0047330D" w:rsidRDefault="0047330D" w:rsidP="00900E25">
      <w:pPr>
        <w:tabs>
          <w:tab w:val="left" w:pos="993"/>
        </w:tabs>
        <w:ind w:firstLine="794"/>
        <w:jc w:val="both"/>
        <w:rPr>
          <w:rFonts w:eastAsiaTheme="minorHAnsi"/>
          <w:b/>
        </w:rPr>
      </w:pPr>
      <w:r w:rsidRPr="0047330D">
        <w:rPr>
          <w:rFonts w:eastAsiaTheme="minorHAnsi"/>
          <w:b/>
        </w:rPr>
        <w:t>Rekomendacijos pirminės sveikatos priežiūros įstaigoms:</w:t>
      </w:r>
    </w:p>
    <w:p w:rsidR="0047330D" w:rsidRPr="0047330D" w:rsidRDefault="0047330D" w:rsidP="00900E25">
      <w:pPr>
        <w:numPr>
          <w:ilvl w:val="0"/>
          <w:numId w:val="2"/>
        </w:numPr>
        <w:tabs>
          <w:tab w:val="left" w:pos="993"/>
          <w:tab w:val="left" w:pos="1134"/>
          <w:tab w:val="left" w:pos="1985"/>
        </w:tabs>
        <w:spacing w:after="200"/>
        <w:ind w:firstLine="794"/>
        <w:contextualSpacing/>
        <w:jc w:val="both"/>
        <w:rPr>
          <w:rFonts w:eastAsiaTheme="minorHAnsi"/>
        </w:rPr>
      </w:pPr>
      <w:r w:rsidRPr="0047330D">
        <w:rPr>
          <w:rFonts w:eastAsiaTheme="minorHAnsi"/>
        </w:rPr>
        <w:t>Užtikrinti tėvų informavimą apie vaikų bei rizikos grupių vaikų tikrinimą dėl tuberkuliozės (tuberkulino testas).</w:t>
      </w:r>
    </w:p>
    <w:p w:rsidR="0047330D" w:rsidRPr="0047330D" w:rsidRDefault="0047330D" w:rsidP="00900E25">
      <w:pPr>
        <w:numPr>
          <w:ilvl w:val="0"/>
          <w:numId w:val="2"/>
        </w:numPr>
        <w:tabs>
          <w:tab w:val="left" w:pos="993"/>
          <w:tab w:val="left" w:pos="1134"/>
          <w:tab w:val="left" w:pos="1985"/>
        </w:tabs>
        <w:spacing w:after="200"/>
        <w:ind w:firstLine="794"/>
        <w:contextualSpacing/>
        <w:jc w:val="both"/>
        <w:rPr>
          <w:rFonts w:eastAsiaTheme="minorHAnsi"/>
        </w:rPr>
      </w:pPr>
      <w:r w:rsidRPr="0047330D">
        <w:rPr>
          <w:rFonts w:eastAsiaTheme="minorHAnsi"/>
        </w:rPr>
        <w:t>Aktyviau organizuoti ir atlikti profilaktinius patikrinimus dėl tuberkuliozės, ypač socialiai nedraustiems ir rizikos grupės asmenims bei darbingo amžiaus nedirbantiems asmenims.</w:t>
      </w:r>
    </w:p>
    <w:p w:rsidR="0047330D" w:rsidRPr="0047330D" w:rsidRDefault="0047330D" w:rsidP="00900E25">
      <w:pPr>
        <w:numPr>
          <w:ilvl w:val="0"/>
          <w:numId w:val="2"/>
        </w:numPr>
        <w:tabs>
          <w:tab w:val="left" w:pos="993"/>
          <w:tab w:val="left" w:pos="1134"/>
          <w:tab w:val="left" w:pos="1985"/>
        </w:tabs>
        <w:spacing w:after="200"/>
        <w:ind w:firstLine="794"/>
        <w:contextualSpacing/>
        <w:jc w:val="both"/>
        <w:rPr>
          <w:rFonts w:eastAsiaTheme="minorHAnsi"/>
        </w:rPr>
      </w:pPr>
      <w:r w:rsidRPr="0047330D">
        <w:rPr>
          <w:rFonts w:eastAsiaTheme="minorHAnsi"/>
        </w:rPr>
        <w:t>Siekti ankstyvosios ligos diagnostikos ir gydymo, taikyti prevencines priemones ligos atkryčiui išvengti.</w:t>
      </w:r>
    </w:p>
    <w:p w:rsidR="0047330D" w:rsidRPr="0047330D" w:rsidRDefault="0047330D" w:rsidP="00900E25">
      <w:pPr>
        <w:numPr>
          <w:ilvl w:val="0"/>
          <w:numId w:val="2"/>
        </w:numPr>
        <w:tabs>
          <w:tab w:val="left" w:pos="993"/>
          <w:tab w:val="left" w:pos="1134"/>
          <w:tab w:val="left" w:pos="1985"/>
        </w:tabs>
        <w:spacing w:after="200"/>
        <w:ind w:firstLine="794"/>
        <w:contextualSpacing/>
        <w:jc w:val="both"/>
        <w:rPr>
          <w:rFonts w:eastAsiaTheme="minorHAnsi"/>
        </w:rPr>
      </w:pPr>
      <w:r w:rsidRPr="0047330D">
        <w:rPr>
          <w:rFonts w:eastAsiaTheme="minorHAnsi"/>
        </w:rPr>
        <w:t>Siekti, kad rizikos grupės asmenys, ypač turintys kontaktą su sergančiu tuberkulioze asmeniu ir ypač su pažeidusiu gydymo režimą, atliktų reikiamus tyrimus.</w:t>
      </w:r>
    </w:p>
    <w:p w:rsidR="0047330D" w:rsidRPr="0047330D" w:rsidRDefault="0047330D" w:rsidP="0047330D">
      <w:pPr>
        <w:numPr>
          <w:ilvl w:val="0"/>
          <w:numId w:val="2"/>
        </w:numPr>
        <w:tabs>
          <w:tab w:val="left" w:pos="993"/>
          <w:tab w:val="left" w:pos="1134"/>
          <w:tab w:val="left" w:pos="1985"/>
        </w:tabs>
        <w:spacing w:after="200" w:line="276" w:lineRule="auto"/>
        <w:ind w:firstLine="794"/>
        <w:contextualSpacing/>
        <w:jc w:val="both"/>
        <w:rPr>
          <w:rFonts w:eastAsiaTheme="minorHAnsi"/>
          <w:highlight w:val="yellow"/>
        </w:rPr>
      </w:pPr>
      <w:r w:rsidRPr="0047330D">
        <w:rPr>
          <w:rFonts w:eastAsiaTheme="minorHAnsi"/>
          <w:b/>
          <w:highlight w:val="yellow"/>
        </w:rPr>
        <w:br w:type="page"/>
      </w:r>
    </w:p>
    <w:p w:rsidR="0047330D" w:rsidRPr="0047330D" w:rsidRDefault="0047330D" w:rsidP="0047330D">
      <w:pPr>
        <w:jc w:val="center"/>
        <w:rPr>
          <w:b/>
        </w:rPr>
      </w:pPr>
      <w:r w:rsidRPr="0047330D">
        <w:rPr>
          <w:b/>
        </w:rPr>
        <w:t>ŠALTINIAI</w:t>
      </w:r>
    </w:p>
    <w:p w:rsidR="0047330D" w:rsidRPr="0047330D" w:rsidRDefault="0047330D" w:rsidP="0047330D">
      <w:pPr>
        <w:jc w:val="both"/>
        <w:rPr>
          <w:rFonts w:eastAsiaTheme="minorHAnsi"/>
        </w:rPr>
      </w:pPr>
    </w:p>
    <w:p w:rsidR="0047330D" w:rsidRPr="0047330D" w:rsidRDefault="0047330D" w:rsidP="00A85AAE">
      <w:pPr>
        <w:numPr>
          <w:ilvl w:val="0"/>
          <w:numId w:val="7"/>
        </w:numPr>
        <w:tabs>
          <w:tab w:val="left" w:pos="993"/>
        </w:tabs>
        <w:spacing w:after="200"/>
        <w:ind w:left="0" w:firstLine="709"/>
        <w:contextualSpacing/>
        <w:jc w:val="both"/>
        <w:rPr>
          <w:rFonts w:eastAsiaTheme="minorHAnsi"/>
        </w:rPr>
      </w:pPr>
      <w:r w:rsidRPr="0047330D">
        <w:rPr>
          <w:rFonts w:eastAsiaTheme="minorHAnsi"/>
        </w:rPr>
        <w:t>Lietuvos Respublikos sveikatos apsaugos ministro 2014 liepos 16 d. įsakymas Nr. V-815 „Dėl Sveikatos netolygumų mažinimo Lietuvoje 2014–2023 m. veiksmų plano patvirtinimo“, TAR, 2014-07-17, Nr. 10332.</w:t>
      </w:r>
    </w:p>
    <w:p w:rsidR="0047330D" w:rsidRPr="0047330D" w:rsidRDefault="0047330D" w:rsidP="00A85AAE">
      <w:pPr>
        <w:numPr>
          <w:ilvl w:val="0"/>
          <w:numId w:val="7"/>
        </w:numPr>
        <w:tabs>
          <w:tab w:val="left" w:pos="993"/>
        </w:tabs>
        <w:spacing w:after="200"/>
        <w:ind w:left="0" w:firstLine="709"/>
        <w:contextualSpacing/>
        <w:jc w:val="both"/>
        <w:rPr>
          <w:rFonts w:eastAsiaTheme="minorHAnsi"/>
        </w:rPr>
      </w:pPr>
      <w:r w:rsidRPr="0047330D">
        <w:rPr>
          <w:rFonts w:eastAsiaTheme="minorHAnsi"/>
        </w:rPr>
        <w:t>I. Petrauskaitė, A. Želvienė. Savivaldybių visuomenės sveikatos stebėsenos ataskaitų rašymo metodinės rekomendacijos. Higienos institutas, Vilnius, 2019.</w:t>
      </w:r>
    </w:p>
    <w:p w:rsidR="0047330D" w:rsidRPr="0047330D" w:rsidRDefault="0047330D" w:rsidP="00A85AAE">
      <w:pPr>
        <w:numPr>
          <w:ilvl w:val="0"/>
          <w:numId w:val="7"/>
        </w:numPr>
        <w:tabs>
          <w:tab w:val="left" w:pos="993"/>
        </w:tabs>
        <w:spacing w:after="200"/>
        <w:ind w:left="0" w:firstLine="709"/>
        <w:contextualSpacing/>
        <w:jc w:val="both"/>
        <w:rPr>
          <w:rFonts w:eastAsiaTheme="minorHAnsi"/>
        </w:rPr>
      </w:pPr>
      <w:r w:rsidRPr="0047330D">
        <w:rPr>
          <w:rFonts w:eastAsiaTheme="minorHAnsi"/>
        </w:rPr>
        <w:t>Klaipėdos miesto savivaldybės visuomenės sveikatos stebėsenos 2020 metų ataskaita. Klaipėdos miesto visuomenės sveikatos biuras, 2021.</w:t>
      </w:r>
    </w:p>
    <w:p w:rsidR="0047330D" w:rsidRPr="0047330D" w:rsidRDefault="0047330D" w:rsidP="00900E25">
      <w:pPr>
        <w:jc w:val="both"/>
        <w:rPr>
          <w:rFonts w:eastAsiaTheme="minorHAnsi"/>
          <w:strike/>
        </w:rPr>
      </w:pPr>
    </w:p>
    <w:p w:rsidR="0047330D" w:rsidRPr="0047330D" w:rsidRDefault="0047330D" w:rsidP="0047330D">
      <w:pPr>
        <w:rPr>
          <w:rFonts w:eastAsiaTheme="minorHAnsi"/>
        </w:rPr>
      </w:pPr>
    </w:p>
    <w:p w:rsidR="0047330D" w:rsidRPr="0047330D" w:rsidRDefault="0047330D" w:rsidP="0047330D">
      <w:pPr>
        <w:rPr>
          <w:rFonts w:eastAsiaTheme="minorHAnsi"/>
          <w:b/>
        </w:rPr>
      </w:pPr>
      <w:r w:rsidRPr="0047330D">
        <w:rPr>
          <w:rFonts w:eastAsiaTheme="minorHAnsi"/>
          <w:b/>
        </w:rPr>
        <w:t>Ataskaitą parengė</w:t>
      </w:r>
    </w:p>
    <w:p w:rsidR="00431389" w:rsidRDefault="0047330D" w:rsidP="0047330D">
      <w:pPr>
        <w:rPr>
          <w:rFonts w:eastAsiaTheme="minorHAnsi"/>
          <w:b/>
        </w:rPr>
      </w:pPr>
      <w:r w:rsidRPr="0047330D">
        <w:rPr>
          <w:rFonts w:eastAsiaTheme="minorHAnsi"/>
          <w:b/>
        </w:rPr>
        <w:t>Klaipėdos miesto visuomenės sveikatos biuras</w:t>
      </w:r>
    </w:p>
    <w:sectPr w:rsidR="00431389" w:rsidSect="00D57F27">
      <w:headerReference w:type="defaul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BA11DB">
          <w:rPr>
            <w:noProof/>
          </w:rPr>
          <w:t>13</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060D9"/>
    <w:multiLevelType w:val="hybridMultilevel"/>
    <w:tmpl w:val="2780E076"/>
    <w:lvl w:ilvl="0" w:tplc="12FC8EEA">
      <w:start w:val="2"/>
      <w:numFmt w:val="bullet"/>
      <w:lvlText w:val="-"/>
      <w:lvlJc w:val="left"/>
      <w:pPr>
        <w:ind w:left="0" w:hanging="360"/>
      </w:pPr>
      <w:rPr>
        <w:rFonts w:ascii="Times New Roman" w:eastAsiaTheme="minorHAnsi" w:hAnsi="Times New Roman" w:cs="Times New Roman"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1" w15:restartNumberingAfterBreak="0">
    <w:nsid w:val="4C43590F"/>
    <w:multiLevelType w:val="hybridMultilevel"/>
    <w:tmpl w:val="7B26E5A4"/>
    <w:lvl w:ilvl="0" w:tplc="A2B0A40A">
      <w:start w:val="1"/>
      <w:numFmt w:val="bullet"/>
      <w:lvlText w:val="-"/>
      <w:lvlJc w:val="left"/>
      <w:pPr>
        <w:ind w:left="785" w:hanging="360"/>
      </w:pPr>
      <w:rPr>
        <w:rFonts w:ascii="Times New Roman" w:eastAsia="Times New Roman" w:hAnsi="Times New Roman" w:cs="Times New Roman" w:hint="default"/>
      </w:rPr>
    </w:lvl>
    <w:lvl w:ilvl="1" w:tplc="04270003" w:tentative="1">
      <w:start w:val="1"/>
      <w:numFmt w:val="bullet"/>
      <w:lvlText w:val="o"/>
      <w:lvlJc w:val="left"/>
      <w:pPr>
        <w:ind w:left="2717" w:hanging="360"/>
      </w:pPr>
      <w:rPr>
        <w:rFonts w:ascii="Courier New" w:hAnsi="Courier New" w:cs="Courier New" w:hint="default"/>
      </w:rPr>
    </w:lvl>
    <w:lvl w:ilvl="2" w:tplc="04270005" w:tentative="1">
      <w:start w:val="1"/>
      <w:numFmt w:val="bullet"/>
      <w:lvlText w:val=""/>
      <w:lvlJc w:val="left"/>
      <w:pPr>
        <w:ind w:left="3437" w:hanging="360"/>
      </w:pPr>
      <w:rPr>
        <w:rFonts w:ascii="Wingdings" w:hAnsi="Wingdings" w:hint="default"/>
      </w:rPr>
    </w:lvl>
    <w:lvl w:ilvl="3" w:tplc="04270001" w:tentative="1">
      <w:start w:val="1"/>
      <w:numFmt w:val="bullet"/>
      <w:lvlText w:val=""/>
      <w:lvlJc w:val="left"/>
      <w:pPr>
        <w:ind w:left="4157" w:hanging="360"/>
      </w:pPr>
      <w:rPr>
        <w:rFonts w:ascii="Symbol" w:hAnsi="Symbol" w:hint="default"/>
      </w:rPr>
    </w:lvl>
    <w:lvl w:ilvl="4" w:tplc="04270003" w:tentative="1">
      <w:start w:val="1"/>
      <w:numFmt w:val="bullet"/>
      <w:lvlText w:val="o"/>
      <w:lvlJc w:val="left"/>
      <w:pPr>
        <w:ind w:left="4877" w:hanging="360"/>
      </w:pPr>
      <w:rPr>
        <w:rFonts w:ascii="Courier New" w:hAnsi="Courier New" w:cs="Courier New" w:hint="default"/>
      </w:rPr>
    </w:lvl>
    <w:lvl w:ilvl="5" w:tplc="04270005" w:tentative="1">
      <w:start w:val="1"/>
      <w:numFmt w:val="bullet"/>
      <w:lvlText w:val=""/>
      <w:lvlJc w:val="left"/>
      <w:pPr>
        <w:ind w:left="5597" w:hanging="360"/>
      </w:pPr>
      <w:rPr>
        <w:rFonts w:ascii="Wingdings" w:hAnsi="Wingdings" w:hint="default"/>
      </w:rPr>
    </w:lvl>
    <w:lvl w:ilvl="6" w:tplc="04270001" w:tentative="1">
      <w:start w:val="1"/>
      <w:numFmt w:val="bullet"/>
      <w:lvlText w:val=""/>
      <w:lvlJc w:val="left"/>
      <w:pPr>
        <w:ind w:left="6317" w:hanging="360"/>
      </w:pPr>
      <w:rPr>
        <w:rFonts w:ascii="Symbol" w:hAnsi="Symbol" w:hint="default"/>
      </w:rPr>
    </w:lvl>
    <w:lvl w:ilvl="7" w:tplc="04270003" w:tentative="1">
      <w:start w:val="1"/>
      <w:numFmt w:val="bullet"/>
      <w:lvlText w:val="o"/>
      <w:lvlJc w:val="left"/>
      <w:pPr>
        <w:ind w:left="7037" w:hanging="360"/>
      </w:pPr>
      <w:rPr>
        <w:rFonts w:ascii="Courier New" w:hAnsi="Courier New" w:cs="Courier New" w:hint="default"/>
      </w:rPr>
    </w:lvl>
    <w:lvl w:ilvl="8" w:tplc="04270005" w:tentative="1">
      <w:start w:val="1"/>
      <w:numFmt w:val="bullet"/>
      <w:lvlText w:val=""/>
      <w:lvlJc w:val="left"/>
      <w:pPr>
        <w:ind w:left="7757" w:hanging="360"/>
      </w:pPr>
      <w:rPr>
        <w:rFonts w:ascii="Wingdings" w:hAnsi="Wingdings" w:hint="default"/>
      </w:rPr>
    </w:lvl>
  </w:abstractNum>
  <w:abstractNum w:abstractNumId="2" w15:restartNumberingAfterBreak="0">
    <w:nsid w:val="538F673E"/>
    <w:multiLevelType w:val="hybridMultilevel"/>
    <w:tmpl w:val="F028B5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2AD63B4"/>
    <w:multiLevelType w:val="hybridMultilevel"/>
    <w:tmpl w:val="B3823670"/>
    <w:lvl w:ilvl="0" w:tplc="A2B0A40A">
      <w:start w:val="1"/>
      <w:numFmt w:val="bullet"/>
      <w:lvlText w:val="-"/>
      <w:lvlJc w:val="left"/>
      <w:pPr>
        <w:ind w:left="1514" w:hanging="360"/>
      </w:pPr>
      <w:rPr>
        <w:rFonts w:ascii="Times New Roman" w:eastAsia="Times New Roman" w:hAnsi="Times New Roman" w:cs="Times New Roman" w:hint="default"/>
      </w:rPr>
    </w:lvl>
    <w:lvl w:ilvl="1" w:tplc="04270003" w:tentative="1">
      <w:start w:val="1"/>
      <w:numFmt w:val="bullet"/>
      <w:lvlText w:val="o"/>
      <w:lvlJc w:val="left"/>
      <w:pPr>
        <w:ind w:left="2234" w:hanging="360"/>
      </w:pPr>
      <w:rPr>
        <w:rFonts w:ascii="Courier New" w:hAnsi="Courier New" w:cs="Courier New" w:hint="default"/>
      </w:rPr>
    </w:lvl>
    <w:lvl w:ilvl="2" w:tplc="04270005" w:tentative="1">
      <w:start w:val="1"/>
      <w:numFmt w:val="bullet"/>
      <w:lvlText w:val=""/>
      <w:lvlJc w:val="left"/>
      <w:pPr>
        <w:ind w:left="2954" w:hanging="360"/>
      </w:pPr>
      <w:rPr>
        <w:rFonts w:ascii="Wingdings" w:hAnsi="Wingdings" w:hint="default"/>
      </w:rPr>
    </w:lvl>
    <w:lvl w:ilvl="3" w:tplc="04270001" w:tentative="1">
      <w:start w:val="1"/>
      <w:numFmt w:val="bullet"/>
      <w:lvlText w:val=""/>
      <w:lvlJc w:val="left"/>
      <w:pPr>
        <w:ind w:left="3674" w:hanging="360"/>
      </w:pPr>
      <w:rPr>
        <w:rFonts w:ascii="Symbol" w:hAnsi="Symbol" w:hint="default"/>
      </w:rPr>
    </w:lvl>
    <w:lvl w:ilvl="4" w:tplc="04270003" w:tentative="1">
      <w:start w:val="1"/>
      <w:numFmt w:val="bullet"/>
      <w:lvlText w:val="o"/>
      <w:lvlJc w:val="left"/>
      <w:pPr>
        <w:ind w:left="4394" w:hanging="360"/>
      </w:pPr>
      <w:rPr>
        <w:rFonts w:ascii="Courier New" w:hAnsi="Courier New" w:cs="Courier New" w:hint="default"/>
      </w:rPr>
    </w:lvl>
    <w:lvl w:ilvl="5" w:tplc="04270005" w:tentative="1">
      <w:start w:val="1"/>
      <w:numFmt w:val="bullet"/>
      <w:lvlText w:val=""/>
      <w:lvlJc w:val="left"/>
      <w:pPr>
        <w:ind w:left="5114" w:hanging="360"/>
      </w:pPr>
      <w:rPr>
        <w:rFonts w:ascii="Wingdings" w:hAnsi="Wingdings" w:hint="default"/>
      </w:rPr>
    </w:lvl>
    <w:lvl w:ilvl="6" w:tplc="04270001" w:tentative="1">
      <w:start w:val="1"/>
      <w:numFmt w:val="bullet"/>
      <w:lvlText w:val=""/>
      <w:lvlJc w:val="left"/>
      <w:pPr>
        <w:ind w:left="5834" w:hanging="360"/>
      </w:pPr>
      <w:rPr>
        <w:rFonts w:ascii="Symbol" w:hAnsi="Symbol" w:hint="default"/>
      </w:rPr>
    </w:lvl>
    <w:lvl w:ilvl="7" w:tplc="04270003" w:tentative="1">
      <w:start w:val="1"/>
      <w:numFmt w:val="bullet"/>
      <w:lvlText w:val="o"/>
      <w:lvlJc w:val="left"/>
      <w:pPr>
        <w:ind w:left="6554" w:hanging="360"/>
      </w:pPr>
      <w:rPr>
        <w:rFonts w:ascii="Courier New" w:hAnsi="Courier New" w:cs="Courier New" w:hint="default"/>
      </w:rPr>
    </w:lvl>
    <w:lvl w:ilvl="8" w:tplc="04270005" w:tentative="1">
      <w:start w:val="1"/>
      <w:numFmt w:val="bullet"/>
      <w:lvlText w:val=""/>
      <w:lvlJc w:val="left"/>
      <w:pPr>
        <w:ind w:left="7274" w:hanging="360"/>
      </w:pPr>
      <w:rPr>
        <w:rFonts w:ascii="Wingdings" w:hAnsi="Wingdings" w:hint="default"/>
      </w:rPr>
    </w:lvl>
  </w:abstractNum>
  <w:abstractNum w:abstractNumId="4" w15:restartNumberingAfterBreak="0">
    <w:nsid w:val="6A2857CF"/>
    <w:multiLevelType w:val="hybridMultilevel"/>
    <w:tmpl w:val="91A256A6"/>
    <w:lvl w:ilvl="0" w:tplc="8B3E3618">
      <w:start w:val="1"/>
      <w:numFmt w:val="decimal"/>
      <w:lvlText w:val="%1)"/>
      <w:lvlJc w:val="left"/>
      <w:pPr>
        <w:ind w:left="1211" w:hanging="360"/>
      </w:pPr>
      <w:rPr>
        <w:rFonts w:ascii="Times New Roman" w:eastAsia="Times New Roman" w:hAnsi="Times New Roman" w:cs="Times New Roman"/>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6B1B41A2"/>
    <w:multiLevelType w:val="hybridMultilevel"/>
    <w:tmpl w:val="2696A620"/>
    <w:lvl w:ilvl="0" w:tplc="E87C761C">
      <w:start w:val="7"/>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7C2E4BF3"/>
    <w:multiLevelType w:val="hybridMultilevel"/>
    <w:tmpl w:val="DB4453FE"/>
    <w:lvl w:ilvl="0" w:tplc="C47AF01C">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0"/>
  </w:num>
  <w:num w:numId="3">
    <w:abstractNumId w:val="6"/>
  </w:num>
  <w:num w:numId="4">
    <w:abstractNumId w:val="6"/>
    <w:lvlOverride w:ilvl="0">
      <w:lvl w:ilvl="0" w:tplc="C47AF01C">
        <w:start w:val="1"/>
        <w:numFmt w:val="decimal"/>
        <w:lvlText w:val="%1."/>
        <w:lvlJc w:val="left"/>
        <w:pPr>
          <w:ind w:left="360" w:hanging="360"/>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B3EB9"/>
    <w:rsid w:val="000C33D8"/>
    <w:rsid w:val="001248B4"/>
    <w:rsid w:val="00186E10"/>
    <w:rsid w:val="001D4D63"/>
    <w:rsid w:val="00251317"/>
    <w:rsid w:val="00337ABF"/>
    <w:rsid w:val="00343D40"/>
    <w:rsid w:val="0034635F"/>
    <w:rsid w:val="00354837"/>
    <w:rsid w:val="003B24A2"/>
    <w:rsid w:val="00404CFA"/>
    <w:rsid w:val="00416282"/>
    <w:rsid w:val="004273F6"/>
    <w:rsid w:val="00431389"/>
    <w:rsid w:val="004476DD"/>
    <w:rsid w:val="0047330D"/>
    <w:rsid w:val="004832C8"/>
    <w:rsid w:val="00547A9E"/>
    <w:rsid w:val="00555CD3"/>
    <w:rsid w:val="00597EE8"/>
    <w:rsid w:val="005E5DEE"/>
    <w:rsid w:val="005F495C"/>
    <w:rsid w:val="00675164"/>
    <w:rsid w:val="00730471"/>
    <w:rsid w:val="007610BA"/>
    <w:rsid w:val="00790468"/>
    <w:rsid w:val="00797B4D"/>
    <w:rsid w:val="007B7975"/>
    <w:rsid w:val="00832CC9"/>
    <w:rsid w:val="008354D5"/>
    <w:rsid w:val="00872820"/>
    <w:rsid w:val="008E6E82"/>
    <w:rsid w:val="00900E25"/>
    <w:rsid w:val="00913FAD"/>
    <w:rsid w:val="00973B53"/>
    <w:rsid w:val="00996C61"/>
    <w:rsid w:val="00A44C68"/>
    <w:rsid w:val="00A85AAE"/>
    <w:rsid w:val="00AF7D08"/>
    <w:rsid w:val="00B750B6"/>
    <w:rsid w:val="00BA11DB"/>
    <w:rsid w:val="00C81B7B"/>
    <w:rsid w:val="00C91CC5"/>
    <w:rsid w:val="00CA4D3B"/>
    <w:rsid w:val="00CA7D20"/>
    <w:rsid w:val="00D42B72"/>
    <w:rsid w:val="00D45B4D"/>
    <w:rsid w:val="00D57F27"/>
    <w:rsid w:val="00D87EC9"/>
    <w:rsid w:val="00E33871"/>
    <w:rsid w:val="00E56A73"/>
    <w:rsid w:val="00E70645"/>
    <w:rsid w:val="00EC21AD"/>
    <w:rsid w:val="00ED4472"/>
    <w:rsid w:val="00F05F18"/>
    <w:rsid w:val="00F07E95"/>
    <w:rsid w:val="00F72A1E"/>
    <w:rsid w:val="00FB0E13"/>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08CB"/>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4733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47330D"/>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47330D"/>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47330D"/>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47330D"/>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47330D"/>
    <w:rPr>
      <w:rFonts w:asciiTheme="majorHAnsi" w:eastAsiaTheme="majorEastAsia" w:hAnsiTheme="majorHAnsi" w:cstheme="majorBidi"/>
      <w:b/>
      <w:bCs/>
      <w:color w:val="4F81BD" w:themeColor="accent1"/>
    </w:rPr>
  </w:style>
  <w:style w:type="numbering" w:customStyle="1" w:styleId="Sraonra1">
    <w:name w:val="Sąrašo nėra1"/>
    <w:next w:val="Sraonra"/>
    <w:uiPriority w:val="99"/>
    <w:semiHidden/>
    <w:unhideWhenUsed/>
    <w:rsid w:val="0047330D"/>
  </w:style>
  <w:style w:type="paragraph" w:styleId="Sraopastraipa">
    <w:name w:val="List Paragraph"/>
    <w:basedOn w:val="prastasis"/>
    <w:uiPriority w:val="34"/>
    <w:qFormat/>
    <w:rsid w:val="0047330D"/>
    <w:pPr>
      <w:spacing w:after="200" w:line="276" w:lineRule="auto"/>
      <w:ind w:left="720"/>
      <w:contextualSpacing/>
    </w:pPr>
    <w:rPr>
      <w:rFonts w:asciiTheme="minorHAnsi" w:eastAsiaTheme="minorHAnsi" w:hAnsiTheme="minorHAnsi" w:cstheme="minorBidi"/>
      <w:sz w:val="22"/>
      <w:szCs w:val="22"/>
    </w:rPr>
  </w:style>
  <w:style w:type="paragraph" w:styleId="Betarp">
    <w:name w:val="No Spacing"/>
    <w:link w:val="BetarpDiagrama"/>
    <w:uiPriority w:val="1"/>
    <w:qFormat/>
    <w:rsid w:val="0047330D"/>
    <w:pPr>
      <w:spacing w:after="0" w:line="240" w:lineRule="auto"/>
    </w:pPr>
  </w:style>
  <w:style w:type="table" w:customStyle="1" w:styleId="Lentelstinklelis1">
    <w:name w:val="Lentelės tinklelis1"/>
    <w:basedOn w:val="prastojilentel"/>
    <w:next w:val="Lentelstinklelis"/>
    <w:uiPriority w:val="59"/>
    <w:rsid w:val="00473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47330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ipersaitas">
    <w:name w:val="Hyperlink"/>
    <w:basedOn w:val="Numatytasispastraiposriftas"/>
    <w:uiPriority w:val="99"/>
    <w:unhideWhenUsed/>
    <w:rsid w:val="0047330D"/>
    <w:rPr>
      <w:color w:val="0000FF" w:themeColor="hyperlink"/>
      <w:u w:val="single"/>
    </w:rPr>
  </w:style>
  <w:style w:type="character" w:customStyle="1" w:styleId="apple-converted-space">
    <w:name w:val="apple-converted-space"/>
    <w:basedOn w:val="Numatytasispastraiposriftas"/>
    <w:rsid w:val="0047330D"/>
  </w:style>
  <w:style w:type="paragraph" w:styleId="Paprastasistekstas">
    <w:name w:val="Plain Text"/>
    <w:basedOn w:val="prastasis"/>
    <w:link w:val="PaprastasistekstasDiagrama"/>
    <w:uiPriority w:val="99"/>
    <w:unhideWhenUsed/>
    <w:rsid w:val="0047330D"/>
    <w:rPr>
      <w:rFonts w:ascii="Consolas" w:eastAsiaTheme="minorHAnsi" w:hAnsi="Consolas" w:cstheme="minorBidi"/>
      <w:sz w:val="21"/>
      <w:szCs w:val="21"/>
    </w:rPr>
  </w:style>
  <w:style w:type="character" w:customStyle="1" w:styleId="PaprastasistekstasDiagrama">
    <w:name w:val="Paprastasis tekstas Diagrama"/>
    <w:basedOn w:val="Numatytasispastraiposriftas"/>
    <w:link w:val="Paprastasistekstas"/>
    <w:uiPriority w:val="99"/>
    <w:rsid w:val="0047330D"/>
    <w:rPr>
      <w:rFonts w:ascii="Consolas" w:hAnsi="Consolas"/>
      <w:sz w:val="21"/>
      <w:szCs w:val="21"/>
    </w:rPr>
  </w:style>
  <w:style w:type="character" w:styleId="Grietas">
    <w:name w:val="Strong"/>
    <w:basedOn w:val="Numatytasispastraiposriftas"/>
    <w:uiPriority w:val="22"/>
    <w:qFormat/>
    <w:rsid w:val="0047330D"/>
    <w:rPr>
      <w:b/>
      <w:bCs/>
    </w:rPr>
  </w:style>
  <w:style w:type="paragraph" w:styleId="Turinioantrat">
    <w:name w:val="TOC Heading"/>
    <w:basedOn w:val="Antrat1"/>
    <w:next w:val="prastasis"/>
    <w:uiPriority w:val="39"/>
    <w:semiHidden/>
    <w:unhideWhenUsed/>
    <w:qFormat/>
    <w:rsid w:val="0047330D"/>
    <w:pPr>
      <w:outlineLvl w:val="9"/>
    </w:pPr>
    <w:rPr>
      <w:lang w:eastAsia="lt-LT"/>
    </w:rPr>
  </w:style>
  <w:style w:type="paragraph" w:styleId="Turinys1">
    <w:name w:val="toc 1"/>
    <w:basedOn w:val="prastasis"/>
    <w:next w:val="prastasis"/>
    <w:autoRedefine/>
    <w:uiPriority w:val="39"/>
    <w:unhideWhenUsed/>
    <w:rsid w:val="0047330D"/>
    <w:pPr>
      <w:tabs>
        <w:tab w:val="left" w:pos="440"/>
        <w:tab w:val="right" w:leader="dot" w:pos="9628"/>
      </w:tabs>
      <w:spacing w:after="100" w:line="276" w:lineRule="auto"/>
    </w:pPr>
    <w:rPr>
      <w:rFonts w:eastAsiaTheme="minorHAnsi"/>
      <w:b/>
      <w:noProof/>
    </w:rPr>
  </w:style>
  <w:style w:type="paragraph" w:styleId="Turinys2">
    <w:name w:val="toc 2"/>
    <w:basedOn w:val="prastasis"/>
    <w:next w:val="prastasis"/>
    <w:autoRedefine/>
    <w:uiPriority w:val="39"/>
    <w:unhideWhenUsed/>
    <w:rsid w:val="0047330D"/>
    <w:pPr>
      <w:spacing w:after="100" w:line="276" w:lineRule="auto"/>
      <w:ind w:left="220"/>
    </w:pPr>
    <w:rPr>
      <w:rFonts w:asciiTheme="minorHAnsi" w:eastAsiaTheme="minorHAnsi" w:hAnsiTheme="minorHAnsi" w:cstheme="minorBidi"/>
      <w:sz w:val="22"/>
      <w:szCs w:val="22"/>
    </w:rPr>
  </w:style>
  <w:style w:type="paragraph" w:styleId="Turinys3">
    <w:name w:val="toc 3"/>
    <w:basedOn w:val="prastasis"/>
    <w:next w:val="prastasis"/>
    <w:autoRedefine/>
    <w:uiPriority w:val="39"/>
    <w:unhideWhenUsed/>
    <w:rsid w:val="0047330D"/>
    <w:pPr>
      <w:spacing w:after="100" w:line="276" w:lineRule="auto"/>
      <w:ind w:left="440"/>
    </w:pPr>
    <w:rPr>
      <w:rFonts w:asciiTheme="minorHAnsi" w:eastAsiaTheme="minorHAnsi" w:hAnsiTheme="minorHAnsi" w:cstheme="minorBidi"/>
      <w:sz w:val="22"/>
      <w:szCs w:val="22"/>
    </w:rPr>
  </w:style>
  <w:style w:type="table" w:styleId="viesusspalvinimas3parykinimas">
    <w:name w:val="Light Shading Accent 3"/>
    <w:basedOn w:val="prastojilentel"/>
    <w:uiPriority w:val="60"/>
    <w:rsid w:val="0047330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Pagrindinistekstas">
    <w:name w:val="Body Text"/>
    <w:basedOn w:val="prastasis"/>
    <w:link w:val="PagrindinistekstasDiagrama"/>
    <w:uiPriority w:val="1"/>
    <w:semiHidden/>
    <w:unhideWhenUsed/>
    <w:qFormat/>
    <w:rsid w:val="0047330D"/>
    <w:pPr>
      <w:widowControl w:val="0"/>
      <w:spacing w:before="10"/>
      <w:ind w:left="102" w:firstLine="1295"/>
    </w:pPr>
    <w:rPr>
      <w:rFonts w:cstheme="minorBidi"/>
      <w:lang w:val="en-US"/>
    </w:rPr>
  </w:style>
  <w:style w:type="character" w:customStyle="1" w:styleId="PagrindinistekstasDiagrama">
    <w:name w:val="Pagrindinis tekstas Diagrama"/>
    <w:basedOn w:val="Numatytasispastraiposriftas"/>
    <w:link w:val="Pagrindinistekstas"/>
    <w:uiPriority w:val="1"/>
    <w:semiHidden/>
    <w:rsid w:val="0047330D"/>
    <w:rPr>
      <w:rFonts w:ascii="Times New Roman" w:eastAsia="Times New Roman" w:hAnsi="Times New Roman"/>
      <w:sz w:val="24"/>
      <w:szCs w:val="24"/>
      <w:lang w:val="en-US"/>
    </w:rPr>
  </w:style>
  <w:style w:type="paragraph" w:customStyle="1" w:styleId="Default">
    <w:name w:val="Default"/>
    <w:rsid w:val="0047330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1">
    <w:name w:val="Lentelės tinklelis11"/>
    <w:basedOn w:val="prastojilentel"/>
    <w:next w:val="Lentelstinklelis"/>
    <w:rsid w:val="004733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47330D"/>
    <w:rPr>
      <w:i/>
      <w:iCs/>
    </w:rPr>
  </w:style>
  <w:style w:type="character" w:customStyle="1" w:styleId="UnresolvedMention1">
    <w:name w:val="Unresolved Mention1"/>
    <w:basedOn w:val="Numatytasispastraiposriftas"/>
    <w:uiPriority w:val="99"/>
    <w:semiHidden/>
    <w:unhideWhenUsed/>
    <w:rsid w:val="0047330D"/>
    <w:rPr>
      <w:color w:val="605E5C"/>
      <w:shd w:val="clear" w:color="auto" w:fill="E1DFDD"/>
    </w:rPr>
  </w:style>
  <w:style w:type="character" w:customStyle="1" w:styleId="BetarpDiagrama">
    <w:name w:val="Be tarpų Diagrama"/>
    <w:basedOn w:val="Numatytasispastraiposriftas"/>
    <w:link w:val="Betarp"/>
    <w:uiPriority w:val="1"/>
    <w:rsid w:val="0047330D"/>
  </w:style>
  <w:style w:type="character" w:styleId="Komentaronuoroda">
    <w:name w:val="annotation reference"/>
    <w:basedOn w:val="Numatytasispastraiposriftas"/>
    <w:uiPriority w:val="99"/>
    <w:semiHidden/>
    <w:unhideWhenUsed/>
    <w:rsid w:val="0047330D"/>
    <w:rPr>
      <w:sz w:val="16"/>
      <w:szCs w:val="16"/>
    </w:rPr>
  </w:style>
  <w:style w:type="paragraph" w:styleId="Komentarotekstas">
    <w:name w:val="annotation text"/>
    <w:basedOn w:val="prastasis"/>
    <w:link w:val="KomentarotekstasDiagrama"/>
    <w:uiPriority w:val="99"/>
    <w:semiHidden/>
    <w:unhideWhenUsed/>
    <w:rsid w:val="0047330D"/>
    <w:pPr>
      <w:spacing w:after="20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semiHidden/>
    <w:rsid w:val="0047330D"/>
    <w:rPr>
      <w:sz w:val="20"/>
      <w:szCs w:val="20"/>
    </w:rPr>
  </w:style>
  <w:style w:type="paragraph" w:styleId="Komentarotema">
    <w:name w:val="annotation subject"/>
    <w:basedOn w:val="Komentarotekstas"/>
    <w:next w:val="Komentarotekstas"/>
    <w:link w:val="KomentarotemaDiagrama"/>
    <w:uiPriority w:val="99"/>
    <w:semiHidden/>
    <w:unhideWhenUsed/>
    <w:rsid w:val="0047330D"/>
    <w:rPr>
      <w:b/>
      <w:bCs/>
    </w:rPr>
  </w:style>
  <w:style w:type="character" w:customStyle="1" w:styleId="KomentarotemaDiagrama">
    <w:name w:val="Komentaro tema Diagrama"/>
    <w:basedOn w:val="KomentarotekstasDiagrama"/>
    <w:link w:val="Komentarotema"/>
    <w:uiPriority w:val="99"/>
    <w:semiHidden/>
    <w:rsid w:val="0047330D"/>
    <w:rPr>
      <w:b/>
      <w:bCs/>
      <w:sz w:val="20"/>
      <w:szCs w:val="20"/>
    </w:rPr>
  </w:style>
  <w:style w:type="character" w:customStyle="1" w:styleId="UnresolvedMention2">
    <w:name w:val="Unresolved Mention2"/>
    <w:basedOn w:val="Numatytasispastraiposriftas"/>
    <w:uiPriority w:val="99"/>
    <w:semiHidden/>
    <w:unhideWhenUsed/>
    <w:rsid w:val="00473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10.emf"/><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Chart%20in%20Microsoft%20Word"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Chart%20in%20Microsoft%20Word"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darbalapis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darbalapis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darbalapis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'[Chart in Microsoft Word]Sheet1'!$B$47</c:f>
              <c:strCache>
                <c:ptCount val="1"/>
                <c:pt idx="0">
                  <c:v>Moterys</c:v>
                </c:pt>
              </c:strCache>
            </c:strRef>
          </c:tx>
          <c:spPr>
            <a:solidFill>
              <a:schemeClr val="accent1"/>
            </a:solidFill>
            <a:ln>
              <a:noFill/>
            </a:ln>
            <a:effectLst/>
          </c:spPr>
          <c:invertIfNegative val="0"/>
          <c:cat>
            <c:strRef>
              <c:f>'[Chart in Microsoft Word]Sheet1'!$A$48:$A$63</c:f>
              <c:strCache>
                <c:ptCount val="16"/>
                <c:pt idx="0">
                  <c:v>75+</c:v>
                </c:pt>
                <c:pt idx="1">
                  <c:v>70-74</c:v>
                </c:pt>
                <c:pt idx="2">
                  <c:v>65-69</c:v>
                </c:pt>
                <c:pt idx="3">
                  <c:v>60-64</c:v>
                </c:pt>
                <c:pt idx="4">
                  <c:v>55-59</c:v>
                </c:pt>
                <c:pt idx="5">
                  <c:v>50-54</c:v>
                </c:pt>
                <c:pt idx="6">
                  <c:v>45-49</c:v>
                </c:pt>
                <c:pt idx="7">
                  <c:v>40-44</c:v>
                </c:pt>
                <c:pt idx="8">
                  <c:v>35-39</c:v>
                </c:pt>
                <c:pt idx="9">
                  <c:v>30-34</c:v>
                </c:pt>
                <c:pt idx="10">
                  <c:v>25-29</c:v>
                </c:pt>
                <c:pt idx="11">
                  <c:v>20-24</c:v>
                </c:pt>
                <c:pt idx="12">
                  <c:v>15-19</c:v>
                </c:pt>
                <c:pt idx="13">
                  <c:v>10.-14</c:v>
                </c:pt>
                <c:pt idx="14">
                  <c:v>5.-9</c:v>
                </c:pt>
                <c:pt idx="15">
                  <c:v>0-4</c:v>
                </c:pt>
              </c:strCache>
            </c:strRef>
          </c:cat>
          <c:val>
            <c:numRef>
              <c:f>'[Chart in Microsoft Word]Sheet1'!$B$48:$B$63</c:f>
              <c:numCache>
                <c:formatCode>General</c:formatCode>
                <c:ptCount val="16"/>
                <c:pt idx="0">
                  <c:v>9884</c:v>
                </c:pt>
                <c:pt idx="1">
                  <c:v>4773</c:v>
                </c:pt>
                <c:pt idx="2">
                  <c:v>5656</c:v>
                </c:pt>
                <c:pt idx="3">
                  <c:v>6748</c:v>
                </c:pt>
                <c:pt idx="4">
                  <c:v>5702</c:v>
                </c:pt>
                <c:pt idx="5">
                  <c:v>5292</c:v>
                </c:pt>
                <c:pt idx="6">
                  <c:v>5047</c:v>
                </c:pt>
                <c:pt idx="7">
                  <c:v>5162</c:v>
                </c:pt>
                <c:pt idx="8">
                  <c:v>5852</c:v>
                </c:pt>
                <c:pt idx="9">
                  <c:v>5739</c:v>
                </c:pt>
                <c:pt idx="10">
                  <c:v>4079</c:v>
                </c:pt>
                <c:pt idx="11">
                  <c:v>3082</c:v>
                </c:pt>
                <c:pt idx="12">
                  <c:v>3113</c:v>
                </c:pt>
                <c:pt idx="13">
                  <c:v>4200</c:v>
                </c:pt>
                <c:pt idx="14">
                  <c:v>4220</c:v>
                </c:pt>
                <c:pt idx="15">
                  <c:v>3878</c:v>
                </c:pt>
              </c:numCache>
            </c:numRef>
          </c:val>
          <c:extLst xmlns:c16r2="http://schemas.microsoft.com/office/drawing/2015/06/chart">
            <c:ext xmlns:c16="http://schemas.microsoft.com/office/drawing/2014/chart" uri="{C3380CC4-5D6E-409C-BE32-E72D297353CC}">
              <c16:uniqueId val="{00000000-85F6-4D79-8363-7C6E4EA01F61}"/>
            </c:ext>
          </c:extLst>
        </c:ser>
        <c:ser>
          <c:idx val="1"/>
          <c:order val="1"/>
          <c:tx>
            <c:strRef>
              <c:f>'[Chart in Microsoft Word]Sheet1'!$C$47</c:f>
              <c:strCache>
                <c:ptCount val="1"/>
                <c:pt idx="0">
                  <c:v>Moterys 2009</c:v>
                </c:pt>
              </c:strCache>
            </c:strRef>
          </c:tx>
          <c:spPr>
            <a:solidFill>
              <a:schemeClr val="accent2"/>
            </a:solidFill>
            <a:ln>
              <a:noFill/>
            </a:ln>
            <a:effectLst/>
          </c:spPr>
          <c:invertIfNegative val="0"/>
          <c:cat>
            <c:strRef>
              <c:f>'[Chart in Microsoft Word]Sheet1'!$A$48:$A$63</c:f>
              <c:strCache>
                <c:ptCount val="16"/>
                <c:pt idx="0">
                  <c:v>75+</c:v>
                </c:pt>
                <c:pt idx="1">
                  <c:v>70-74</c:v>
                </c:pt>
                <c:pt idx="2">
                  <c:v>65-69</c:v>
                </c:pt>
                <c:pt idx="3">
                  <c:v>60-64</c:v>
                </c:pt>
                <c:pt idx="4">
                  <c:v>55-59</c:v>
                </c:pt>
                <c:pt idx="5">
                  <c:v>50-54</c:v>
                </c:pt>
                <c:pt idx="6">
                  <c:v>45-49</c:v>
                </c:pt>
                <c:pt idx="7">
                  <c:v>40-44</c:v>
                </c:pt>
                <c:pt idx="8">
                  <c:v>35-39</c:v>
                </c:pt>
                <c:pt idx="9">
                  <c:v>30-34</c:v>
                </c:pt>
                <c:pt idx="10">
                  <c:v>25-29</c:v>
                </c:pt>
                <c:pt idx="11">
                  <c:v>20-24</c:v>
                </c:pt>
                <c:pt idx="12">
                  <c:v>15-19</c:v>
                </c:pt>
                <c:pt idx="13">
                  <c:v>10.-14</c:v>
                </c:pt>
                <c:pt idx="14">
                  <c:v>5.-9</c:v>
                </c:pt>
                <c:pt idx="15">
                  <c:v>0-4</c:v>
                </c:pt>
              </c:strCache>
            </c:strRef>
          </c:cat>
          <c:val>
            <c:numRef>
              <c:f>'[Chart in Microsoft Word]Sheet1'!$C$48:$C$63</c:f>
              <c:numCache>
                <c:formatCode>General</c:formatCode>
                <c:ptCount val="16"/>
                <c:pt idx="0">
                  <c:v>7519</c:v>
                </c:pt>
                <c:pt idx="1">
                  <c:v>5066</c:v>
                </c:pt>
                <c:pt idx="2">
                  <c:v>5120</c:v>
                </c:pt>
                <c:pt idx="3">
                  <c:v>4624</c:v>
                </c:pt>
                <c:pt idx="4">
                  <c:v>6024</c:v>
                </c:pt>
                <c:pt idx="5">
                  <c:v>6990</c:v>
                </c:pt>
                <c:pt idx="6">
                  <c:v>7649</c:v>
                </c:pt>
                <c:pt idx="7">
                  <c:v>6525</c:v>
                </c:pt>
                <c:pt idx="8">
                  <c:v>6455</c:v>
                </c:pt>
                <c:pt idx="9">
                  <c:v>6989</c:v>
                </c:pt>
                <c:pt idx="10">
                  <c:v>6570</c:v>
                </c:pt>
                <c:pt idx="11">
                  <c:v>6112</c:v>
                </c:pt>
                <c:pt idx="12">
                  <c:v>5513</c:v>
                </c:pt>
                <c:pt idx="13">
                  <c:v>3992</c:v>
                </c:pt>
                <c:pt idx="14">
                  <c:v>3545</c:v>
                </c:pt>
                <c:pt idx="15">
                  <c:v>3799</c:v>
                </c:pt>
              </c:numCache>
            </c:numRef>
          </c:val>
          <c:extLst xmlns:c16r2="http://schemas.microsoft.com/office/drawing/2015/06/chart">
            <c:ext xmlns:c16="http://schemas.microsoft.com/office/drawing/2014/chart" uri="{C3380CC4-5D6E-409C-BE32-E72D297353CC}">
              <c16:uniqueId val="{00000001-85F6-4D79-8363-7C6E4EA01F61}"/>
            </c:ext>
          </c:extLst>
        </c:ser>
        <c:dLbls>
          <c:showLegendKey val="0"/>
          <c:showVal val="0"/>
          <c:showCatName val="0"/>
          <c:showSerName val="0"/>
          <c:showPercent val="0"/>
          <c:showBubbleSize val="0"/>
        </c:dLbls>
        <c:gapWidth val="100"/>
        <c:overlap val="50"/>
        <c:axId val="292704248"/>
        <c:axId val="293088440"/>
      </c:barChart>
      <c:catAx>
        <c:axId val="292704248"/>
        <c:scaling>
          <c:orientation val="maxMin"/>
        </c:scaling>
        <c:delete val="0"/>
        <c:axPos val="r"/>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93088440"/>
        <c:crosses val="autoZero"/>
        <c:auto val="1"/>
        <c:lblAlgn val="ctr"/>
        <c:lblOffset val="100"/>
        <c:noMultiLvlLbl val="0"/>
      </c:catAx>
      <c:valAx>
        <c:axId val="293088440"/>
        <c:scaling>
          <c:orientation val="maxMin"/>
          <c:max val="10000"/>
        </c:scaling>
        <c:delete val="0"/>
        <c:axPos val="t"/>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927042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'[Chart in Microsoft Word]Sheet1'!$B$29</c:f>
              <c:strCache>
                <c:ptCount val="1"/>
                <c:pt idx="0">
                  <c:v>Vyrai</c:v>
                </c:pt>
              </c:strCache>
            </c:strRef>
          </c:tx>
          <c:spPr>
            <a:solidFill>
              <a:schemeClr val="accent1"/>
            </a:solidFill>
            <a:ln>
              <a:noFill/>
            </a:ln>
            <a:effectLst/>
          </c:spPr>
          <c:invertIfNegative val="0"/>
          <c:cat>
            <c:strRef>
              <c:f>'[Chart in Microsoft Word]Sheet1'!$A$30:$A$45</c:f>
              <c:strCache>
                <c:ptCount val="16"/>
                <c:pt idx="0">
                  <c:v>75+</c:v>
                </c:pt>
                <c:pt idx="1">
                  <c:v>70-74</c:v>
                </c:pt>
                <c:pt idx="2">
                  <c:v>65-69</c:v>
                </c:pt>
                <c:pt idx="3">
                  <c:v>60-64</c:v>
                </c:pt>
                <c:pt idx="4">
                  <c:v>55-59</c:v>
                </c:pt>
                <c:pt idx="5">
                  <c:v>50-54</c:v>
                </c:pt>
                <c:pt idx="6">
                  <c:v>45-49</c:v>
                </c:pt>
                <c:pt idx="7">
                  <c:v>40-44</c:v>
                </c:pt>
                <c:pt idx="8">
                  <c:v>35-39</c:v>
                </c:pt>
                <c:pt idx="9">
                  <c:v>30-34</c:v>
                </c:pt>
                <c:pt idx="10">
                  <c:v>25-29</c:v>
                </c:pt>
                <c:pt idx="11">
                  <c:v>20-24</c:v>
                </c:pt>
                <c:pt idx="12">
                  <c:v>15-19</c:v>
                </c:pt>
                <c:pt idx="13">
                  <c:v>10.-14</c:v>
                </c:pt>
                <c:pt idx="14">
                  <c:v>5.-9</c:v>
                </c:pt>
                <c:pt idx="15">
                  <c:v>0-4</c:v>
                </c:pt>
              </c:strCache>
            </c:strRef>
          </c:cat>
          <c:val>
            <c:numRef>
              <c:f>'[Chart in Microsoft Word]Sheet1'!$B$30:$B$45</c:f>
              <c:numCache>
                <c:formatCode>General</c:formatCode>
                <c:ptCount val="16"/>
                <c:pt idx="0">
                  <c:v>4304</c:v>
                </c:pt>
                <c:pt idx="1">
                  <c:v>2956</c:v>
                </c:pt>
                <c:pt idx="2">
                  <c:v>3775</c:v>
                </c:pt>
                <c:pt idx="3">
                  <c:v>5068</c:v>
                </c:pt>
                <c:pt idx="4">
                  <c:v>4883</c:v>
                </c:pt>
                <c:pt idx="5">
                  <c:v>4472</c:v>
                </c:pt>
                <c:pt idx="6">
                  <c:v>4711</c:v>
                </c:pt>
                <c:pt idx="7">
                  <c:v>5225</c:v>
                </c:pt>
                <c:pt idx="8">
                  <c:v>5803</c:v>
                </c:pt>
                <c:pt idx="9">
                  <c:v>5399</c:v>
                </c:pt>
                <c:pt idx="10">
                  <c:v>3884</c:v>
                </c:pt>
                <c:pt idx="11">
                  <c:v>3014</c:v>
                </c:pt>
                <c:pt idx="12">
                  <c:v>3290</c:v>
                </c:pt>
                <c:pt idx="13">
                  <c:v>4416</c:v>
                </c:pt>
                <c:pt idx="14">
                  <c:v>4526</c:v>
                </c:pt>
                <c:pt idx="15">
                  <c:v>4084</c:v>
                </c:pt>
              </c:numCache>
            </c:numRef>
          </c:val>
          <c:extLst xmlns:c16r2="http://schemas.microsoft.com/office/drawing/2015/06/chart">
            <c:ext xmlns:c16="http://schemas.microsoft.com/office/drawing/2014/chart" uri="{C3380CC4-5D6E-409C-BE32-E72D297353CC}">
              <c16:uniqueId val="{00000000-C9FD-4470-BEFD-8DD41F6AFAB6}"/>
            </c:ext>
          </c:extLst>
        </c:ser>
        <c:ser>
          <c:idx val="1"/>
          <c:order val="1"/>
          <c:tx>
            <c:strRef>
              <c:f>'[Chart in Microsoft Word]Sheet1'!$C$29</c:f>
              <c:strCache>
                <c:ptCount val="1"/>
                <c:pt idx="0">
                  <c:v>Vyrai 2009</c:v>
                </c:pt>
              </c:strCache>
            </c:strRef>
          </c:tx>
          <c:spPr>
            <a:solidFill>
              <a:schemeClr val="accent2"/>
            </a:solidFill>
            <a:ln>
              <a:noFill/>
            </a:ln>
            <a:effectLst/>
          </c:spPr>
          <c:invertIfNegative val="0"/>
          <c:cat>
            <c:strRef>
              <c:f>'[Chart in Microsoft Word]Sheet1'!$A$30:$A$45</c:f>
              <c:strCache>
                <c:ptCount val="16"/>
                <c:pt idx="0">
                  <c:v>75+</c:v>
                </c:pt>
                <c:pt idx="1">
                  <c:v>70-74</c:v>
                </c:pt>
                <c:pt idx="2">
                  <c:v>65-69</c:v>
                </c:pt>
                <c:pt idx="3">
                  <c:v>60-64</c:v>
                </c:pt>
                <c:pt idx="4">
                  <c:v>55-59</c:v>
                </c:pt>
                <c:pt idx="5">
                  <c:v>50-54</c:v>
                </c:pt>
                <c:pt idx="6">
                  <c:v>45-49</c:v>
                </c:pt>
                <c:pt idx="7">
                  <c:v>40-44</c:v>
                </c:pt>
                <c:pt idx="8">
                  <c:v>35-39</c:v>
                </c:pt>
                <c:pt idx="9">
                  <c:v>30-34</c:v>
                </c:pt>
                <c:pt idx="10">
                  <c:v>25-29</c:v>
                </c:pt>
                <c:pt idx="11">
                  <c:v>20-24</c:v>
                </c:pt>
                <c:pt idx="12">
                  <c:v>15-19</c:v>
                </c:pt>
                <c:pt idx="13">
                  <c:v>10.-14</c:v>
                </c:pt>
                <c:pt idx="14">
                  <c:v>5.-9</c:v>
                </c:pt>
                <c:pt idx="15">
                  <c:v>0-4</c:v>
                </c:pt>
              </c:strCache>
            </c:strRef>
          </c:cat>
          <c:val>
            <c:numRef>
              <c:f>'[Chart in Microsoft Word]Sheet1'!$C$30:$C$45</c:f>
              <c:numCache>
                <c:formatCode>General</c:formatCode>
                <c:ptCount val="16"/>
                <c:pt idx="0">
                  <c:v>3296</c:v>
                </c:pt>
                <c:pt idx="1">
                  <c:v>2974</c:v>
                </c:pt>
                <c:pt idx="2">
                  <c:v>3339</c:v>
                </c:pt>
                <c:pt idx="3">
                  <c:v>3162</c:v>
                </c:pt>
                <c:pt idx="4">
                  <c:v>4660</c:v>
                </c:pt>
                <c:pt idx="5">
                  <c:v>5589</c:v>
                </c:pt>
                <c:pt idx="6">
                  <c:v>6738</c:v>
                </c:pt>
                <c:pt idx="7">
                  <c:v>6195</c:v>
                </c:pt>
                <c:pt idx="8">
                  <c:v>6016</c:v>
                </c:pt>
                <c:pt idx="9">
                  <c:v>6236</c:v>
                </c:pt>
                <c:pt idx="10">
                  <c:v>6158</c:v>
                </c:pt>
                <c:pt idx="11">
                  <c:v>6045</c:v>
                </c:pt>
                <c:pt idx="12">
                  <c:v>5750</c:v>
                </c:pt>
                <c:pt idx="13">
                  <c:v>4156</c:v>
                </c:pt>
                <c:pt idx="14">
                  <c:v>3738</c:v>
                </c:pt>
                <c:pt idx="15">
                  <c:v>4155</c:v>
                </c:pt>
              </c:numCache>
            </c:numRef>
          </c:val>
          <c:extLst xmlns:c16r2="http://schemas.microsoft.com/office/drawing/2015/06/chart">
            <c:ext xmlns:c16="http://schemas.microsoft.com/office/drawing/2014/chart" uri="{C3380CC4-5D6E-409C-BE32-E72D297353CC}">
              <c16:uniqueId val="{00000001-C9FD-4470-BEFD-8DD41F6AFAB6}"/>
            </c:ext>
          </c:extLst>
        </c:ser>
        <c:dLbls>
          <c:showLegendKey val="0"/>
          <c:showVal val="0"/>
          <c:showCatName val="0"/>
          <c:showSerName val="0"/>
          <c:showPercent val="0"/>
          <c:showBubbleSize val="0"/>
        </c:dLbls>
        <c:gapWidth val="100"/>
        <c:overlap val="50"/>
        <c:axId val="333677064"/>
        <c:axId val="333677448"/>
      </c:barChart>
      <c:catAx>
        <c:axId val="333677064"/>
        <c:scaling>
          <c:orientation val="maxMin"/>
        </c:scaling>
        <c:delete val="1"/>
        <c:axPos val="l"/>
        <c:numFmt formatCode="General" sourceLinked="1"/>
        <c:majorTickMark val="none"/>
        <c:minorTickMark val="none"/>
        <c:tickLblPos val="nextTo"/>
        <c:crossAx val="333677448"/>
        <c:crosses val="autoZero"/>
        <c:auto val="1"/>
        <c:lblAlgn val="ctr"/>
        <c:lblOffset val="100"/>
        <c:noMultiLvlLbl val="0"/>
      </c:catAx>
      <c:valAx>
        <c:axId val="333677448"/>
        <c:scaling>
          <c:orientation val="minMax"/>
        </c:scaling>
        <c:delete val="0"/>
        <c:axPos val="t"/>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336770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cat>
            <c:numRef>
              <c:f>Sheet1!$A$2:$A$7</c:f>
              <c:numCache>
                <c:formatCode>General</c:formatCode>
                <c:ptCount val="6"/>
                <c:pt idx="0">
                  <c:v>2016</c:v>
                </c:pt>
                <c:pt idx="1">
                  <c:v>2017</c:v>
                </c:pt>
                <c:pt idx="2">
                  <c:v>2018</c:v>
                </c:pt>
                <c:pt idx="3">
                  <c:v>2019</c:v>
                </c:pt>
                <c:pt idx="4">
                  <c:v>2020</c:v>
                </c:pt>
                <c:pt idx="5">
                  <c:v>2021</c:v>
                </c:pt>
              </c:numCache>
            </c:numRef>
          </c:cat>
          <c:val>
            <c:numRef>
              <c:f>Sheet1!$B$2:$B$7</c:f>
              <c:numCache>
                <c:formatCode>General</c:formatCode>
                <c:ptCount val="6"/>
                <c:pt idx="0">
                  <c:v>32.700000000000003</c:v>
                </c:pt>
                <c:pt idx="1">
                  <c:v>40</c:v>
                </c:pt>
                <c:pt idx="2">
                  <c:v>35</c:v>
                </c:pt>
                <c:pt idx="3">
                  <c:v>33</c:v>
                </c:pt>
                <c:pt idx="4">
                  <c:v>16.8</c:v>
                </c:pt>
                <c:pt idx="5">
                  <c:v>28.3</c:v>
                </c:pt>
              </c:numCache>
            </c:numRef>
          </c:val>
          <c:smooth val="0"/>
          <c:extLst xmlns:c16r2="http://schemas.microsoft.com/office/drawing/2015/06/chart">
            <c:ext xmlns:c16="http://schemas.microsoft.com/office/drawing/2014/chart" uri="{C3380CC4-5D6E-409C-BE32-E72D297353CC}">
              <c16:uniqueId val="{00000000-67D7-4723-B1A7-094D6E9DD369}"/>
            </c:ext>
          </c:extLst>
        </c:ser>
        <c:ser>
          <c:idx val="1"/>
          <c:order val="1"/>
          <c:tx>
            <c:strRef>
              <c:f>Sheet1!$C$1</c:f>
              <c:strCache>
                <c:ptCount val="1"/>
                <c:pt idx="0">
                  <c:v>Lietuva</c:v>
                </c:pt>
              </c:strCache>
            </c:strRef>
          </c:tx>
          <c:spPr>
            <a:ln w="28575" cap="rnd">
              <a:solidFill>
                <a:srgbClr val="007CC3"/>
              </a:solidFill>
              <a:round/>
            </a:ln>
            <a:effectLst/>
          </c:spPr>
          <c:marker>
            <c:symbol val="circle"/>
            <c:size val="5"/>
            <c:spPr>
              <a:solidFill>
                <a:schemeClr val="accent2"/>
              </a:solidFill>
              <a:ln w="9525">
                <a:solidFill>
                  <a:schemeClr val="accent2"/>
                </a:solidFill>
              </a:ln>
              <a:effectLst/>
            </c:spPr>
          </c:marker>
          <c:cat>
            <c:numRef>
              <c:f>Sheet1!$A$2:$A$7</c:f>
              <c:numCache>
                <c:formatCode>General</c:formatCode>
                <c:ptCount val="6"/>
                <c:pt idx="0">
                  <c:v>2016</c:v>
                </c:pt>
                <c:pt idx="1">
                  <c:v>2017</c:v>
                </c:pt>
                <c:pt idx="2">
                  <c:v>2018</c:v>
                </c:pt>
                <c:pt idx="3">
                  <c:v>2019</c:v>
                </c:pt>
                <c:pt idx="4">
                  <c:v>2020</c:v>
                </c:pt>
                <c:pt idx="5">
                  <c:v>2021</c:v>
                </c:pt>
              </c:numCache>
            </c:numRef>
          </c:cat>
          <c:val>
            <c:numRef>
              <c:f>Sheet1!$C$2:$C$7</c:f>
              <c:numCache>
                <c:formatCode>General</c:formatCode>
                <c:ptCount val="6"/>
                <c:pt idx="0">
                  <c:v>40.1</c:v>
                </c:pt>
                <c:pt idx="1">
                  <c:v>39.5</c:v>
                </c:pt>
                <c:pt idx="2">
                  <c:v>32.9</c:v>
                </c:pt>
                <c:pt idx="3">
                  <c:v>31.3</c:v>
                </c:pt>
                <c:pt idx="4">
                  <c:v>21.1</c:v>
                </c:pt>
                <c:pt idx="5">
                  <c:v>19.600000000000001</c:v>
                </c:pt>
              </c:numCache>
            </c:numRef>
          </c:val>
          <c:smooth val="0"/>
          <c:extLst xmlns:c16r2="http://schemas.microsoft.com/office/drawing/2015/06/chart">
            <c:ext xmlns:c16="http://schemas.microsoft.com/office/drawing/2014/chart" uri="{C3380CC4-5D6E-409C-BE32-E72D297353CC}">
              <c16:uniqueId val="{00000001-67D7-4723-B1A7-094D6E9DD369}"/>
            </c:ext>
          </c:extLst>
        </c:ser>
        <c:dLbls>
          <c:showLegendKey val="0"/>
          <c:showVal val="0"/>
          <c:showCatName val="0"/>
          <c:showSerName val="0"/>
          <c:showPercent val="0"/>
          <c:showBubbleSize val="0"/>
        </c:dLbls>
        <c:marker val="1"/>
        <c:smooth val="0"/>
        <c:axId val="333587424"/>
        <c:axId val="333261168"/>
      </c:lineChart>
      <c:catAx>
        <c:axId val="333587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33261168"/>
        <c:crosses val="autoZero"/>
        <c:auto val="1"/>
        <c:lblAlgn val="ctr"/>
        <c:lblOffset val="100"/>
        <c:noMultiLvlLbl val="0"/>
      </c:catAx>
      <c:valAx>
        <c:axId val="33326116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335874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cat>
            <c:numRef>
              <c:f>Sheet1!$A$2:$A$6</c:f>
              <c:numCache>
                <c:formatCode>General</c:formatCode>
                <c:ptCount val="5"/>
                <c:pt idx="0">
                  <c:v>2017</c:v>
                </c:pt>
                <c:pt idx="1">
                  <c:v>2018</c:v>
                </c:pt>
                <c:pt idx="2">
                  <c:v>2019</c:v>
                </c:pt>
                <c:pt idx="3">
                  <c:v>2020</c:v>
                </c:pt>
                <c:pt idx="4">
                  <c:v>2021</c:v>
                </c:pt>
              </c:numCache>
            </c:numRef>
          </c:cat>
          <c:val>
            <c:numRef>
              <c:f>Sheet1!$B$2:$B$6</c:f>
              <c:numCache>
                <c:formatCode>General</c:formatCode>
                <c:ptCount val="5"/>
                <c:pt idx="0">
                  <c:v>45.3</c:v>
                </c:pt>
                <c:pt idx="1">
                  <c:v>40.4</c:v>
                </c:pt>
                <c:pt idx="2">
                  <c:v>37.700000000000003</c:v>
                </c:pt>
                <c:pt idx="3">
                  <c:v>18.8</c:v>
                </c:pt>
                <c:pt idx="4">
                  <c:v>31.6</c:v>
                </c:pt>
              </c:numCache>
            </c:numRef>
          </c:val>
          <c:smooth val="0"/>
          <c:extLst xmlns:c16r2="http://schemas.microsoft.com/office/drawing/2015/06/chart">
            <c:ext xmlns:c16="http://schemas.microsoft.com/office/drawing/2014/chart" uri="{C3380CC4-5D6E-409C-BE32-E72D297353CC}">
              <c16:uniqueId val="{00000000-866A-4E51-BA11-6B132FE20BBD}"/>
            </c:ext>
          </c:extLst>
        </c:ser>
        <c:ser>
          <c:idx val="1"/>
          <c:order val="1"/>
          <c:tx>
            <c:strRef>
              <c:f>Sheet1!$C$1</c:f>
              <c:strCache>
                <c:ptCount val="1"/>
                <c:pt idx="0">
                  <c:v>Lietuva</c:v>
                </c:pt>
              </c:strCache>
            </c:strRef>
          </c:tx>
          <c:spPr>
            <a:ln w="28575" cap="rnd">
              <a:solidFill>
                <a:srgbClr val="007CC3"/>
              </a:solidFill>
              <a:round/>
            </a:ln>
            <a:effectLst/>
          </c:spPr>
          <c:marker>
            <c:symbol val="circle"/>
            <c:size val="5"/>
            <c:spPr>
              <a:solidFill>
                <a:schemeClr val="accent2"/>
              </a:solidFill>
              <a:ln w="9525">
                <a:solidFill>
                  <a:schemeClr val="accent2"/>
                </a:solidFill>
              </a:ln>
              <a:effectLst/>
            </c:spPr>
          </c:marker>
          <c:cat>
            <c:numRef>
              <c:f>Sheet1!$A$2:$A$6</c:f>
              <c:numCache>
                <c:formatCode>General</c:formatCode>
                <c:ptCount val="5"/>
                <c:pt idx="0">
                  <c:v>2017</c:v>
                </c:pt>
                <c:pt idx="1">
                  <c:v>2018</c:v>
                </c:pt>
                <c:pt idx="2">
                  <c:v>2019</c:v>
                </c:pt>
                <c:pt idx="3">
                  <c:v>2020</c:v>
                </c:pt>
                <c:pt idx="4">
                  <c:v>2021</c:v>
                </c:pt>
              </c:numCache>
            </c:numRef>
          </c:cat>
          <c:val>
            <c:numRef>
              <c:f>Sheet1!$C$2:$C$6</c:f>
              <c:numCache>
                <c:formatCode>General</c:formatCode>
                <c:ptCount val="5"/>
                <c:pt idx="0">
                  <c:v>44.8</c:v>
                </c:pt>
                <c:pt idx="1">
                  <c:v>37.9</c:v>
                </c:pt>
                <c:pt idx="2">
                  <c:v>36</c:v>
                </c:pt>
                <c:pt idx="3">
                  <c:v>24.6</c:v>
                </c:pt>
                <c:pt idx="4">
                  <c:v>22.4</c:v>
                </c:pt>
              </c:numCache>
            </c:numRef>
          </c:val>
          <c:smooth val="0"/>
          <c:extLst xmlns:c16r2="http://schemas.microsoft.com/office/drawing/2015/06/chart">
            <c:ext xmlns:c16="http://schemas.microsoft.com/office/drawing/2014/chart" uri="{C3380CC4-5D6E-409C-BE32-E72D297353CC}">
              <c16:uniqueId val="{00000001-866A-4E51-BA11-6B132FE20BBD}"/>
            </c:ext>
          </c:extLst>
        </c:ser>
        <c:dLbls>
          <c:showLegendKey val="0"/>
          <c:showVal val="0"/>
          <c:showCatName val="0"/>
          <c:showSerName val="0"/>
          <c:showPercent val="0"/>
          <c:showBubbleSize val="0"/>
        </c:dLbls>
        <c:marker val="1"/>
        <c:smooth val="0"/>
        <c:axId val="278342440"/>
        <c:axId val="292859016"/>
      </c:lineChart>
      <c:catAx>
        <c:axId val="278342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92859016"/>
        <c:crosses val="autoZero"/>
        <c:auto val="1"/>
        <c:lblAlgn val="ctr"/>
        <c:lblOffset val="100"/>
        <c:noMultiLvlLbl val="0"/>
      </c:catAx>
      <c:valAx>
        <c:axId val="29285901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83424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cat>
            <c:numRef>
              <c:f>Sheet1!$A$2:$A$6</c:f>
              <c:numCache>
                <c:formatCode>General</c:formatCode>
                <c:ptCount val="5"/>
                <c:pt idx="0">
                  <c:v>2017</c:v>
                </c:pt>
                <c:pt idx="1">
                  <c:v>2018</c:v>
                </c:pt>
                <c:pt idx="2">
                  <c:v>2019</c:v>
                </c:pt>
                <c:pt idx="3">
                  <c:v>2020</c:v>
                </c:pt>
                <c:pt idx="4">
                  <c:v>2021</c:v>
                </c:pt>
              </c:numCache>
            </c:numRef>
          </c:cat>
          <c:val>
            <c:numRef>
              <c:f>Sheet1!$B$2:$B$6</c:f>
              <c:numCache>
                <c:formatCode>General</c:formatCode>
                <c:ptCount val="5"/>
                <c:pt idx="0">
                  <c:v>11.3</c:v>
                </c:pt>
                <c:pt idx="1">
                  <c:v>10.1</c:v>
                </c:pt>
                <c:pt idx="2">
                  <c:v>6.1</c:v>
                </c:pt>
                <c:pt idx="3">
                  <c:v>4</c:v>
                </c:pt>
                <c:pt idx="4">
                  <c:v>5.9</c:v>
                </c:pt>
              </c:numCache>
            </c:numRef>
          </c:val>
          <c:smooth val="0"/>
          <c:extLst xmlns:c16r2="http://schemas.microsoft.com/office/drawing/2015/06/chart">
            <c:ext xmlns:c16="http://schemas.microsoft.com/office/drawing/2014/chart" uri="{C3380CC4-5D6E-409C-BE32-E72D297353CC}">
              <c16:uniqueId val="{00000000-5121-46ED-AC95-9C7D961612D0}"/>
            </c:ext>
          </c:extLst>
        </c:ser>
        <c:ser>
          <c:idx val="1"/>
          <c:order val="1"/>
          <c:tx>
            <c:strRef>
              <c:f>Sheet1!$C$1</c:f>
              <c:strCache>
                <c:ptCount val="1"/>
                <c:pt idx="0">
                  <c:v>Lietuva</c:v>
                </c:pt>
              </c:strCache>
            </c:strRef>
          </c:tx>
          <c:spPr>
            <a:ln w="28575" cap="rnd">
              <a:solidFill>
                <a:srgbClr val="007CC3"/>
              </a:solidFill>
              <a:round/>
            </a:ln>
            <a:effectLst/>
          </c:spPr>
          <c:marker>
            <c:symbol val="circle"/>
            <c:size val="5"/>
            <c:spPr>
              <a:solidFill>
                <a:schemeClr val="accent2"/>
              </a:solidFill>
              <a:ln w="9525">
                <a:solidFill>
                  <a:schemeClr val="accent2"/>
                </a:solidFill>
              </a:ln>
              <a:effectLst/>
            </c:spPr>
          </c:marker>
          <c:cat>
            <c:numRef>
              <c:f>Sheet1!$A$2:$A$6</c:f>
              <c:numCache>
                <c:formatCode>General</c:formatCode>
                <c:ptCount val="5"/>
                <c:pt idx="0">
                  <c:v>2017</c:v>
                </c:pt>
                <c:pt idx="1">
                  <c:v>2018</c:v>
                </c:pt>
                <c:pt idx="2">
                  <c:v>2019</c:v>
                </c:pt>
                <c:pt idx="3">
                  <c:v>2020</c:v>
                </c:pt>
                <c:pt idx="4">
                  <c:v>2021</c:v>
                </c:pt>
              </c:numCache>
            </c:numRef>
          </c:cat>
          <c:val>
            <c:numRef>
              <c:f>Sheet1!$C$2:$C$6</c:f>
              <c:numCache>
                <c:formatCode>General</c:formatCode>
                <c:ptCount val="5"/>
                <c:pt idx="0">
                  <c:v>8.8000000000000007</c:v>
                </c:pt>
                <c:pt idx="1">
                  <c:v>6.1</c:v>
                </c:pt>
                <c:pt idx="2">
                  <c:v>5.7</c:v>
                </c:pt>
                <c:pt idx="3">
                  <c:v>3.7</c:v>
                </c:pt>
                <c:pt idx="4">
                  <c:v>3.5</c:v>
                </c:pt>
              </c:numCache>
            </c:numRef>
          </c:val>
          <c:smooth val="0"/>
          <c:extLst xmlns:c16r2="http://schemas.microsoft.com/office/drawing/2015/06/chart">
            <c:ext xmlns:c16="http://schemas.microsoft.com/office/drawing/2014/chart" uri="{C3380CC4-5D6E-409C-BE32-E72D297353CC}">
              <c16:uniqueId val="{00000001-5121-46ED-AC95-9C7D961612D0}"/>
            </c:ext>
          </c:extLst>
        </c:ser>
        <c:dLbls>
          <c:showLegendKey val="0"/>
          <c:showVal val="0"/>
          <c:showCatName val="0"/>
          <c:showSerName val="0"/>
          <c:showPercent val="0"/>
          <c:showBubbleSize val="0"/>
        </c:dLbls>
        <c:marker val="1"/>
        <c:smooth val="0"/>
        <c:axId val="292860584"/>
        <c:axId val="292858232"/>
      </c:lineChart>
      <c:catAx>
        <c:axId val="292860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92858232"/>
        <c:crosses val="autoZero"/>
        <c:auto val="1"/>
        <c:lblAlgn val="ctr"/>
        <c:lblOffset val="100"/>
        <c:noMultiLvlLbl val="0"/>
      </c:catAx>
      <c:valAx>
        <c:axId val="292858232"/>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928605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0.01154</cdr:x>
      <cdr:y>0.14489</cdr:y>
    </cdr:from>
    <cdr:to>
      <cdr:x>0.22759</cdr:x>
      <cdr:y>0.27413</cdr:y>
    </cdr:to>
    <cdr:sp macro="" textlink="">
      <cdr:nvSpPr>
        <cdr:cNvPr id="2" name="Text Box 6"/>
        <cdr:cNvSpPr txBox="1"/>
      </cdr:nvSpPr>
      <cdr:spPr>
        <a:xfrm xmlns:a="http://schemas.openxmlformats.org/drawingml/2006/main">
          <a:off x="38258" y="469886"/>
          <a:ext cx="716151" cy="419109"/>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15000"/>
            </a:lnSpc>
            <a:spcAft>
              <a:spcPts val="1000"/>
            </a:spcAft>
          </a:pPr>
          <a:r>
            <a:rPr lang="lt-LT" sz="1000">
              <a:effectLst/>
              <a:latin typeface="Times New Roman" panose="02020603050405020304" pitchFamily="18" charset="0"/>
              <a:ea typeface="Calibri" panose="020F0502020204030204" pitchFamily="34" charset="0"/>
              <a:cs typeface="Times New Roman" panose="02020603050405020304" pitchFamily="18" charset="0"/>
            </a:rPr>
            <a:t>Moterys</a:t>
          </a:r>
          <a:endParaRPr lang="lt-LT"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0.73326</cdr:x>
      <cdr:y>0.13413</cdr:y>
    </cdr:from>
    <cdr:to>
      <cdr:x>1</cdr:x>
      <cdr:y>0.26336</cdr:y>
    </cdr:to>
    <cdr:sp macro="" textlink="">
      <cdr:nvSpPr>
        <cdr:cNvPr id="2" name="Text Box 6"/>
        <cdr:cNvSpPr txBox="1"/>
      </cdr:nvSpPr>
      <cdr:spPr>
        <a:xfrm xmlns:a="http://schemas.openxmlformats.org/drawingml/2006/main">
          <a:off x="1815913" y="434961"/>
          <a:ext cx="660587" cy="419109"/>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15000"/>
            </a:lnSpc>
            <a:spcAft>
              <a:spcPts val="1000"/>
            </a:spcAft>
          </a:pPr>
          <a:r>
            <a:rPr lang="lt-LT" sz="1000">
              <a:effectLst/>
              <a:latin typeface="Times New Roman" panose="02020603050405020304" pitchFamily="18" charset="0"/>
              <a:ea typeface="Calibri" panose="020F0502020204030204" pitchFamily="34" charset="0"/>
              <a:cs typeface="Times New Roman" panose="02020603050405020304" pitchFamily="18" charset="0"/>
            </a:rPr>
            <a:t>Vyrai</a:t>
          </a:r>
          <a:endParaRPr lang="lt-LT"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_rels/themeOverride3.xml.rels><?xml version="1.0" encoding="UTF-8" standalone="yes"?>
<Relationships xmlns="http://schemas.openxmlformats.org/package/2006/relationships"><Relationship Id="rId1" Type="http://schemas.openxmlformats.org/officeDocument/2006/relationships/image" Target="../media/image3.jpeg"/></Relationships>
</file>

<file path=word/theme/_rels/themeOverride4.xml.rels><?xml version="1.0" encoding="UTF-8" standalone="yes"?>
<Relationships xmlns="http://schemas.openxmlformats.org/package/2006/relationships"><Relationship Id="rId1" Type="http://schemas.openxmlformats.org/officeDocument/2006/relationships/image" Target="../media/image3.jpeg"/></Relationships>
</file>

<file path=word/theme/_rels/themeOverride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Bangos forma">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Bangos forma">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gos forma">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Override>
</file>

<file path=word/theme/themeOverride4.xml><?xml version="1.0" encoding="utf-8"?>
<a:themeOverride xmlns:a="http://schemas.openxmlformats.org/drawingml/2006/main">
  <a:clrScheme name="Bangos forma">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Bangos forma">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gos forma">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Override>
</file>

<file path=word/theme/themeOverride5.xml><?xml version="1.0" encoding="utf-8"?>
<a:themeOverride xmlns:a="http://schemas.openxmlformats.org/drawingml/2006/main">
  <a:clrScheme name="Bangos forma">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Bangos forma">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gos forma">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13</Pages>
  <Words>18509</Words>
  <Characters>10551</Characters>
  <Application>Microsoft Office Word</Application>
  <DocSecurity>4</DocSecurity>
  <Lines>87</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2022-11-24T13:53:00Z</dcterms:created>
  <dcterms:modified xsi:type="dcterms:W3CDTF">2022-11-24T13:53:00Z</dcterms:modified>
</cp:coreProperties>
</file>