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6A02" w14:textId="31C9EC63" w:rsidR="006371F7" w:rsidRPr="006A3353" w:rsidRDefault="006371F7" w:rsidP="006371F7">
      <w:pPr>
        <w:ind w:firstLine="10206"/>
      </w:pPr>
      <w:r w:rsidRPr="006A3353">
        <w:t>Klaipėdos miesto savivaldybės 202</w:t>
      </w:r>
      <w:r w:rsidR="00581246" w:rsidRPr="006A3353">
        <w:t>3</w:t>
      </w:r>
      <w:r w:rsidRPr="006A3353">
        <w:t>–202</w:t>
      </w:r>
      <w:r w:rsidR="00A94170" w:rsidRPr="006A3353">
        <w:t>5</w:t>
      </w:r>
      <w:r w:rsidRPr="006A3353">
        <w:t xml:space="preserve"> metų </w:t>
      </w:r>
    </w:p>
    <w:p w14:paraId="5D88A6AA" w14:textId="62721611" w:rsidR="006371F7" w:rsidRPr="006A3353" w:rsidRDefault="006371F7" w:rsidP="006371F7">
      <w:pPr>
        <w:ind w:firstLine="10206"/>
      </w:pPr>
      <w:r w:rsidRPr="006A3353">
        <w:t>strateginio veiklos plano</w:t>
      </w:r>
    </w:p>
    <w:p w14:paraId="485F42F6" w14:textId="5E6EC2B7" w:rsidR="009B04F7" w:rsidRPr="006A3353" w:rsidRDefault="006371F7" w:rsidP="006371F7">
      <w:pPr>
        <w:ind w:firstLine="10206"/>
      </w:pPr>
      <w:r w:rsidRPr="006A3353">
        <w:t>3 priedas</w:t>
      </w:r>
    </w:p>
    <w:p w14:paraId="705A22E7" w14:textId="77777777" w:rsidR="006371F7" w:rsidRPr="006A3353" w:rsidRDefault="006371F7" w:rsidP="005A53D2">
      <w:pPr>
        <w:rPr>
          <w:b/>
          <w:bCs/>
        </w:rPr>
      </w:pPr>
    </w:p>
    <w:p w14:paraId="02A428FE" w14:textId="6C356176" w:rsidR="00B4748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K</w:t>
      </w:r>
      <w:r w:rsidR="00AB4316" w:rsidRPr="006A3353">
        <w:rPr>
          <w:b/>
          <w:bCs/>
        </w:rPr>
        <w:t>L</w:t>
      </w:r>
      <w:r w:rsidR="006B3785" w:rsidRPr="006A3353">
        <w:rPr>
          <w:b/>
          <w:bCs/>
        </w:rPr>
        <w:t>AIPĖDOS MIESTO SAVIVALDYBĖS 202</w:t>
      </w:r>
      <w:r w:rsidR="00FF6DD4" w:rsidRPr="006A3353">
        <w:rPr>
          <w:b/>
          <w:bCs/>
        </w:rPr>
        <w:t>3</w:t>
      </w:r>
      <w:r w:rsidRPr="006A3353">
        <w:rPr>
          <w:b/>
          <w:bCs/>
        </w:rPr>
        <w:t>–20</w:t>
      </w:r>
      <w:r w:rsidR="006B3785" w:rsidRPr="006A3353">
        <w:rPr>
          <w:b/>
          <w:bCs/>
        </w:rPr>
        <w:t>2</w:t>
      </w:r>
      <w:r w:rsidR="00FF6DD4" w:rsidRPr="006A3353">
        <w:rPr>
          <w:b/>
          <w:bCs/>
        </w:rPr>
        <w:t>5</w:t>
      </w:r>
      <w:r w:rsidRPr="006A3353">
        <w:rPr>
          <w:b/>
          <w:bCs/>
        </w:rPr>
        <w:t xml:space="preserve"> METŲ </w:t>
      </w:r>
    </w:p>
    <w:p w14:paraId="36376963" w14:textId="22DDCC15" w:rsidR="005322D6" w:rsidRPr="006A3353" w:rsidRDefault="005322D6" w:rsidP="005322D6">
      <w:pPr>
        <w:jc w:val="center"/>
        <w:rPr>
          <w:b/>
          <w:bCs/>
        </w:rPr>
      </w:pPr>
      <w:r w:rsidRPr="006A3353">
        <w:rPr>
          <w:b/>
          <w:bCs/>
        </w:rPr>
        <w:t>ADMINISTRACINĖS</w:t>
      </w:r>
      <w:r w:rsidR="00B47486" w:rsidRPr="006A3353">
        <w:rPr>
          <w:b/>
          <w:bCs/>
        </w:rPr>
        <w:t xml:space="preserve"> </w:t>
      </w:r>
      <w:r w:rsidRPr="006A3353">
        <w:rPr>
          <w:b/>
          <w:bCs/>
        </w:rPr>
        <w:t>NAŠTOS MAŽINIMO PRIEMONIŲ</w:t>
      </w:r>
      <w:r w:rsidRPr="006A3353">
        <w:rPr>
          <w:b/>
        </w:rPr>
        <w:t xml:space="preserve"> </w:t>
      </w:r>
      <w:r w:rsidR="00677CE5" w:rsidRPr="006A3353">
        <w:rPr>
          <w:b/>
        </w:rPr>
        <w:t xml:space="preserve">ĮGYVENDINIMO </w:t>
      </w:r>
      <w:r w:rsidRPr="006A3353">
        <w:rPr>
          <w:b/>
        </w:rPr>
        <w:t>PLANAS</w:t>
      </w:r>
    </w:p>
    <w:p w14:paraId="36376964" w14:textId="77777777" w:rsidR="00015D43" w:rsidRPr="006A3353" w:rsidRDefault="00015D43" w:rsidP="0006079E">
      <w:pPr>
        <w:jc w:val="center"/>
        <w:rPr>
          <w:b/>
        </w:rPr>
      </w:pP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559"/>
        <w:gridCol w:w="2977"/>
        <w:gridCol w:w="5103"/>
      </w:tblGrid>
      <w:tr w:rsidR="00091FD8" w:rsidRPr="006A3353" w14:paraId="36376967" w14:textId="1865ABB3" w:rsidTr="00E65FF1">
        <w:trPr>
          <w:trHeight w:val="541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6A3353" w:rsidRDefault="00091FD8" w:rsidP="00744DEC">
            <w:pPr>
              <w:snapToGrid w:val="0"/>
              <w:jc w:val="center"/>
              <w:rPr>
                <w:b/>
                <w:color w:val="000000"/>
              </w:rPr>
            </w:pPr>
            <w:r w:rsidRPr="006A3353">
              <w:rPr>
                <w:b/>
                <w:color w:val="000000"/>
              </w:rPr>
              <w:t xml:space="preserve">TIKSLAS – </w:t>
            </w:r>
            <w:r w:rsidR="00DC21E9" w:rsidRPr="006A3353">
              <w:rPr>
                <w:b/>
                <w:color w:val="000000"/>
              </w:rPr>
              <w:t xml:space="preserve">SUDARYTI SĄLYGAS </w:t>
            </w:r>
            <w:r w:rsidRPr="006A3353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6A3353" w14:paraId="3637696E" w14:textId="2471D785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68" w14:textId="77777777" w:rsidR="00091FD8" w:rsidRPr="006A3353" w:rsidRDefault="00091FD8" w:rsidP="00615488">
            <w:pPr>
              <w:jc w:val="center"/>
              <w:rPr>
                <w:b/>
              </w:rPr>
            </w:pPr>
            <w:r w:rsidRPr="006A3353">
              <w:rPr>
                <w:b/>
              </w:rPr>
              <w:t>Eil. Nr.</w:t>
            </w:r>
          </w:p>
        </w:tc>
        <w:tc>
          <w:tcPr>
            <w:tcW w:w="1985" w:type="dxa"/>
          </w:tcPr>
          <w:p w14:paraId="36376969" w14:textId="77777777" w:rsidR="00091FD8" w:rsidRPr="006A3353" w:rsidRDefault="00091FD8" w:rsidP="00234330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Priemonė</w:t>
            </w:r>
          </w:p>
        </w:tc>
        <w:tc>
          <w:tcPr>
            <w:tcW w:w="1275" w:type="dxa"/>
          </w:tcPr>
          <w:p w14:paraId="3637696A" w14:textId="77777777" w:rsidR="00091FD8" w:rsidRPr="006A3353" w:rsidRDefault="00091FD8">
            <w:pPr>
              <w:jc w:val="center"/>
              <w:rPr>
                <w:b/>
              </w:rPr>
            </w:pPr>
            <w:r w:rsidRPr="006A3353">
              <w:rPr>
                <w:b/>
                <w:bCs/>
              </w:rPr>
              <w:t>Įvykdymo terminas</w:t>
            </w:r>
          </w:p>
        </w:tc>
        <w:tc>
          <w:tcPr>
            <w:tcW w:w="1560" w:type="dxa"/>
          </w:tcPr>
          <w:p w14:paraId="3637696B" w14:textId="77777777" w:rsidR="00091FD8" w:rsidRPr="006A3353" w:rsidRDefault="00091FD8" w:rsidP="00A17796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Vertinimo kriterijus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37696C" w14:textId="77777777" w:rsidR="00091FD8" w:rsidRPr="006A3353" w:rsidRDefault="00091FD8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Siektina reikšmė</w:t>
            </w:r>
          </w:p>
        </w:tc>
        <w:tc>
          <w:tcPr>
            <w:tcW w:w="2977" w:type="dxa"/>
          </w:tcPr>
          <w:p w14:paraId="3637696D" w14:textId="77777777" w:rsidR="00091FD8" w:rsidRPr="006A3353" w:rsidRDefault="00091FD8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>Vykdytojas</w:t>
            </w:r>
          </w:p>
        </w:tc>
        <w:tc>
          <w:tcPr>
            <w:tcW w:w="5103" w:type="dxa"/>
          </w:tcPr>
          <w:p w14:paraId="3E65D4FF" w14:textId="56A02111" w:rsidR="00091FD8" w:rsidRPr="006A3353" w:rsidRDefault="002A61FF" w:rsidP="00234330">
            <w:pPr>
              <w:jc w:val="center"/>
              <w:rPr>
                <w:b/>
                <w:bCs/>
              </w:rPr>
            </w:pPr>
            <w:r w:rsidRPr="006A3353">
              <w:rPr>
                <w:b/>
                <w:bCs/>
              </w:rPr>
              <w:t xml:space="preserve">Komentarai </w:t>
            </w:r>
          </w:p>
        </w:tc>
      </w:tr>
      <w:tr w:rsidR="00C84A2B" w:rsidRPr="006A3353" w14:paraId="5493C590" w14:textId="5242B50F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bottom w:val="nil"/>
            </w:tcBorders>
          </w:tcPr>
          <w:p w14:paraId="056C7055" w14:textId="6DC7CDAB" w:rsidR="00091FD8" w:rsidRPr="006A3353" w:rsidRDefault="00091FD8" w:rsidP="00BB23E5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14:paraId="2C1E2C1F" w14:textId="418DEB7C" w:rsidR="00091FD8" w:rsidRPr="006A3353" w:rsidRDefault="00091FD8">
            <w:pPr>
              <w:rPr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C8F606E" w14:textId="6B7086B0" w:rsidR="00091FD8" w:rsidRPr="006A3353" w:rsidRDefault="00091FD8" w:rsidP="009C20F4"/>
        </w:tc>
        <w:tc>
          <w:tcPr>
            <w:tcW w:w="1560" w:type="dxa"/>
            <w:tcBorders>
              <w:bottom w:val="nil"/>
            </w:tcBorders>
          </w:tcPr>
          <w:p w14:paraId="43731428" w14:textId="398683D6" w:rsidR="00091FD8" w:rsidRPr="006A3353" w:rsidRDefault="00091FD8">
            <w:pPr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D92537" w14:textId="5EC17EA5" w:rsidR="00091FD8" w:rsidRPr="006A3353" w:rsidRDefault="00091FD8">
            <w:pPr>
              <w:rPr>
                <w:bCs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15756AED" w14:textId="346AB03A" w:rsidR="00091FD8" w:rsidRPr="006A3353" w:rsidRDefault="00091FD8"/>
        </w:tc>
        <w:tc>
          <w:tcPr>
            <w:tcW w:w="5103" w:type="dxa"/>
            <w:tcBorders>
              <w:bottom w:val="nil"/>
            </w:tcBorders>
          </w:tcPr>
          <w:p w14:paraId="6428D99D" w14:textId="460EDEDB" w:rsidR="00091FD8" w:rsidRPr="006A3353" w:rsidRDefault="00091FD8" w:rsidP="004B24DD"/>
        </w:tc>
      </w:tr>
      <w:tr w:rsidR="00C84A2B" w:rsidRPr="006A3353" w:rsidDel="00C21FAA" w14:paraId="35DBD9D3" w14:textId="0E313BB9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030" w14:textId="769F6138" w:rsidR="00091FD8" w:rsidRPr="006A3353" w:rsidRDefault="00FF6DD4" w:rsidP="009E3D1A">
            <w:r w:rsidRPr="006A3353">
              <w:t>1</w:t>
            </w:r>
            <w:r w:rsidR="00091FD8" w:rsidRPr="006A3353"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8CF" w14:textId="400FAFF7" w:rsidR="00091FD8" w:rsidRPr="006A3353" w:rsidRDefault="00091FD8" w:rsidP="009E3D1A">
            <w:r w:rsidRPr="006A3353">
              <w:t xml:space="preserve">Diegti naujas ir tobulinti veikiančias informacines sistemas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8BB" w14:textId="16FA27A3" w:rsidR="00091FD8" w:rsidRPr="006A3353" w:rsidRDefault="006B3785" w:rsidP="00C95C5C">
            <w:r w:rsidRPr="006A3353">
              <w:t>202</w:t>
            </w:r>
            <w:r w:rsidR="00FF6DD4" w:rsidRPr="006A3353">
              <w:t>3</w:t>
            </w:r>
            <w:r w:rsidR="006371F7" w:rsidRPr="006A3353">
              <w:t>–</w:t>
            </w:r>
            <w:r w:rsidRPr="006A3353">
              <w:t>202</w:t>
            </w:r>
            <w:r w:rsidR="00FF6DD4" w:rsidRPr="006A3353">
              <w:t>5</w:t>
            </w:r>
            <w:r w:rsidR="00B20F25" w:rsidRPr="006A3353">
              <w:t xml:space="preserve"> m.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C3B" w14:textId="2E466BDA" w:rsidR="00091FD8" w:rsidRPr="006A3353" w:rsidDel="00C21FAA" w:rsidRDefault="00091FD8" w:rsidP="009E3D1A">
            <w:r w:rsidRPr="006A3353">
              <w:t>Įdiegtų ar patobulintų informacinių sistemų skaičius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54C" w14:textId="0DCA2074" w:rsidR="00816452" w:rsidRPr="006A3353" w:rsidRDefault="001D719B" w:rsidP="009E3D1A">
            <w:r w:rsidRPr="006A3353">
              <w:t>2</w:t>
            </w:r>
            <w:r w:rsidR="00091FD8" w:rsidRPr="006A3353">
              <w:t xml:space="preserve"> vnt.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17C" w14:textId="7FCC36AD" w:rsidR="00091FD8" w:rsidRPr="006A3353" w:rsidRDefault="00091FD8" w:rsidP="009E3D1A">
            <w:r w:rsidRPr="006A3353">
              <w:t>Informacinių technologijų skyrius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E19" w14:textId="77777777" w:rsidR="0053214E" w:rsidRPr="006A3353" w:rsidRDefault="00CF6B52" w:rsidP="009E3D1A">
            <w:r w:rsidRPr="006A3353">
              <w:t xml:space="preserve">Tikslas </w:t>
            </w:r>
            <w:r w:rsidR="00F2390F" w:rsidRPr="006A3353">
              <w:t>–</w:t>
            </w:r>
            <w:r w:rsidRPr="006A3353">
              <w:t xml:space="preserve"> </w:t>
            </w:r>
            <w:r w:rsidR="00F2390F" w:rsidRPr="006A3353">
              <w:t xml:space="preserve">diegti naujas ir tobulinti </w:t>
            </w:r>
            <w:r w:rsidR="0076316D" w:rsidRPr="006A3353">
              <w:t xml:space="preserve">jau </w:t>
            </w:r>
            <w:r w:rsidR="00F2390F" w:rsidRPr="006A3353">
              <w:t>naudojamas informacine</w:t>
            </w:r>
            <w:r w:rsidR="0076316D" w:rsidRPr="006A3353">
              <w:t>s</w:t>
            </w:r>
            <w:r w:rsidR="00F2390F" w:rsidRPr="006A3353">
              <w:t xml:space="preserve"> sistemas. </w:t>
            </w:r>
          </w:p>
          <w:p w14:paraId="6B210CE7" w14:textId="77777777" w:rsidR="00C95C5C" w:rsidRPr="006A3353" w:rsidRDefault="00C23D02" w:rsidP="009E3D1A">
            <w:pPr>
              <w:tabs>
                <w:tab w:val="left" w:pos="594"/>
              </w:tabs>
            </w:pPr>
            <w:r w:rsidRPr="006A3353">
              <w:t>Įsigyti Dalinio finansavimo paraiškų informacin</w:t>
            </w:r>
            <w:r w:rsidR="00227328" w:rsidRPr="006A3353">
              <w:t>ę</w:t>
            </w:r>
            <w:r w:rsidRPr="006A3353">
              <w:t xml:space="preserve"> sistemą</w:t>
            </w:r>
            <w:r w:rsidR="00C95C5C" w:rsidRPr="006A3353">
              <w:t>.</w:t>
            </w:r>
          </w:p>
          <w:p w14:paraId="11CCD9F6" w14:textId="41942375" w:rsidR="00C12E9F" w:rsidRPr="006A3353" w:rsidRDefault="00A87181" w:rsidP="009E3D1A">
            <w:pPr>
              <w:tabs>
                <w:tab w:val="left" w:pos="594"/>
              </w:tabs>
            </w:pPr>
            <w:r w:rsidRPr="006A3353">
              <w:t>Įsigyti seniūnaičių balsavimo sistemą.</w:t>
            </w:r>
          </w:p>
        </w:tc>
      </w:tr>
      <w:tr w:rsidR="00581246" w:rsidRPr="006A3353" w:rsidDel="00C21FAA" w14:paraId="53BC958E" w14:textId="77777777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58C" w14:textId="433E19D8" w:rsidR="00581246" w:rsidRPr="006A3353" w:rsidRDefault="00581246" w:rsidP="00581246">
            <w:pPr>
              <w:rPr>
                <w:highlight w:val="cyan"/>
              </w:rPr>
            </w:pPr>
            <w:r w:rsidRPr="006A3353"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48CE4" w14:textId="55F5174A" w:rsidR="00581246" w:rsidRPr="006A3353" w:rsidRDefault="00581246" w:rsidP="00581246">
            <w:pPr>
              <w:rPr>
                <w:iCs/>
              </w:rPr>
            </w:pPr>
            <w:r w:rsidRPr="006A3353">
              <w:t>K</w:t>
            </w:r>
            <w:r w:rsidR="006F34F0" w:rsidRPr="006A3353">
              <w:t>laipėdos miesto savivaldybės administracijos</w:t>
            </w:r>
            <w:r w:rsidRPr="006A3353">
              <w:t xml:space="preserve"> veiklos procesų automatizacija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DE948" w14:textId="4BFF3DD4" w:rsidR="00581246" w:rsidRPr="006A3353" w:rsidRDefault="00581246" w:rsidP="00581246">
            <w:pPr>
              <w:rPr>
                <w:bCs/>
              </w:rPr>
            </w:pPr>
            <w:r w:rsidRPr="006A3353">
              <w:t>2023</w:t>
            </w:r>
            <w:r w:rsidR="00C95C5C" w:rsidRPr="006A3353">
              <w:t>–</w:t>
            </w:r>
            <w:r w:rsidRPr="006A3353">
              <w:t>2025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B62EC" w14:textId="38D16E37" w:rsidR="00581246" w:rsidRPr="006A3353" w:rsidRDefault="00581246" w:rsidP="00581246">
            <w:r w:rsidRPr="006A3353">
              <w:t>Visiškai arba iš dalies robotizuoti veiklos procesai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EC390" w14:textId="557E02E1" w:rsidR="00581246" w:rsidRPr="006A3353" w:rsidRDefault="00581246" w:rsidP="00581246">
            <w:r w:rsidRPr="006A3353">
              <w:t>Po 3 vnt. kas metai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13E43" w14:textId="5E4155D7" w:rsidR="00581246" w:rsidRPr="006A3353" w:rsidRDefault="00581246" w:rsidP="00581246">
            <w:pPr>
              <w:rPr>
                <w:bCs/>
              </w:rPr>
            </w:pPr>
            <w:r w:rsidRPr="006A3353">
              <w:t>Vyriausiasis  patarėjas Modestas Martišius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E46BE" w14:textId="7FCA5A0D" w:rsidR="00581246" w:rsidRPr="006A3353" w:rsidRDefault="006F34F0" w:rsidP="00581246">
            <w:pPr>
              <w:jc w:val="both"/>
              <w:rPr>
                <w:bCs/>
              </w:rPr>
            </w:pPr>
            <w:r w:rsidRPr="006A3353">
              <w:t>Klaipėdos miesto savivaldybės administracija</w:t>
            </w:r>
            <w:r w:rsidR="00581246" w:rsidRPr="006A3353">
              <w:t xml:space="preserve"> turi pasinaudoti šiuo metu pasaulyje vis dažniau naudojamu procesų robotizavimo</w:t>
            </w:r>
            <w:r w:rsidRPr="006A3353">
              <w:t xml:space="preserve"> ir </w:t>
            </w:r>
            <w:r w:rsidR="00581246" w:rsidRPr="006A3353">
              <w:t>automatizavimo galimybėmis. Reikia ieškoti</w:t>
            </w:r>
            <w:r w:rsidRPr="006A3353">
              <w:t>,</w:t>
            </w:r>
            <w:r w:rsidR="00581246" w:rsidRPr="006A3353">
              <w:t xml:space="preserve"> kuriuos pasikartojančius, rutininius ir darbuotojo kompetencijų nereikalaujančius darbus būtų galima automatizuoti, šiuos darbus pavedant atlikti sukurtiems robotams. Šiuos darbus atliktų robotas</w:t>
            </w:r>
            <w:r w:rsidRPr="006A3353">
              <w:t>,</w:t>
            </w:r>
            <w:r w:rsidR="00581246" w:rsidRPr="006A3353">
              <w:t xml:space="preserve"> ir darbuotojas savo darbo laiką galėtų skirti daugiau žmogiškų kompetencijų reikalaujančiai veiklai atlikti</w:t>
            </w:r>
            <w:r w:rsidRPr="006A3353">
              <w:t>,</w:t>
            </w:r>
            <w:r w:rsidR="00581246" w:rsidRPr="006A3353">
              <w:t xml:space="preserve"> užuot dirbęs mašininį darbą.</w:t>
            </w:r>
          </w:p>
        </w:tc>
      </w:tr>
      <w:tr w:rsidR="00581246" w:rsidRPr="006A3353" w:rsidDel="00C21FAA" w14:paraId="66A9E5DD" w14:textId="34300981" w:rsidTr="006F3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6951CD3E" w:rsidR="00581246" w:rsidRPr="006A3353" w:rsidRDefault="00581246" w:rsidP="00581246">
            <w:pPr>
              <w:jc w:val="center"/>
            </w:pPr>
            <w:r w:rsidRPr="006A3353"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2E64717D" w:rsidR="00581246" w:rsidRPr="006A3353" w:rsidRDefault="00581246" w:rsidP="00581246">
            <w:pPr>
              <w:rPr>
                <w:iCs/>
              </w:rPr>
            </w:pPr>
            <w:r w:rsidRPr="006A3353">
              <w:t xml:space="preserve">Didinti </w:t>
            </w:r>
            <w:r w:rsidRPr="006A3353">
              <w:rPr>
                <w:bCs/>
              </w:rPr>
              <w:t>dokumentų valdymo sistemos skaitmenizavo  lygį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D348" w14:textId="26E3BE13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2023–</w:t>
            </w:r>
          </w:p>
          <w:p w14:paraId="43000D10" w14:textId="093650F9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2025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445ED06B" w:rsidR="00581246" w:rsidRPr="006A3353" w:rsidRDefault="00581246" w:rsidP="00581246">
            <w:r w:rsidRPr="006A3353">
              <w:t xml:space="preserve">E. parašu pasirašytų dokumentų dalis nuo viso užregistruotų </w:t>
            </w:r>
            <w:r w:rsidRPr="006A3353">
              <w:lastRenderedPageBreak/>
              <w:t>siunčiamų dokumentų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B762" w14:textId="69648D30" w:rsidR="00581246" w:rsidRPr="006A3353" w:rsidRDefault="00A94170" w:rsidP="00581246">
            <w:pPr>
              <w:jc w:val="both"/>
            </w:pPr>
            <w:r w:rsidRPr="006A3353">
              <w:lastRenderedPageBreak/>
              <w:t>7</w:t>
            </w:r>
            <w:r w:rsidR="00581246" w:rsidRPr="006A3353">
              <w:t xml:space="preserve">0 proc.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AAA8D" w14:textId="77777777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Bendrasis skyrius</w:t>
            </w:r>
          </w:p>
          <w:p w14:paraId="4AA2E7F8" w14:textId="1E50980F" w:rsidR="00581246" w:rsidRPr="006A3353" w:rsidRDefault="00581246" w:rsidP="00581246">
            <w:pPr>
              <w:rPr>
                <w:bCs/>
              </w:rPr>
            </w:pPr>
            <w:r w:rsidRPr="006A3353">
              <w:t>Savivaldybės administracijos</w:t>
            </w:r>
            <w:r w:rsidRPr="006A3353">
              <w:rPr>
                <w:bCs/>
              </w:rPr>
              <w:t xml:space="preserve"> struktūriniai padaliniai, organizuojantys </w:t>
            </w:r>
            <w:r w:rsidRPr="006A3353">
              <w:rPr>
                <w:bCs/>
              </w:rPr>
              <w:lastRenderedPageBreak/>
              <w:t xml:space="preserve">dalinio finansavimo konkursus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977E6" w14:textId="07804CE9" w:rsidR="00581246" w:rsidRPr="006A3353" w:rsidRDefault="00581246" w:rsidP="0064202F">
            <w:pPr>
              <w:jc w:val="both"/>
              <w:rPr>
                <w:bCs/>
              </w:rPr>
            </w:pPr>
            <w:r w:rsidRPr="006A3353">
              <w:rPr>
                <w:bCs/>
              </w:rPr>
              <w:lastRenderedPageBreak/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581246" w:rsidRPr="006A3353" w:rsidDel="00C21FAA" w14:paraId="5D37685A" w14:textId="64A98AD1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D408" w14:textId="77777777" w:rsidR="00581246" w:rsidRPr="006A3353" w:rsidRDefault="00581246" w:rsidP="00581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00F0" w14:textId="77777777" w:rsidR="00581246" w:rsidRPr="006A3353" w:rsidRDefault="00581246" w:rsidP="00581246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2790AA" w14:textId="6EDB79F9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2023–</w:t>
            </w:r>
          </w:p>
          <w:p w14:paraId="7B7ABC58" w14:textId="4E83EFAD" w:rsidR="00581246" w:rsidRPr="006A3353" w:rsidRDefault="00581246" w:rsidP="00581246">
            <w:r w:rsidRPr="006A3353">
              <w:rPr>
                <w:bCs/>
              </w:rPr>
              <w:t>2025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EE9" w14:textId="19E42D9D" w:rsidR="00581246" w:rsidRPr="006A3353" w:rsidRDefault="00581246" w:rsidP="00581246">
            <w:r w:rsidRPr="006A3353">
              <w:t>El. būdu gautų dokumentų dalis nuo viso užregistruotų skaičiaus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3ACB3" w14:textId="1BD35509" w:rsidR="00581246" w:rsidRPr="006A3353" w:rsidRDefault="00A94170" w:rsidP="00581246">
            <w:r w:rsidRPr="006A3353">
              <w:t>8</w:t>
            </w:r>
            <w:r w:rsidR="00581246" w:rsidRPr="006A3353">
              <w:t xml:space="preserve">0 proc.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1084" w14:textId="0703E5FB" w:rsidR="00581246" w:rsidRPr="006A3353" w:rsidRDefault="00581246" w:rsidP="00581246">
            <w:pPr>
              <w:rPr>
                <w:bCs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F7314" w14:textId="5747FE67" w:rsidR="00581246" w:rsidRPr="006A3353" w:rsidRDefault="00581246" w:rsidP="00581246">
            <w:pPr>
              <w:ind w:right="-108"/>
              <w:rPr>
                <w:bCs/>
              </w:rPr>
            </w:pPr>
          </w:p>
        </w:tc>
      </w:tr>
      <w:tr w:rsidR="00581246" w:rsidRPr="006A3353" w:rsidDel="00C21FAA" w14:paraId="4ADD27DB" w14:textId="77777777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105" w14:textId="77777777" w:rsidR="00581246" w:rsidRPr="006A3353" w:rsidRDefault="00581246" w:rsidP="00581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35C" w14:textId="77777777" w:rsidR="00581246" w:rsidRPr="006A3353" w:rsidRDefault="00581246" w:rsidP="00581246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CE1" w14:textId="168593CE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2023–</w:t>
            </w:r>
          </w:p>
          <w:p w14:paraId="23DFB265" w14:textId="6AAFC75A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2025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BFF" w14:textId="77777777" w:rsidR="00581246" w:rsidRPr="006A3353" w:rsidRDefault="00581246" w:rsidP="00581246">
            <w:pPr>
              <w:rPr>
                <w:iCs/>
              </w:rPr>
            </w:pPr>
            <w:r w:rsidRPr="006A3353">
              <w:rPr>
                <w:iCs/>
              </w:rPr>
              <w:t>Įdiegtų naujų ar patobulintų funkcijų skaičius</w:t>
            </w:r>
          </w:p>
          <w:p w14:paraId="57CB9B97" w14:textId="4DA87D2D" w:rsidR="00581246" w:rsidRPr="006A3353" w:rsidRDefault="00581246" w:rsidP="00581246">
            <w:r w:rsidRPr="006A3353">
              <w:rPr>
                <w:iCs/>
              </w:rPr>
              <w:t xml:space="preserve">dokumentų valdymo sistemoje „Avilys“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3F6" w14:textId="3CA739A5" w:rsidR="00581246" w:rsidRPr="006A3353" w:rsidRDefault="00581246" w:rsidP="00581246">
            <w:r w:rsidRPr="006A3353">
              <w:t xml:space="preserve">Pagal poreikį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19F" w14:textId="77777777" w:rsidR="00581246" w:rsidRPr="006A3353" w:rsidRDefault="00581246" w:rsidP="00581246">
            <w:pPr>
              <w:rPr>
                <w:bCs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EA6" w14:textId="77777777" w:rsidR="00581246" w:rsidRPr="006A3353" w:rsidRDefault="00581246" w:rsidP="00581246">
            <w:pPr>
              <w:ind w:right="-108"/>
              <w:rPr>
                <w:bCs/>
              </w:rPr>
            </w:pPr>
          </w:p>
        </w:tc>
      </w:tr>
      <w:tr w:rsidR="00581246" w:rsidRPr="006A3353" w:rsidDel="00C21FAA" w14:paraId="6101734D" w14:textId="382EA979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003188AE" w:rsidR="00581246" w:rsidRPr="006A3353" w:rsidRDefault="00581246" w:rsidP="00581246">
            <w:pPr>
              <w:jc w:val="center"/>
            </w:pPr>
            <w:r w:rsidRPr="006A3353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17645A25" w:rsidR="00581246" w:rsidRPr="006A3353" w:rsidRDefault="00581246" w:rsidP="00581246">
            <w:pPr>
              <w:rPr>
                <w:iCs/>
              </w:rPr>
            </w:pPr>
            <w:r w:rsidRPr="006A3353">
              <w:rPr>
                <w:iCs/>
              </w:rPr>
              <w:t>Gerinti klientų aptarnavimo telefonu kokybę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2A" w14:textId="2E71CD5C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Nuolat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17A264C2" w:rsidR="00581246" w:rsidRPr="006A3353" w:rsidRDefault="00581246" w:rsidP="00581246">
            <w:r w:rsidRPr="006A3353">
              <w:t>Įdiegtų patobulinimų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05F19FF0" w:rsidR="00581246" w:rsidRPr="006A3353" w:rsidRDefault="00581246" w:rsidP="00581246">
            <w:r w:rsidRPr="006A3353">
              <w:t xml:space="preserve">Pagal poreikį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A08" w14:textId="77777777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Klientų aptarnavimo skyrius</w:t>
            </w:r>
          </w:p>
          <w:p w14:paraId="736E13FB" w14:textId="47D5D8A3" w:rsidR="00581246" w:rsidRPr="006A3353" w:rsidRDefault="00581246" w:rsidP="00581246">
            <w:pPr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D50" w14:textId="509FDD85" w:rsidR="00581246" w:rsidRPr="006A3353" w:rsidRDefault="00581246" w:rsidP="00581246">
            <w:pPr>
              <w:ind w:right="-108"/>
              <w:rPr>
                <w:bCs/>
              </w:rPr>
            </w:pPr>
            <w:r w:rsidRPr="006A3353">
              <w:rPr>
                <w:bCs/>
              </w:rPr>
              <w:t>Tikslas – greičiausiu ir efektyviausiu būdu teikiama informacija suinteresuotiems asmenims telefonu.</w:t>
            </w:r>
          </w:p>
        </w:tc>
      </w:tr>
      <w:tr w:rsidR="00581246" w:rsidRPr="006A3353" w:rsidDel="00C21FAA" w14:paraId="4E0DB186" w14:textId="7F000EF2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3C2" w14:textId="519F52A5" w:rsidR="00581246" w:rsidRPr="006A3353" w:rsidRDefault="00CD5D55" w:rsidP="00581246">
            <w:pPr>
              <w:jc w:val="center"/>
            </w:pPr>
            <w:r w:rsidRPr="006A3353">
              <w:t>5</w:t>
            </w:r>
            <w:r w:rsidR="00581246"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3B1" w14:textId="61B6A172" w:rsidR="00581246" w:rsidRPr="006A3353" w:rsidRDefault="00581246" w:rsidP="00581246">
            <w:pPr>
              <w:jc w:val="both"/>
              <w:rPr>
                <w:iCs/>
              </w:rPr>
            </w:pPr>
            <w:r w:rsidRPr="006A3353">
              <w:rPr>
                <w:iCs/>
              </w:rPr>
              <w:t xml:space="preserve">Įgyvendinti projektą „Paslaugų organizavimo ir asmenų aptarnavimo kokybės gerinimas, teikiant socialinę paramą Klaipėdos mieste II etapas“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B74" w14:textId="05A9AA4A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2023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5ED" w14:textId="2805E84A" w:rsidR="00581246" w:rsidRPr="006A3353" w:rsidRDefault="00581246" w:rsidP="00581246">
            <w:r w:rsidRPr="006A3353">
              <w:t>Įgyvendintas projektas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532" w14:textId="54990A0A" w:rsidR="00581246" w:rsidRPr="006A3353" w:rsidRDefault="00581246" w:rsidP="00581246">
            <w:r w:rsidRPr="006A3353">
              <w:t xml:space="preserve">100 proc.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FAB" w14:textId="4882BE8C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Socialinės paramos skyrius Vyriausiasis patarėjas D. Petrolevičius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9F8" w14:textId="2F9CC2CF" w:rsidR="00581246" w:rsidRPr="006A3353" w:rsidRDefault="0064202F" w:rsidP="0064202F">
            <w:pPr>
              <w:jc w:val="both"/>
              <w:rPr>
                <w:bCs/>
              </w:rPr>
            </w:pPr>
            <w:r w:rsidRPr="006A3353">
              <w:rPr>
                <w:bCs/>
              </w:rPr>
              <w:t>Tikslas – Socialinės paramos skyriuje ir 8 savivaldybės biudžetinėse įstaigose, teikiančiose socialines paslaugas, pagerinti asmenų aptarnavimo kokybę.</w:t>
            </w:r>
          </w:p>
        </w:tc>
      </w:tr>
      <w:tr w:rsidR="00581246" w:rsidRPr="006A3353" w:rsidDel="00C21FAA" w14:paraId="5B6C728C" w14:textId="447037AC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0E5" w14:textId="6FD72CBB" w:rsidR="00581246" w:rsidRPr="006A3353" w:rsidRDefault="00CD5D55" w:rsidP="00581246">
            <w:pPr>
              <w:jc w:val="center"/>
            </w:pPr>
            <w:r w:rsidRPr="006A3353">
              <w:lastRenderedPageBreak/>
              <w:t>6</w:t>
            </w:r>
            <w:r w:rsidR="00581246"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1A1" w14:textId="150CDD86" w:rsidR="00581246" w:rsidRPr="006A3353" w:rsidRDefault="00581246" w:rsidP="00581246">
            <w:r w:rsidRPr="006A3353">
              <w:t>Organizuoti verslo subjektų apklausas dėl savivaldybės teikiamų viešųjų paslaugų kokybės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E9C" w14:textId="2DD3EA0F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2023–</w:t>
            </w:r>
          </w:p>
          <w:p w14:paraId="55D08845" w14:textId="61A871A6" w:rsidR="00581246" w:rsidRPr="006A3353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2025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468" w14:textId="30F0870B" w:rsidR="00581246" w:rsidRPr="006A3353" w:rsidDel="00C21FAA" w:rsidRDefault="00581246" w:rsidP="00581246">
            <w:r w:rsidRPr="006A3353">
              <w:t>Atlikta apklausa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E7E" w14:textId="0D634287" w:rsidR="00581246" w:rsidRPr="006A3353" w:rsidRDefault="00581246" w:rsidP="00581246">
            <w:r w:rsidRPr="006A3353">
              <w:t>Ne mažiau nei 1 kartą per metus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0E8" w14:textId="7DC74008" w:rsidR="00581246" w:rsidRPr="006A3353" w:rsidDel="00C21FAA" w:rsidRDefault="00581246" w:rsidP="00581246">
            <w:pPr>
              <w:rPr>
                <w:bCs/>
              </w:rPr>
            </w:pPr>
            <w:r w:rsidRPr="006A3353">
              <w:rPr>
                <w:bCs/>
              </w:rPr>
              <w:t>Ekonominės plėtros grupė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4A8" w14:textId="70FB8508" w:rsidR="00581246" w:rsidRPr="006A3353" w:rsidRDefault="00581246" w:rsidP="0064202F">
            <w:pPr>
              <w:jc w:val="both"/>
              <w:rPr>
                <w:bCs/>
              </w:rPr>
            </w:pPr>
            <w:r w:rsidRPr="006A3353">
              <w:rPr>
                <w:bCs/>
              </w:rPr>
              <w:t xml:space="preserve">Tikslas – </w:t>
            </w:r>
            <w:r w:rsidRPr="006A3353">
              <w:rPr>
                <w:bCs/>
                <w:iCs/>
              </w:rPr>
              <w:t>nustatyti labiausiai abejotinus informacinius įpareigojimus</w:t>
            </w:r>
            <w:bookmarkStart w:id="0" w:name="_GoBack"/>
            <w:bookmarkEnd w:id="0"/>
            <w:r w:rsidRPr="006A3353">
              <w:rPr>
                <w:bCs/>
                <w:iCs/>
              </w:rPr>
              <w:t>, kurių uždedama administracinė našta nėra didelė, tačiau jų vykdymas sudaro nepagrįstų nepatogumų verslo subjektams.</w:t>
            </w:r>
          </w:p>
        </w:tc>
      </w:tr>
      <w:tr w:rsidR="00040C1A" w:rsidRPr="006A3353" w:rsidDel="00C21FAA" w14:paraId="5A676B09" w14:textId="77777777" w:rsidTr="009E3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9DE" w14:textId="21F23DE5" w:rsidR="00040C1A" w:rsidRPr="006A3353" w:rsidRDefault="00CD5D55" w:rsidP="00C95C5C">
            <w:pPr>
              <w:jc w:val="center"/>
            </w:pPr>
            <w:bookmarkStart w:id="1" w:name="_Hlk121735433"/>
            <w:r w:rsidRPr="006A3353">
              <w:t>7</w:t>
            </w:r>
            <w:r w:rsidR="00040C1A" w:rsidRPr="006A3353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91B" w14:textId="15FC0565" w:rsidR="00040C1A" w:rsidRPr="006A3353" w:rsidRDefault="00040C1A" w:rsidP="00581246">
            <w:r w:rsidRPr="006A3353">
              <w:t xml:space="preserve">Organizuoti mokymus </w:t>
            </w:r>
            <w:r w:rsidR="006F34F0" w:rsidRPr="006A3353">
              <w:t>s</w:t>
            </w:r>
            <w:r w:rsidRPr="006A3353">
              <w:t>avivaldybės darbuotojams administracinės naštos mažinimo 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A62" w14:textId="3DC92440" w:rsidR="00040C1A" w:rsidRPr="006A3353" w:rsidRDefault="00040C1A" w:rsidP="00581246">
            <w:pPr>
              <w:rPr>
                <w:bCs/>
              </w:rPr>
            </w:pPr>
            <w:r w:rsidRPr="006A3353">
              <w:rPr>
                <w:bCs/>
              </w:rPr>
              <w:t>2023</w:t>
            </w:r>
            <w:r w:rsidR="00C95C5C" w:rsidRPr="006A3353">
              <w:rPr>
                <w:bCs/>
              </w:rPr>
              <w:t>–</w:t>
            </w:r>
            <w:r w:rsidRPr="006A3353">
              <w:rPr>
                <w:bCs/>
              </w:rPr>
              <w:t>2025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8D2" w14:textId="21101CEC" w:rsidR="00040C1A" w:rsidRPr="006A3353" w:rsidRDefault="00040C1A" w:rsidP="00581246">
            <w:r w:rsidRPr="006A3353">
              <w:t>Organizuoti mokymai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441" w14:textId="474C1504" w:rsidR="00040C1A" w:rsidRPr="006A3353" w:rsidRDefault="00040C1A" w:rsidP="00581246">
            <w:r w:rsidRPr="006A3353">
              <w:t>Bent 50</w:t>
            </w:r>
            <w:r w:rsidR="00C95C5C" w:rsidRPr="006A3353">
              <w:t> </w:t>
            </w:r>
            <w:r w:rsidRPr="006A3353">
              <w:t>% darbuotojų, rengiančių teisės aktų projektus ir priimančių su jais susijusius sprendimus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DF8" w14:textId="77777777" w:rsidR="00040C1A" w:rsidRPr="006A3353" w:rsidRDefault="00120886" w:rsidP="00581246">
            <w:pPr>
              <w:rPr>
                <w:bCs/>
              </w:rPr>
            </w:pPr>
            <w:r w:rsidRPr="006A3353">
              <w:rPr>
                <w:bCs/>
              </w:rPr>
              <w:t xml:space="preserve">Vyriausioji specialistė </w:t>
            </w:r>
          </w:p>
          <w:p w14:paraId="18C53B6D" w14:textId="35FBDFDF" w:rsidR="00CD5D55" w:rsidRPr="006A3353" w:rsidRDefault="00CD5D55" w:rsidP="00581246">
            <w:pPr>
              <w:rPr>
                <w:bCs/>
              </w:rPr>
            </w:pPr>
            <w:r w:rsidRPr="006A3353">
              <w:rPr>
                <w:bCs/>
              </w:rPr>
              <w:t xml:space="preserve">Alma </w:t>
            </w:r>
            <w:proofErr w:type="spellStart"/>
            <w:r w:rsidRPr="006A3353">
              <w:rPr>
                <w:bCs/>
              </w:rPr>
              <w:t>Karčauskienė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5B5" w14:textId="6C7B78EF" w:rsidR="00040C1A" w:rsidRPr="006A3353" w:rsidRDefault="00120886" w:rsidP="00581246">
            <w:pPr>
              <w:rPr>
                <w:bCs/>
              </w:rPr>
            </w:pPr>
            <w:r w:rsidRPr="006A3353">
              <w:rPr>
                <w:bCs/>
              </w:rPr>
              <w:t>Tikslas</w:t>
            </w:r>
            <w:r w:rsidR="00C95C5C" w:rsidRPr="006A3353">
              <w:rPr>
                <w:bCs/>
              </w:rPr>
              <w:t xml:space="preserve"> –</w:t>
            </w:r>
            <w:r w:rsidR="00E20378" w:rsidRPr="006A3353">
              <w:rPr>
                <w:bCs/>
              </w:rPr>
              <w:t xml:space="preserve"> efektyvus </w:t>
            </w:r>
            <w:r w:rsidR="00F27965" w:rsidRPr="006A3353">
              <w:rPr>
                <w:bCs/>
              </w:rPr>
              <w:t>administracinės naštos mažinim</w:t>
            </w:r>
            <w:r w:rsidR="00927D9C" w:rsidRPr="006A3353">
              <w:rPr>
                <w:bCs/>
              </w:rPr>
              <w:t>as savivaldybėje</w:t>
            </w:r>
            <w:r w:rsidR="00E20378" w:rsidRPr="006A3353">
              <w:rPr>
                <w:bCs/>
              </w:rPr>
              <w:t>.</w:t>
            </w:r>
            <w:r w:rsidR="00BA5187" w:rsidRPr="006A3353">
              <w:rPr>
                <w:bCs/>
              </w:rPr>
              <w:t xml:space="preserve"> </w:t>
            </w:r>
          </w:p>
        </w:tc>
      </w:tr>
      <w:bookmarkEnd w:id="1"/>
    </w:tbl>
    <w:p w14:paraId="5FBCE051" w14:textId="4509D258" w:rsidR="00571F5E" w:rsidRPr="006A3353" w:rsidRDefault="00571F5E" w:rsidP="00C95C5C">
      <w:pPr>
        <w:rPr>
          <w:b/>
        </w:rPr>
      </w:pPr>
    </w:p>
    <w:p w14:paraId="24D746C6" w14:textId="75E402CB" w:rsidR="00C95C5C" w:rsidRPr="006A3353" w:rsidRDefault="00C95C5C" w:rsidP="00C95C5C">
      <w:pPr>
        <w:jc w:val="center"/>
        <w:rPr>
          <w:b/>
        </w:rPr>
      </w:pPr>
      <w:r w:rsidRPr="006A3353">
        <w:rPr>
          <w:b/>
        </w:rPr>
        <w:t>______________________________</w:t>
      </w:r>
    </w:p>
    <w:sectPr w:rsidR="00C95C5C" w:rsidRPr="006A3353" w:rsidSect="00571F5E">
      <w:headerReference w:type="defaul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A0A4" w14:textId="77777777" w:rsidR="00C44350" w:rsidRDefault="00C44350" w:rsidP="00015D43">
      <w:r>
        <w:separator/>
      </w:r>
    </w:p>
  </w:endnote>
  <w:endnote w:type="continuationSeparator" w:id="0">
    <w:p w14:paraId="2DC9EA0C" w14:textId="77777777" w:rsidR="00C44350" w:rsidRDefault="00C44350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68260" w14:textId="77777777" w:rsidR="00C44350" w:rsidRDefault="00C44350" w:rsidP="00015D43">
      <w:r>
        <w:separator/>
      </w:r>
    </w:p>
  </w:footnote>
  <w:footnote w:type="continuationSeparator" w:id="0">
    <w:p w14:paraId="5B3F87DD" w14:textId="77777777" w:rsidR="00C44350" w:rsidRDefault="00C44350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192779"/>
      <w:docPartObj>
        <w:docPartGallery w:val="Page Numbers (Top of Page)"/>
        <w:docPartUnique/>
      </w:docPartObj>
    </w:sdtPr>
    <w:sdtEndPr/>
    <w:sdtContent>
      <w:p w14:paraId="363769F2" w14:textId="7101F914" w:rsidR="00234330" w:rsidRDefault="002343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3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2343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0D83"/>
    <w:multiLevelType w:val="hybridMultilevel"/>
    <w:tmpl w:val="7DCEAA98"/>
    <w:lvl w:ilvl="0" w:tplc="9E2C929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998"/>
    <w:rsid w:val="00002F1E"/>
    <w:rsid w:val="00003816"/>
    <w:rsid w:val="0001390A"/>
    <w:rsid w:val="00015D43"/>
    <w:rsid w:val="00017A73"/>
    <w:rsid w:val="00034E59"/>
    <w:rsid w:val="00036114"/>
    <w:rsid w:val="00040C1A"/>
    <w:rsid w:val="00042BD2"/>
    <w:rsid w:val="00043CEF"/>
    <w:rsid w:val="00055542"/>
    <w:rsid w:val="0006079E"/>
    <w:rsid w:val="00064D04"/>
    <w:rsid w:val="0008152F"/>
    <w:rsid w:val="00086F19"/>
    <w:rsid w:val="000872DC"/>
    <w:rsid w:val="00091FD8"/>
    <w:rsid w:val="00094BB8"/>
    <w:rsid w:val="000A01BC"/>
    <w:rsid w:val="000A2803"/>
    <w:rsid w:val="000B6DA7"/>
    <w:rsid w:val="000C550A"/>
    <w:rsid w:val="000C6075"/>
    <w:rsid w:val="000D2347"/>
    <w:rsid w:val="000D493C"/>
    <w:rsid w:val="000D5C1F"/>
    <w:rsid w:val="000E7140"/>
    <w:rsid w:val="000F3373"/>
    <w:rsid w:val="00103866"/>
    <w:rsid w:val="0010480E"/>
    <w:rsid w:val="00116E53"/>
    <w:rsid w:val="00120886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61B56"/>
    <w:rsid w:val="0016259E"/>
    <w:rsid w:val="00176649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1C25"/>
    <w:rsid w:val="001C62D8"/>
    <w:rsid w:val="001D4AC7"/>
    <w:rsid w:val="001D719B"/>
    <w:rsid w:val="001F7AC4"/>
    <w:rsid w:val="001F7AFB"/>
    <w:rsid w:val="0020606C"/>
    <w:rsid w:val="00223212"/>
    <w:rsid w:val="00223654"/>
    <w:rsid w:val="00227328"/>
    <w:rsid w:val="0023246B"/>
    <w:rsid w:val="00233700"/>
    <w:rsid w:val="00234330"/>
    <w:rsid w:val="00237777"/>
    <w:rsid w:val="00241EFB"/>
    <w:rsid w:val="00242D86"/>
    <w:rsid w:val="0025198D"/>
    <w:rsid w:val="0026257B"/>
    <w:rsid w:val="00270CFF"/>
    <w:rsid w:val="00272875"/>
    <w:rsid w:val="00282521"/>
    <w:rsid w:val="00283562"/>
    <w:rsid w:val="0028797D"/>
    <w:rsid w:val="0029079D"/>
    <w:rsid w:val="002925F5"/>
    <w:rsid w:val="00292C81"/>
    <w:rsid w:val="0029356C"/>
    <w:rsid w:val="002A0A2F"/>
    <w:rsid w:val="002A61FF"/>
    <w:rsid w:val="002A7304"/>
    <w:rsid w:val="002B4EAA"/>
    <w:rsid w:val="002B51E5"/>
    <w:rsid w:val="002B57FB"/>
    <w:rsid w:val="002D57C3"/>
    <w:rsid w:val="002E4BF8"/>
    <w:rsid w:val="002F56B8"/>
    <w:rsid w:val="00301B7C"/>
    <w:rsid w:val="003020BB"/>
    <w:rsid w:val="00307173"/>
    <w:rsid w:val="0031713B"/>
    <w:rsid w:val="00320F12"/>
    <w:rsid w:val="00336A8A"/>
    <w:rsid w:val="00336B56"/>
    <w:rsid w:val="0034003A"/>
    <w:rsid w:val="0034048F"/>
    <w:rsid w:val="003426AC"/>
    <w:rsid w:val="00345A4B"/>
    <w:rsid w:val="00351C12"/>
    <w:rsid w:val="0036483E"/>
    <w:rsid w:val="00371D77"/>
    <w:rsid w:val="00375CD4"/>
    <w:rsid w:val="00382276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F84"/>
    <w:rsid w:val="003E2C41"/>
    <w:rsid w:val="003F3B34"/>
    <w:rsid w:val="00400C06"/>
    <w:rsid w:val="004019D8"/>
    <w:rsid w:val="00407DE2"/>
    <w:rsid w:val="00410DD2"/>
    <w:rsid w:val="00411B15"/>
    <w:rsid w:val="00413A4E"/>
    <w:rsid w:val="00415ACA"/>
    <w:rsid w:val="004164C6"/>
    <w:rsid w:val="00430BFF"/>
    <w:rsid w:val="00444956"/>
    <w:rsid w:val="004476DD"/>
    <w:rsid w:val="004505AD"/>
    <w:rsid w:val="004603F3"/>
    <w:rsid w:val="00482443"/>
    <w:rsid w:val="0048645E"/>
    <w:rsid w:val="00490589"/>
    <w:rsid w:val="00495138"/>
    <w:rsid w:val="004A29D7"/>
    <w:rsid w:val="004A3466"/>
    <w:rsid w:val="004A3C4C"/>
    <w:rsid w:val="004A5B15"/>
    <w:rsid w:val="004A7489"/>
    <w:rsid w:val="004B0ED5"/>
    <w:rsid w:val="004B14C2"/>
    <w:rsid w:val="004B24DD"/>
    <w:rsid w:val="004B72B2"/>
    <w:rsid w:val="004C043E"/>
    <w:rsid w:val="004C2D1F"/>
    <w:rsid w:val="004C3BFF"/>
    <w:rsid w:val="004D0763"/>
    <w:rsid w:val="004E4C49"/>
    <w:rsid w:val="004F3EA9"/>
    <w:rsid w:val="004F531B"/>
    <w:rsid w:val="004F66AB"/>
    <w:rsid w:val="005033AC"/>
    <w:rsid w:val="005076D5"/>
    <w:rsid w:val="00507E72"/>
    <w:rsid w:val="005113B8"/>
    <w:rsid w:val="0051238A"/>
    <w:rsid w:val="00515B21"/>
    <w:rsid w:val="00525CDB"/>
    <w:rsid w:val="00530728"/>
    <w:rsid w:val="0053214E"/>
    <w:rsid w:val="005322D6"/>
    <w:rsid w:val="005337C3"/>
    <w:rsid w:val="00535519"/>
    <w:rsid w:val="00540CF8"/>
    <w:rsid w:val="00542BCB"/>
    <w:rsid w:val="00551FC2"/>
    <w:rsid w:val="00552E41"/>
    <w:rsid w:val="0056071C"/>
    <w:rsid w:val="0057095A"/>
    <w:rsid w:val="00571F5E"/>
    <w:rsid w:val="005750E1"/>
    <w:rsid w:val="005750EE"/>
    <w:rsid w:val="0058030B"/>
    <w:rsid w:val="00581246"/>
    <w:rsid w:val="005827EC"/>
    <w:rsid w:val="00597EE8"/>
    <w:rsid w:val="005A06BB"/>
    <w:rsid w:val="005A0D3F"/>
    <w:rsid w:val="005A1073"/>
    <w:rsid w:val="005A53D2"/>
    <w:rsid w:val="005A5734"/>
    <w:rsid w:val="005B3112"/>
    <w:rsid w:val="005C4DE3"/>
    <w:rsid w:val="005C6686"/>
    <w:rsid w:val="005D2F83"/>
    <w:rsid w:val="005D4D5E"/>
    <w:rsid w:val="005E1B10"/>
    <w:rsid w:val="005E3F7E"/>
    <w:rsid w:val="005F495C"/>
    <w:rsid w:val="005F7CA8"/>
    <w:rsid w:val="006046C6"/>
    <w:rsid w:val="00605E0D"/>
    <w:rsid w:val="006124A8"/>
    <w:rsid w:val="00615488"/>
    <w:rsid w:val="006324E0"/>
    <w:rsid w:val="00636628"/>
    <w:rsid w:val="006371F7"/>
    <w:rsid w:val="0064202F"/>
    <w:rsid w:val="006507F9"/>
    <w:rsid w:val="00650ACC"/>
    <w:rsid w:val="006523DD"/>
    <w:rsid w:val="00660D73"/>
    <w:rsid w:val="00663632"/>
    <w:rsid w:val="0066471E"/>
    <w:rsid w:val="00671D56"/>
    <w:rsid w:val="00677CE5"/>
    <w:rsid w:val="00685E51"/>
    <w:rsid w:val="00687A3E"/>
    <w:rsid w:val="0069460D"/>
    <w:rsid w:val="00696099"/>
    <w:rsid w:val="006A14AD"/>
    <w:rsid w:val="006A3353"/>
    <w:rsid w:val="006B1A27"/>
    <w:rsid w:val="006B3785"/>
    <w:rsid w:val="006C2E4D"/>
    <w:rsid w:val="006C3475"/>
    <w:rsid w:val="006E0102"/>
    <w:rsid w:val="006E6EF3"/>
    <w:rsid w:val="006F34F0"/>
    <w:rsid w:val="006F44C1"/>
    <w:rsid w:val="00703FDC"/>
    <w:rsid w:val="00710E44"/>
    <w:rsid w:val="00711E24"/>
    <w:rsid w:val="0071533A"/>
    <w:rsid w:val="00715F84"/>
    <w:rsid w:val="00720999"/>
    <w:rsid w:val="00731842"/>
    <w:rsid w:val="00732A29"/>
    <w:rsid w:val="00734703"/>
    <w:rsid w:val="0073535B"/>
    <w:rsid w:val="0073535D"/>
    <w:rsid w:val="00741C46"/>
    <w:rsid w:val="007439F8"/>
    <w:rsid w:val="007446F5"/>
    <w:rsid w:val="00744DEC"/>
    <w:rsid w:val="00747FAB"/>
    <w:rsid w:val="0075193A"/>
    <w:rsid w:val="00754861"/>
    <w:rsid w:val="0076316D"/>
    <w:rsid w:val="007677A9"/>
    <w:rsid w:val="00773413"/>
    <w:rsid w:val="00777293"/>
    <w:rsid w:val="00777410"/>
    <w:rsid w:val="00780EF4"/>
    <w:rsid w:val="00790D7C"/>
    <w:rsid w:val="00790E3B"/>
    <w:rsid w:val="00792B74"/>
    <w:rsid w:val="00793208"/>
    <w:rsid w:val="00797673"/>
    <w:rsid w:val="00797ECF"/>
    <w:rsid w:val="007A76FC"/>
    <w:rsid w:val="007B4FDB"/>
    <w:rsid w:val="007C3A6B"/>
    <w:rsid w:val="007D0A71"/>
    <w:rsid w:val="007D15F5"/>
    <w:rsid w:val="007D7436"/>
    <w:rsid w:val="007E73F3"/>
    <w:rsid w:val="007E7D06"/>
    <w:rsid w:val="007F2B4A"/>
    <w:rsid w:val="007F669B"/>
    <w:rsid w:val="00802C09"/>
    <w:rsid w:val="00811664"/>
    <w:rsid w:val="00813185"/>
    <w:rsid w:val="00815D31"/>
    <w:rsid w:val="00816319"/>
    <w:rsid w:val="00816452"/>
    <w:rsid w:val="00830578"/>
    <w:rsid w:val="008354D5"/>
    <w:rsid w:val="00837B7D"/>
    <w:rsid w:val="00843032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C005D"/>
    <w:rsid w:val="008C28AD"/>
    <w:rsid w:val="008C2EC9"/>
    <w:rsid w:val="008C4F98"/>
    <w:rsid w:val="008C5E3B"/>
    <w:rsid w:val="008E6E82"/>
    <w:rsid w:val="008F0F0D"/>
    <w:rsid w:val="0090072A"/>
    <w:rsid w:val="00905A7F"/>
    <w:rsid w:val="00906237"/>
    <w:rsid w:val="00906BEC"/>
    <w:rsid w:val="00914BFE"/>
    <w:rsid w:val="009274F1"/>
    <w:rsid w:val="00927D9C"/>
    <w:rsid w:val="00930A8A"/>
    <w:rsid w:val="00932EC6"/>
    <w:rsid w:val="009330B8"/>
    <w:rsid w:val="00935D4D"/>
    <w:rsid w:val="009366D2"/>
    <w:rsid w:val="00942A19"/>
    <w:rsid w:val="00944927"/>
    <w:rsid w:val="00951EBF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E3D1A"/>
    <w:rsid w:val="009F1D06"/>
    <w:rsid w:val="009F4B26"/>
    <w:rsid w:val="009F4DAB"/>
    <w:rsid w:val="009F5174"/>
    <w:rsid w:val="009F7AA8"/>
    <w:rsid w:val="00A10D63"/>
    <w:rsid w:val="00A11DE5"/>
    <w:rsid w:val="00A14E75"/>
    <w:rsid w:val="00A17796"/>
    <w:rsid w:val="00A213B8"/>
    <w:rsid w:val="00A31919"/>
    <w:rsid w:val="00A32387"/>
    <w:rsid w:val="00A419B4"/>
    <w:rsid w:val="00A43A73"/>
    <w:rsid w:val="00A44752"/>
    <w:rsid w:val="00A4609D"/>
    <w:rsid w:val="00A51211"/>
    <w:rsid w:val="00A61711"/>
    <w:rsid w:val="00A6778D"/>
    <w:rsid w:val="00A70336"/>
    <w:rsid w:val="00A74DAB"/>
    <w:rsid w:val="00A775E1"/>
    <w:rsid w:val="00A87181"/>
    <w:rsid w:val="00A92A7B"/>
    <w:rsid w:val="00A94170"/>
    <w:rsid w:val="00AA1FB8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7D08"/>
    <w:rsid w:val="00B01FC4"/>
    <w:rsid w:val="00B152AE"/>
    <w:rsid w:val="00B16CEA"/>
    <w:rsid w:val="00B20F25"/>
    <w:rsid w:val="00B3522E"/>
    <w:rsid w:val="00B40D81"/>
    <w:rsid w:val="00B47486"/>
    <w:rsid w:val="00B516EF"/>
    <w:rsid w:val="00B52A0A"/>
    <w:rsid w:val="00B561C4"/>
    <w:rsid w:val="00B611E6"/>
    <w:rsid w:val="00B6585C"/>
    <w:rsid w:val="00B71553"/>
    <w:rsid w:val="00B73EDA"/>
    <w:rsid w:val="00B750B6"/>
    <w:rsid w:val="00B75DE3"/>
    <w:rsid w:val="00B77591"/>
    <w:rsid w:val="00B77875"/>
    <w:rsid w:val="00B833D3"/>
    <w:rsid w:val="00B839A5"/>
    <w:rsid w:val="00B96F4A"/>
    <w:rsid w:val="00BA0AD7"/>
    <w:rsid w:val="00BA10DC"/>
    <w:rsid w:val="00BA3591"/>
    <w:rsid w:val="00BA5187"/>
    <w:rsid w:val="00BB23E5"/>
    <w:rsid w:val="00BB34E7"/>
    <w:rsid w:val="00BB41BA"/>
    <w:rsid w:val="00BB7AAB"/>
    <w:rsid w:val="00BD47CE"/>
    <w:rsid w:val="00BD4F91"/>
    <w:rsid w:val="00BE2C49"/>
    <w:rsid w:val="00BF09BF"/>
    <w:rsid w:val="00BF0F02"/>
    <w:rsid w:val="00BF14BF"/>
    <w:rsid w:val="00BF2FB3"/>
    <w:rsid w:val="00BF6784"/>
    <w:rsid w:val="00BF71B7"/>
    <w:rsid w:val="00C05110"/>
    <w:rsid w:val="00C073B0"/>
    <w:rsid w:val="00C12E9F"/>
    <w:rsid w:val="00C13A96"/>
    <w:rsid w:val="00C13B5E"/>
    <w:rsid w:val="00C14959"/>
    <w:rsid w:val="00C14BF1"/>
    <w:rsid w:val="00C21FAA"/>
    <w:rsid w:val="00C23D02"/>
    <w:rsid w:val="00C267CC"/>
    <w:rsid w:val="00C301F3"/>
    <w:rsid w:val="00C41634"/>
    <w:rsid w:val="00C42A99"/>
    <w:rsid w:val="00C43965"/>
    <w:rsid w:val="00C44350"/>
    <w:rsid w:val="00C555EF"/>
    <w:rsid w:val="00C64035"/>
    <w:rsid w:val="00C677E0"/>
    <w:rsid w:val="00C678B8"/>
    <w:rsid w:val="00C77776"/>
    <w:rsid w:val="00C811EE"/>
    <w:rsid w:val="00C8131D"/>
    <w:rsid w:val="00C84A2B"/>
    <w:rsid w:val="00C85499"/>
    <w:rsid w:val="00C86E4A"/>
    <w:rsid w:val="00C87213"/>
    <w:rsid w:val="00C90E6F"/>
    <w:rsid w:val="00C94EFE"/>
    <w:rsid w:val="00C95C5C"/>
    <w:rsid w:val="00C97A2C"/>
    <w:rsid w:val="00CA10C5"/>
    <w:rsid w:val="00CA3C0F"/>
    <w:rsid w:val="00CA4D3B"/>
    <w:rsid w:val="00CA559A"/>
    <w:rsid w:val="00CA60B2"/>
    <w:rsid w:val="00CB7B0A"/>
    <w:rsid w:val="00CC48A5"/>
    <w:rsid w:val="00CC4C44"/>
    <w:rsid w:val="00CD09A0"/>
    <w:rsid w:val="00CD3612"/>
    <w:rsid w:val="00CD5D55"/>
    <w:rsid w:val="00CE2847"/>
    <w:rsid w:val="00CE7976"/>
    <w:rsid w:val="00CF2DE5"/>
    <w:rsid w:val="00CF6B52"/>
    <w:rsid w:val="00CF7F91"/>
    <w:rsid w:val="00D0306D"/>
    <w:rsid w:val="00D04918"/>
    <w:rsid w:val="00D04E46"/>
    <w:rsid w:val="00D10AE7"/>
    <w:rsid w:val="00D119D8"/>
    <w:rsid w:val="00D219F4"/>
    <w:rsid w:val="00D25D5A"/>
    <w:rsid w:val="00D34C5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B4FC0"/>
    <w:rsid w:val="00DB5385"/>
    <w:rsid w:val="00DB545C"/>
    <w:rsid w:val="00DB5675"/>
    <w:rsid w:val="00DC21E9"/>
    <w:rsid w:val="00DC392B"/>
    <w:rsid w:val="00DC5139"/>
    <w:rsid w:val="00DD193F"/>
    <w:rsid w:val="00DE548A"/>
    <w:rsid w:val="00DF1713"/>
    <w:rsid w:val="00DF2FD2"/>
    <w:rsid w:val="00DF379B"/>
    <w:rsid w:val="00DF40DE"/>
    <w:rsid w:val="00DF7338"/>
    <w:rsid w:val="00E0007B"/>
    <w:rsid w:val="00E0518C"/>
    <w:rsid w:val="00E07283"/>
    <w:rsid w:val="00E10228"/>
    <w:rsid w:val="00E1068F"/>
    <w:rsid w:val="00E20378"/>
    <w:rsid w:val="00E234BD"/>
    <w:rsid w:val="00E26279"/>
    <w:rsid w:val="00E304AF"/>
    <w:rsid w:val="00E312A0"/>
    <w:rsid w:val="00E332C1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A741D"/>
    <w:rsid w:val="00EB2B8C"/>
    <w:rsid w:val="00EC1595"/>
    <w:rsid w:val="00EC5A77"/>
    <w:rsid w:val="00EC5B46"/>
    <w:rsid w:val="00ED1B42"/>
    <w:rsid w:val="00ED1D98"/>
    <w:rsid w:val="00EE13D7"/>
    <w:rsid w:val="00EE5E1B"/>
    <w:rsid w:val="00EE73E0"/>
    <w:rsid w:val="00EF0005"/>
    <w:rsid w:val="00F02101"/>
    <w:rsid w:val="00F04199"/>
    <w:rsid w:val="00F10641"/>
    <w:rsid w:val="00F11FD0"/>
    <w:rsid w:val="00F21463"/>
    <w:rsid w:val="00F219E7"/>
    <w:rsid w:val="00F2390F"/>
    <w:rsid w:val="00F27965"/>
    <w:rsid w:val="00F307C4"/>
    <w:rsid w:val="00F3265E"/>
    <w:rsid w:val="00F350D9"/>
    <w:rsid w:val="00F40B43"/>
    <w:rsid w:val="00F52A50"/>
    <w:rsid w:val="00F5723B"/>
    <w:rsid w:val="00F61BBA"/>
    <w:rsid w:val="00F625C6"/>
    <w:rsid w:val="00F7403A"/>
    <w:rsid w:val="00F81248"/>
    <w:rsid w:val="00F82E97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485E"/>
    <w:rsid w:val="00FB6DEC"/>
    <w:rsid w:val="00FC6CFB"/>
    <w:rsid w:val="00FC7806"/>
    <w:rsid w:val="00FD7CBF"/>
    <w:rsid w:val="00FE1E5D"/>
    <w:rsid w:val="00FE4586"/>
    <w:rsid w:val="00FE6BF4"/>
    <w:rsid w:val="00FF2DFF"/>
    <w:rsid w:val="00FF35DB"/>
    <w:rsid w:val="00FF45DD"/>
    <w:rsid w:val="00FF4E91"/>
    <w:rsid w:val="00FF526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FF8A-C4F3-470C-B042-177DCB3E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3</cp:revision>
  <cp:lastPrinted>2017-03-02T08:25:00Z</cp:lastPrinted>
  <dcterms:created xsi:type="dcterms:W3CDTF">2023-01-03T15:00:00Z</dcterms:created>
  <dcterms:modified xsi:type="dcterms:W3CDTF">2023-01-25T12:44:00Z</dcterms:modified>
</cp:coreProperties>
</file>