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56F8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0E56F9F" wp14:editId="20E56FA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56F8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0E56F8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0E56F8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0E56F8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E56F8E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1694A">
        <w:rPr>
          <w:b/>
        </w:rPr>
        <w:t>SUTIKIMO STEIGTI LOŠIMŲ ORGANIZAVIMO VIETĄ</w:t>
      </w:r>
    </w:p>
    <w:p w14:paraId="20E56F8F" w14:textId="77777777" w:rsidR="00CA4D3B" w:rsidRDefault="00CA4D3B" w:rsidP="00CA4D3B">
      <w:pPr>
        <w:jc w:val="center"/>
      </w:pPr>
    </w:p>
    <w:bookmarkStart w:id="1" w:name="registravimoDataIlga"/>
    <w:p w14:paraId="20E56F9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T2-77</w:t>
      </w:r>
      <w:bookmarkEnd w:id="2"/>
    </w:p>
    <w:p w14:paraId="20E56F9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E56F92" w14:textId="77777777" w:rsidR="00CA4D3B" w:rsidRPr="008354D5" w:rsidRDefault="00CA4D3B" w:rsidP="00CA4D3B">
      <w:pPr>
        <w:jc w:val="center"/>
      </w:pPr>
    </w:p>
    <w:p w14:paraId="20E56F93" w14:textId="77777777" w:rsidR="00CA4D3B" w:rsidRDefault="00CA4D3B" w:rsidP="00CA4D3B">
      <w:pPr>
        <w:jc w:val="center"/>
      </w:pPr>
    </w:p>
    <w:p w14:paraId="20E56F94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41694A" w:rsidRPr="00E2082F">
        <w:t>Lietuvos Respublikos vietos savivaldos į</w:t>
      </w:r>
      <w:r w:rsidR="0041694A">
        <w:t>statymo 15 straipsnio 4 dalimi</w:t>
      </w:r>
      <w:r w:rsidR="0041694A" w:rsidRPr="00E2082F">
        <w:t>, Lietuvos Respublikos azartini</w:t>
      </w:r>
      <w:r w:rsidR="0041694A">
        <w:t>ų lošimų įstatymo 9 straipsniu</w:t>
      </w:r>
      <w:r w:rsidR="0041694A" w:rsidRPr="00E2082F">
        <w:t xml:space="preserve"> ir</w:t>
      </w:r>
      <w:r w:rsidR="0041694A">
        <w:t xml:space="preserve"> L</w:t>
      </w:r>
      <w:r w:rsidR="0041694A" w:rsidRPr="00D74062">
        <w:t>ošimų organizavimo vietos poveikio viešajai tvarkai, švietimui, kultūrai, visuomenės sveikatai, gyvenamajai aplinkai ir kriminogeninei situacijai konkrečių vertinimo kriterijų ir prašymų nagrinėjimo tvarkos aprašo</w:t>
      </w:r>
      <w:r w:rsidR="0041694A">
        <w:t xml:space="preserve">, patvirtinto </w:t>
      </w:r>
      <w:r w:rsidR="0041694A" w:rsidRPr="009E296A">
        <w:t>Klaipėdos miesto savivaldybės tarybos 20</w:t>
      </w:r>
      <w:r w:rsidR="0041694A">
        <w:t>22</w:t>
      </w:r>
      <w:r w:rsidR="0041694A" w:rsidRPr="009E296A">
        <w:t xml:space="preserve"> m. </w:t>
      </w:r>
      <w:r w:rsidR="0041694A">
        <w:t>rugsėjo</w:t>
      </w:r>
      <w:r w:rsidR="0041694A" w:rsidRPr="009E296A">
        <w:t xml:space="preserve"> </w:t>
      </w:r>
      <w:r w:rsidR="0041694A">
        <w:t>15</w:t>
      </w:r>
      <w:r w:rsidR="0041694A" w:rsidRPr="009E296A">
        <w:t xml:space="preserve"> d. sprendimu Nr. </w:t>
      </w:r>
      <w:r w:rsidR="0041694A">
        <w:t>T2</w:t>
      </w:r>
      <w:r w:rsidR="0041694A" w:rsidRPr="009E296A">
        <w:t>-</w:t>
      </w:r>
      <w:r w:rsidR="0041694A">
        <w:t>206 „D</w:t>
      </w:r>
      <w:r w:rsidR="0041694A" w:rsidRPr="00D74062">
        <w:t xml:space="preserve">ėl </w:t>
      </w:r>
      <w:r w:rsidR="0041694A">
        <w:t>L</w:t>
      </w:r>
      <w:r w:rsidR="0041694A" w:rsidRPr="00D74062">
        <w:t>ošimų organizavimo vietos poveikio viešajai tvarkai, švietimui, kultūrai, visuomenės sveikatai, gyvenamajai aplinkai ir kriminogeninei situacijai konkrečių vertinimo kriterijų ir prašymų nagrinėjimo tvarkos aprašo patvirtinimo</w:t>
      </w:r>
      <w:r w:rsidR="0041694A">
        <w:t>“, 4 ir 7 punktais ir atsižvelgdama į UAB „Tete-a-tete“ kazino prašymą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20E56F95" w14:textId="42A547ED" w:rsidR="00CA4D3B" w:rsidRDefault="00CA4D3B" w:rsidP="003577BE">
      <w:pPr>
        <w:ind w:firstLine="709"/>
        <w:jc w:val="both"/>
      </w:pPr>
      <w:r>
        <w:t>1.</w:t>
      </w:r>
      <w:r w:rsidR="008B0B8E">
        <w:t> </w:t>
      </w:r>
      <w:r w:rsidR="0041694A">
        <w:t>Sutikti, kad UAB „Tete-a-tete“ kazino (kodas 135961312, registruota adresu: Gedimino g. 26B, Kaune) steigtų lošimų organizavimo vietą (automatų salonas) adresu: Taikos pr. 101A, Klaipėda.</w:t>
      </w:r>
    </w:p>
    <w:p w14:paraId="20E56F96" w14:textId="7D1F0114" w:rsidR="0041694A" w:rsidRDefault="00CA4D3B" w:rsidP="0041694A">
      <w:pPr>
        <w:ind w:firstLine="709"/>
        <w:jc w:val="both"/>
      </w:pPr>
      <w:r>
        <w:t>2.</w:t>
      </w:r>
      <w:r w:rsidR="008B0B8E">
        <w:t> </w:t>
      </w:r>
      <w:r w:rsidR="0041694A">
        <w:t>Nustatyti, kad šis sprendimas įsigalioja 2023 m. liepos 25 d.</w:t>
      </w:r>
    </w:p>
    <w:p w14:paraId="20E56F97" w14:textId="77777777" w:rsidR="0041694A" w:rsidRPr="00CA2B16" w:rsidRDefault="0041694A" w:rsidP="0041694A">
      <w:pPr>
        <w:ind w:firstLine="709"/>
        <w:jc w:val="both"/>
      </w:pPr>
      <w:r w:rsidRPr="00CA2B16">
        <w:t>Šis sprendimas gali būti skundžiamas Lietuvos administracinių ginčų komisijos Klaipėdos apygardos skyriui (H</w:t>
      </w:r>
      <w:r>
        <w:t>.</w:t>
      </w:r>
      <w:r w:rsidRPr="00CA2B16">
        <w:t xml:space="preserve"> Manto g. 37, LT-92236 Klaipėda) arba Regionų apygardos administracinio teismo Klaipėdos rūmams (Galinio Pylimo g. 9, LT-91230 Klaipėda) Lietuvos Respublikos administracinių bylų teisenos įstatymo nustatyta tvarka</w:t>
      </w:r>
      <w:r w:rsidRPr="001C250B">
        <w:t xml:space="preserve"> </w:t>
      </w:r>
      <w:r w:rsidRPr="00CA2B16">
        <w:t>per vieną mėnesį nuo jo įteikimo ar pranešimo suinteresuotai šaliai dienos</w:t>
      </w:r>
      <w:r>
        <w:t>.</w:t>
      </w:r>
    </w:p>
    <w:p w14:paraId="20E56F99" w14:textId="77777777" w:rsidR="00CA4D3B" w:rsidRDefault="00CA4D3B" w:rsidP="00CA4D3B">
      <w:pPr>
        <w:jc w:val="both"/>
      </w:pPr>
    </w:p>
    <w:p w14:paraId="20E56F9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0E56F9D" w14:textId="77777777" w:rsidTr="00C56F56">
        <w:tc>
          <w:tcPr>
            <w:tcW w:w="6204" w:type="dxa"/>
          </w:tcPr>
          <w:p w14:paraId="20E56F9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0E56F9C" w14:textId="77777777" w:rsidR="004476DD" w:rsidRDefault="0041694A" w:rsidP="0041694A">
            <w:pPr>
              <w:jc w:val="right"/>
            </w:pPr>
            <w:r>
              <w:t>Arvydas Vaitkus</w:t>
            </w:r>
          </w:p>
        </w:tc>
      </w:tr>
    </w:tbl>
    <w:p w14:paraId="20E56F9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56FA3" w14:textId="77777777" w:rsidR="00F51622" w:rsidRDefault="00F51622" w:rsidP="00E014C1">
      <w:r>
        <w:separator/>
      </w:r>
    </w:p>
  </w:endnote>
  <w:endnote w:type="continuationSeparator" w:id="0">
    <w:p w14:paraId="20E56FA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56FA1" w14:textId="77777777" w:rsidR="00F51622" w:rsidRDefault="00F51622" w:rsidP="00E014C1">
      <w:r>
        <w:separator/>
      </w:r>
    </w:p>
  </w:footnote>
  <w:footnote w:type="continuationSeparator" w:id="0">
    <w:p w14:paraId="20E56FA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0E56FA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0E56FA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577BE"/>
    <w:rsid w:val="0041694A"/>
    <w:rsid w:val="004476DD"/>
    <w:rsid w:val="00597EE8"/>
    <w:rsid w:val="005F495C"/>
    <w:rsid w:val="008354D5"/>
    <w:rsid w:val="00894D6F"/>
    <w:rsid w:val="008B0B8E"/>
    <w:rsid w:val="00922CD4"/>
    <w:rsid w:val="00A12691"/>
    <w:rsid w:val="00AF7D08"/>
    <w:rsid w:val="00C56F56"/>
    <w:rsid w:val="00CA4D3B"/>
    <w:rsid w:val="00DA04C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6F89"/>
  <w15:docId w15:val="{2AE1B50F-ECF2-438D-ACA7-173B8D16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1059</Words>
  <Characters>604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2023-05-26T07:03:00Z</dcterms:created>
  <dcterms:modified xsi:type="dcterms:W3CDTF">2023-05-26T07:03:00Z</dcterms:modified>
</cp:coreProperties>
</file>