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Layout w:type="fixed"/>
        <w:tblLook w:val="04A0" w:firstRow="1" w:lastRow="0" w:firstColumn="1" w:lastColumn="0" w:noHBand="0" w:noVBand="1"/>
      </w:tblPr>
      <w:tblGrid>
        <w:gridCol w:w="5103"/>
      </w:tblGrid>
      <w:tr w:rsidR="00424775" w14:paraId="0D2CB539" w14:textId="77777777">
        <w:tc>
          <w:tcPr>
            <w:tcW w:w="5103" w:type="dxa"/>
            <w:tcBorders>
              <w:top w:val="nil"/>
              <w:left w:val="nil"/>
              <w:bottom w:val="nil"/>
              <w:right w:val="nil"/>
            </w:tcBorders>
          </w:tcPr>
          <w:p w14:paraId="0D2CB538" w14:textId="77777777" w:rsidR="00424775" w:rsidRDefault="003611F4">
            <w:pPr>
              <w:tabs>
                <w:tab w:val="left" w:pos="5070"/>
                <w:tab w:val="left" w:pos="5366"/>
                <w:tab w:val="left" w:pos="6771"/>
                <w:tab w:val="left" w:pos="7363"/>
              </w:tabs>
              <w:jc w:val="both"/>
            </w:pPr>
            <w:r>
              <w:t>PATVIRTINTA</w:t>
            </w:r>
          </w:p>
        </w:tc>
      </w:tr>
      <w:tr w:rsidR="00424775" w14:paraId="0D2CB53B" w14:textId="77777777">
        <w:tc>
          <w:tcPr>
            <w:tcW w:w="5103" w:type="dxa"/>
            <w:tcBorders>
              <w:top w:val="nil"/>
              <w:left w:val="nil"/>
              <w:bottom w:val="nil"/>
              <w:right w:val="nil"/>
            </w:tcBorders>
          </w:tcPr>
          <w:p w14:paraId="0D2CB53A" w14:textId="77777777" w:rsidR="00424775" w:rsidRDefault="003611F4">
            <w:r>
              <w:t>Klaipėdos miesto savivaldybės tarybos</w:t>
            </w:r>
          </w:p>
        </w:tc>
      </w:tr>
      <w:tr w:rsidR="00424775" w14:paraId="0D2CB53D" w14:textId="77777777">
        <w:trPr>
          <w:trHeight w:val="304"/>
        </w:trPr>
        <w:tc>
          <w:tcPr>
            <w:tcW w:w="5103" w:type="dxa"/>
            <w:tcBorders>
              <w:top w:val="nil"/>
              <w:left w:val="nil"/>
              <w:bottom w:val="nil"/>
              <w:right w:val="nil"/>
            </w:tcBorders>
          </w:tcPr>
          <w:p w14:paraId="0D2CB53C" w14:textId="1D1FE111" w:rsidR="00424775" w:rsidRDefault="00765F4D">
            <w:r>
              <w:t xml:space="preserve">2023 m. birželio 5 d. </w:t>
            </w:r>
            <w:bookmarkStart w:id="0" w:name="_GoBack"/>
            <w:bookmarkEnd w:id="0"/>
            <w:r w:rsidR="003611F4">
              <w:t xml:space="preserve">sprendimu Nr. </w:t>
            </w:r>
            <w:bookmarkStart w:id="1" w:name="registravimoNr"/>
            <w:r w:rsidR="003611F4">
              <w:t>T1-163</w:t>
            </w:r>
            <w:bookmarkEnd w:id="1"/>
          </w:p>
        </w:tc>
      </w:tr>
    </w:tbl>
    <w:p w14:paraId="0D2CB53E" w14:textId="77777777" w:rsidR="00424775" w:rsidRDefault="00424775">
      <w:pPr>
        <w:jc w:val="center"/>
      </w:pPr>
    </w:p>
    <w:p w14:paraId="0D2CB53F" w14:textId="77777777" w:rsidR="00424775" w:rsidRDefault="00424775">
      <w:pPr>
        <w:jc w:val="center"/>
      </w:pPr>
    </w:p>
    <w:p w14:paraId="0D2CB540" w14:textId="77777777" w:rsidR="00424775" w:rsidRDefault="003611F4">
      <w:pPr>
        <w:shd w:val="clear" w:color="auto" w:fill="FFFFFF"/>
        <w:jc w:val="center"/>
        <w:rPr>
          <w:lang w:eastAsia="ru-RU"/>
        </w:rPr>
      </w:pPr>
      <w:r>
        <w:rPr>
          <w:b/>
          <w:bCs/>
          <w:lang w:eastAsia="ru-RU"/>
        </w:rPr>
        <w:t>MATERIALINĖS PARAMOS TEIKIMO KOMISIJOS NUOSTATAI</w:t>
      </w:r>
    </w:p>
    <w:p w14:paraId="0D2CB541" w14:textId="77777777" w:rsidR="00424775" w:rsidRDefault="00424775">
      <w:pPr>
        <w:shd w:val="clear" w:color="auto" w:fill="FFFFFF"/>
        <w:rPr>
          <w:lang w:eastAsia="ru-RU"/>
        </w:rPr>
      </w:pPr>
    </w:p>
    <w:p w14:paraId="0D2CB542" w14:textId="77777777" w:rsidR="00424775" w:rsidRDefault="003611F4">
      <w:pPr>
        <w:keepNext/>
        <w:shd w:val="clear" w:color="auto" w:fill="FFFFFF"/>
        <w:jc w:val="center"/>
        <w:rPr>
          <w:b/>
          <w:bCs/>
          <w:caps/>
          <w:lang w:eastAsia="ru-RU"/>
        </w:rPr>
      </w:pPr>
      <w:r>
        <w:rPr>
          <w:b/>
          <w:bCs/>
          <w:caps/>
          <w:lang w:eastAsia="ru-RU"/>
        </w:rPr>
        <w:t>I SKYRIUS</w:t>
      </w:r>
    </w:p>
    <w:p w14:paraId="0D2CB543" w14:textId="77777777" w:rsidR="00424775" w:rsidRDefault="003611F4">
      <w:pPr>
        <w:keepNext/>
        <w:shd w:val="clear" w:color="auto" w:fill="FFFFFF"/>
        <w:jc w:val="center"/>
        <w:rPr>
          <w:lang w:eastAsia="ru-RU"/>
        </w:rPr>
      </w:pPr>
      <w:r>
        <w:rPr>
          <w:b/>
          <w:bCs/>
          <w:caps/>
          <w:lang w:eastAsia="ru-RU"/>
        </w:rPr>
        <w:t>BENDROSIOS NUOSTATOS</w:t>
      </w:r>
    </w:p>
    <w:p w14:paraId="0D2CB544" w14:textId="77777777" w:rsidR="00424775" w:rsidRDefault="00424775">
      <w:pPr>
        <w:shd w:val="clear" w:color="auto" w:fill="FFFFFF"/>
        <w:rPr>
          <w:lang w:eastAsia="ru-RU"/>
        </w:rPr>
      </w:pPr>
    </w:p>
    <w:p w14:paraId="0D2CB545" w14:textId="77777777" w:rsidR="00424775" w:rsidRDefault="003611F4">
      <w:pPr>
        <w:shd w:val="clear" w:color="auto" w:fill="FFFFFF"/>
        <w:spacing w:after="160" w:line="252" w:lineRule="auto"/>
        <w:ind w:firstLine="709"/>
        <w:contextualSpacing/>
        <w:jc w:val="both"/>
        <w:rPr>
          <w:lang w:eastAsia="ru-RU"/>
        </w:rPr>
      </w:pPr>
      <w:r>
        <w:rPr>
          <w:lang w:eastAsia="ru-RU"/>
        </w:rPr>
        <w:t xml:space="preserve">1. </w:t>
      </w:r>
      <w:r>
        <w:rPr>
          <w:bCs/>
          <w:lang w:eastAsia="ru-RU"/>
        </w:rPr>
        <w:t>Materialinės paramos teikimo komisijos nuostatai</w:t>
      </w:r>
      <w:r>
        <w:rPr>
          <w:lang w:eastAsia="ru-RU"/>
        </w:rPr>
        <w:t xml:space="preserve"> (toliau – Nuostatai) reglamentuoja Materialinės paramos teikimo komisijos (toliau – Komisija) darbo organizavimo tvarką, veiklą, teises ir pareigas.</w:t>
      </w:r>
    </w:p>
    <w:p w14:paraId="0D2CB546" w14:textId="77777777" w:rsidR="00424775" w:rsidRDefault="003611F4">
      <w:pPr>
        <w:shd w:val="clear" w:color="auto" w:fill="FFFFFF"/>
        <w:spacing w:after="160" w:line="252" w:lineRule="auto"/>
        <w:ind w:firstLine="709"/>
        <w:contextualSpacing/>
        <w:jc w:val="both"/>
        <w:rPr>
          <w:lang w:eastAsia="ru-RU"/>
        </w:rPr>
      </w:pPr>
      <w:r>
        <w:rPr>
          <w:lang w:eastAsia="ru-RU"/>
        </w:rPr>
        <w:t>2. Komisija savo veikloje vadovaujasi Lietuvos Respublikos piniginės socialinės paramos nepasiturintiems gyventojams įstatymu (toliau – Įstatymas), Klaipėdos miesto savivaldybės (toliau – Savivaldybė) tarybos patvirtintu Materialinės paramos įstatyme nenumatytais atvejais teikimo tvarkos aprašu (toliau – Tvarkos aprašas), kitais Lietuvos Respublikos teisės aktais ir Nuostatais.</w:t>
      </w:r>
    </w:p>
    <w:p w14:paraId="0D2CB547" w14:textId="77777777" w:rsidR="00424775" w:rsidRDefault="003611F4">
      <w:pPr>
        <w:tabs>
          <w:tab w:val="left" w:pos="720"/>
        </w:tabs>
        <w:ind w:firstLine="709"/>
        <w:jc w:val="both"/>
        <w:rPr>
          <w:lang w:eastAsia="ru-RU"/>
        </w:rPr>
      </w:pPr>
      <w:r>
        <w:rPr>
          <w:lang w:eastAsia="ru-RU"/>
        </w:rPr>
        <w:t>3. Komisija Tvarkos apraše nustatytais atvejais nagrinėja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surašytus buities ir gyvenimo sąlygų patikrinimo aktus.</w:t>
      </w:r>
    </w:p>
    <w:p w14:paraId="0D2CB548" w14:textId="77777777" w:rsidR="00424775" w:rsidRDefault="003611F4">
      <w:pPr>
        <w:tabs>
          <w:tab w:val="left" w:pos="720"/>
        </w:tabs>
        <w:ind w:firstLine="709"/>
        <w:jc w:val="both"/>
        <w:rPr>
          <w:lang w:eastAsia="ru-RU"/>
        </w:rPr>
      </w:pPr>
      <w:r>
        <w:rPr>
          <w:lang w:eastAsia="ru-RU"/>
        </w:rPr>
        <w:t>4. Nuostatuose vartojamos sąvokos atitinka Įstatyme ir Tvarkos apraše vartojamas sąvokas.</w:t>
      </w:r>
    </w:p>
    <w:p w14:paraId="0D2CB549" w14:textId="77777777" w:rsidR="00424775" w:rsidRDefault="00424775">
      <w:pPr>
        <w:tabs>
          <w:tab w:val="left" w:pos="720"/>
        </w:tabs>
        <w:ind w:firstLine="709"/>
        <w:jc w:val="both"/>
        <w:rPr>
          <w:lang w:eastAsia="ru-RU"/>
        </w:rPr>
      </w:pPr>
    </w:p>
    <w:p w14:paraId="0D2CB54A" w14:textId="77777777" w:rsidR="00424775" w:rsidRDefault="003611F4">
      <w:pPr>
        <w:keepNext/>
        <w:shd w:val="clear" w:color="auto" w:fill="FFFFFF"/>
        <w:jc w:val="center"/>
        <w:rPr>
          <w:b/>
          <w:bCs/>
          <w:caps/>
          <w:lang w:eastAsia="ru-RU"/>
        </w:rPr>
      </w:pPr>
      <w:r>
        <w:rPr>
          <w:b/>
          <w:bCs/>
          <w:lang w:eastAsia="ru-RU"/>
        </w:rPr>
        <w:t>II</w:t>
      </w:r>
      <w:r>
        <w:rPr>
          <w:b/>
          <w:bCs/>
          <w:caps/>
          <w:lang w:eastAsia="ru-RU"/>
        </w:rPr>
        <w:t xml:space="preserve"> SKYRIUS</w:t>
      </w:r>
    </w:p>
    <w:p w14:paraId="0D2CB54B" w14:textId="77777777" w:rsidR="00424775" w:rsidRDefault="003611F4">
      <w:pPr>
        <w:shd w:val="clear" w:color="auto" w:fill="FFFFFF"/>
        <w:jc w:val="center"/>
        <w:rPr>
          <w:b/>
          <w:bCs/>
          <w:lang w:eastAsia="ru-RU"/>
        </w:rPr>
      </w:pPr>
      <w:r>
        <w:rPr>
          <w:b/>
          <w:bCs/>
          <w:lang w:eastAsia="ru-RU"/>
        </w:rPr>
        <w:t>KOMISIJOS TEISĖS IR PAREIGOS</w:t>
      </w:r>
    </w:p>
    <w:p w14:paraId="0D2CB54C" w14:textId="77777777" w:rsidR="00424775" w:rsidRDefault="00424775">
      <w:pPr>
        <w:shd w:val="clear" w:color="auto" w:fill="FFFFFF"/>
        <w:jc w:val="center"/>
        <w:rPr>
          <w:b/>
          <w:lang w:eastAsia="ru-RU"/>
        </w:rPr>
      </w:pPr>
    </w:p>
    <w:p w14:paraId="0D2CB54D" w14:textId="77777777" w:rsidR="00424775" w:rsidRDefault="003611F4">
      <w:pPr>
        <w:shd w:val="clear" w:color="auto" w:fill="FFFFFF"/>
        <w:ind w:firstLine="709"/>
        <w:jc w:val="both"/>
        <w:rPr>
          <w:lang w:eastAsia="ru-RU"/>
        </w:rPr>
      </w:pPr>
      <w:r>
        <w:rPr>
          <w:lang w:eastAsia="ru-RU"/>
        </w:rPr>
        <w:t>5. Komisija turi teisę:</w:t>
      </w:r>
    </w:p>
    <w:p w14:paraId="0D2CB54E" w14:textId="77777777" w:rsidR="00424775" w:rsidRDefault="003611F4">
      <w:pPr>
        <w:shd w:val="clear" w:color="auto" w:fill="FFFFFF"/>
        <w:ind w:firstLine="709"/>
        <w:jc w:val="both"/>
        <w:rPr>
          <w:lang w:eastAsia="ru-RU"/>
        </w:rPr>
      </w:pPr>
      <w:r>
        <w:rPr>
          <w:lang w:eastAsia="ru-RU"/>
        </w:rPr>
        <w:t>5.1. siūlyti skirti (teikti) materialinę paramą Tvarkos apraše nustatytais atvejais, nurodydama šios paramos dydį, teikimo formą bei apmokėjimo tvarką, įvertinusi materialinės paramos būtinumą, pirmo būtinumo prekes ar paslaugas, užtikrinančias minimalius buities ir (ar) asmens  higienos ir (ar) ugdymo poreikius, ypatingas aplinkybes, kurioms esant materialinė parama skiriama pakartotinai, kitus motyvus;</w:t>
      </w:r>
    </w:p>
    <w:p w14:paraId="0D2CB54F" w14:textId="77777777" w:rsidR="00424775" w:rsidRDefault="003611F4">
      <w:pPr>
        <w:shd w:val="clear" w:color="auto" w:fill="FFFFFF"/>
        <w:ind w:firstLine="709"/>
        <w:jc w:val="both"/>
        <w:rPr>
          <w:lang w:eastAsia="ru-RU"/>
        </w:rPr>
      </w:pPr>
      <w:bookmarkStart w:id="2" w:name="_Hlk136252765"/>
      <w:r>
        <w:t>5.2. siūlyti neskirti (neteikti) materialinės paramos, nustačiusi, kad materialinė parama nėra būtina, prekės ar paslaugos nėra pirmo būtinumo, aplinkybės, kurioms esant materialinė parama gali būti skiriama pakartotinai, nėra ypatingos; kai pareiškėjas ir (ar) bendrai gyvenantys asmenys, kiti susiję (tame pačiame būste gyvenamąją vietą deklaruojantys ir (ar) faktiškai gyvenantys ar pan.) asmenys pasikeitus aplinkybėms nebeatitinka Tvarkos apraše nurodytų sąlygų; nevykdo Įstatyme nustatytų pareigų; neatsižvelgia į Komisijos siūlymus (prašymus), nurodytus Nuostatų 5.3 papunktyje; atliekant pareiškėjo gyvenimo sąlygų, turimo turto ir užimtumo patikrinimą ir (ar) iš kitų institucijų, asmenų gaunama informacija apie pareiškėjo ir (ar) bendrai gyvenančių asmenų, kitų susijusių (tame pačiame būste gyvenamąją vietą deklaruojančių ir (ar) faktiškai gyvenančių ar pan.) asmenų pateiktus neteisingus duomenis; kai materialinė parama dėl atsiradusių aplinkybių praranda savo paskirtį, kitais motyvais</w:t>
      </w:r>
      <w:bookmarkEnd w:id="2"/>
      <w:r>
        <w:t xml:space="preserve">; </w:t>
      </w:r>
    </w:p>
    <w:p w14:paraId="0D2CB550" w14:textId="77777777" w:rsidR="00424775" w:rsidRDefault="003611F4">
      <w:pPr>
        <w:shd w:val="clear" w:color="auto" w:fill="FFFFFF"/>
        <w:ind w:firstLine="709"/>
        <w:jc w:val="both"/>
        <w:rPr>
          <w:bCs/>
          <w:strike/>
        </w:rPr>
      </w:pPr>
      <w:r>
        <w:t>5.3. siūlyti (prašyti) pareiškėjams ir (ar) bendrai gyvenantiems asmenims, kitiems susijusiems (tame pačiame būste gyvenamąją vietą deklaruojantiems ir (ar) faktiškai gyvenantiems ar pan.) asmenims įsidarbinti, dalyvauti Savivaldybės administracijos organizuojamoje visuomenei naudingoje veikloje ar Užimtumo didinimo programoje, kreiptis dėl socialinių paslaugų, išnaudoti visas teisėtas kitų pajamų gavimo galimybes,</w:t>
      </w:r>
      <w:r>
        <w:rPr>
          <w:bCs/>
        </w:rPr>
        <w:t xml:space="preserve"> pateikti</w:t>
      </w:r>
      <w:r>
        <w:t xml:space="preserve"> papildomą informaciją apie mokamus (mokėtus) einamuosius mokesčius ir kt.; </w:t>
      </w:r>
    </w:p>
    <w:p w14:paraId="0D2CB551" w14:textId="77777777" w:rsidR="00424775" w:rsidRDefault="003611F4">
      <w:pPr>
        <w:tabs>
          <w:tab w:val="left" w:pos="0"/>
        </w:tabs>
        <w:ind w:firstLine="709"/>
        <w:jc w:val="both"/>
      </w:pPr>
      <w:r>
        <w:rPr>
          <w:bCs/>
        </w:rPr>
        <w:t xml:space="preserve">5.4. prašyti institucijų, įstaigų, organizacijų, įmonių ir kitų juridinių asmenų pateikti papildomus duomenis (informaciją) apie </w:t>
      </w:r>
      <w:r>
        <w:t xml:space="preserve">pareiškėją ir (ar) bendrai gyvenančius asmenis, kitus </w:t>
      </w:r>
      <w:r>
        <w:lastRenderedPageBreak/>
        <w:t xml:space="preserve">susijusius (tame pačiame būste gyvenamąją vietą deklaruojančius ir (ar) faktiškai gyvenančius ar pan.) asmenis, galinčius turėti įtakos Komisijos siūlymui dėl materialinės paramos; </w:t>
      </w:r>
    </w:p>
    <w:p w14:paraId="0D2CB552" w14:textId="77777777" w:rsidR="00424775" w:rsidRDefault="003611F4">
      <w:pPr>
        <w:tabs>
          <w:tab w:val="left" w:pos="0"/>
        </w:tabs>
        <w:ind w:firstLine="709"/>
        <w:jc w:val="both"/>
      </w:pPr>
      <w:r>
        <w:t>5.5. atidėti pareiškėjų prašymų materialinei paramai gauti nagrinėjimą iki nustatyto termino, Nuostatų 5.3 ir 5.4 papunkčiuose nurodytais atvejais, kitais motyvais.</w:t>
      </w:r>
    </w:p>
    <w:p w14:paraId="0D2CB553" w14:textId="77777777" w:rsidR="00424775" w:rsidRDefault="003611F4">
      <w:pPr>
        <w:ind w:firstLine="748"/>
        <w:jc w:val="both"/>
        <w:rPr>
          <w:lang w:eastAsia="lt-LT"/>
        </w:rPr>
      </w:pPr>
      <w:r>
        <w:rPr>
          <w:lang w:eastAsia="lt-LT"/>
        </w:rPr>
        <w:t>6. Komisijos narys privalo:</w:t>
      </w:r>
    </w:p>
    <w:p w14:paraId="0D2CB554" w14:textId="77777777" w:rsidR="00424775" w:rsidRDefault="003611F4">
      <w:pPr>
        <w:ind w:firstLine="748"/>
        <w:jc w:val="both"/>
        <w:rPr>
          <w:lang w:eastAsia="lt-LT"/>
        </w:rPr>
      </w:pPr>
      <w:r>
        <w:rPr>
          <w:lang w:eastAsia="lt-LT"/>
        </w:rPr>
        <w:t>6.1.</w:t>
      </w:r>
      <w:r>
        <w:t xml:space="preserve"> </w:t>
      </w:r>
      <w:r>
        <w:rPr>
          <w:lang w:eastAsia="lt-LT"/>
        </w:rPr>
        <w:t>dalyvauti Komisijos posėdžiuose. Jeigu Komisijos narys dėl svarbių priežasčių negali dalyvauti posėdyje, jis privalo apie tai pranešti iš anksto;</w:t>
      </w:r>
    </w:p>
    <w:p w14:paraId="0D2CB555" w14:textId="77777777" w:rsidR="00424775" w:rsidRDefault="003611F4">
      <w:pPr>
        <w:ind w:firstLine="748"/>
        <w:jc w:val="both"/>
        <w:rPr>
          <w:bCs/>
          <w:lang w:eastAsia="lt-LT"/>
        </w:rPr>
      </w:pPr>
      <w:r>
        <w:rPr>
          <w:bCs/>
          <w:lang w:eastAsia="lt-LT"/>
        </w:rPr>
        <w:t>6.2. informuoti, jeigu svarstomas klausimas gali sukelti viešųjų ir privačiųjų interesų konfliktą bei nusišalinti nuo tokio klausimo svarstymo ir balsavimo. Šis faktas fiksuojamas Komisijos posėdžio protokole;</w:t>
      </w:r>
    </w:p>
    <w:p w14:paraId="0D2CB556" w14:textId="77777777" w:rsidR="00424775" w:rsidRDefault="003611F4">
      <w:pPr>
        <w:ind w:firstLine="748"/>
        <w:jc w:val="both"/>
        <w:rPr>
          <w:strike/>
          <w:lang w:eastAsia="lt-LT"/>
        </w:rPr>
      </w:pPr>
      <w:bookmarkStart w:id="3" w:name="_Hlk134626226"/>
      <w:r>
        <w:rPr>
          <w:lang w:eastAsia="lt-LT"/>
        </w:rPr>
        <w:t>6.3. vadovautis Įstatymo 3 straipsnyje nurodytais piniginės socialinės paramos teikimo principais ir saugoti asmens duomenų paslaptį Lietuvos Respublikos įstatymų ir kitų teisės aktų nustatyta tvarka.</w:t>
      </w:r>
      <w:bookmarkEnd w:id="3"/>
    </w:p>
    <w:p w14:paraId="0D2CB557" w14:textId="77777777" w:rsidR="00424775" w:rsidRDefault="00424775">
      <w:pPr>
        <w:shd w:val="clear" w:color="auto" w:fill="FFFFFF"/>
        <w:ind w:firstLine="709"/>
        <w:jc w:val="center"/>
        <w:rPr>
          <w:bCs/>
          <w:lang w:eastAsia="ru-RU"/>
        </w:rPr>
      </w:pPr>
    </w:p>
    <w:p w14:paraId="0D2CB558" w14:textId="77777777" w:rsidR="00424775" w:rsidRDefault="003611F4">
      <w:pPr>
        <w:keepNext/>
        <w:shd w:val="clear" w:color="auto" w:fill="FFFFFF"/>
        <w:jc w:val="center"/>
        <w:rPr>
          <w:b/>
          <w:bCs/>
          <w:caps/>
          <w:lang w:eastAsia="ru-RU"/>
        </w:rPr>
      </w:pPr>
      <w:r>
        <w:rPr>
          <w:b/>
          <w:bCs/>
          <w:lang w:eastAsia="ru-RU"/>
        </w:rPr>
        <w:t>III</w:t>
      </w:r>
      <w:r>
        <w:rPr>
          <w:b/>
          <w:bCs/>
          <w:caps/>
          <w:lang w:eastAsia="ru-RU"/>
        </w:rPr>
        <w:t xml:space="preserve"> SKYRIUS</w:t>
      </w:r>
    </w:p>
    <w:p w14:paraId="0D2CB559" w14:textId="77777777" w:rsidR="00424775" w:rsidRDefault="003611F4">
      <w:pPr>
        <w:shd w:val="clear" w:color="auto" w:fill="FFFFFF"/>
        <w:jc w:val="center"/>
        <w:rPr>
          <w:b/>
          <w:lang w:eastAsia="ru-RU"/>
        </w:rPr>
      </w:pPr>
      <w:r>
        <w:rPr>
          <w:b/>
          <w:bCs/>
          <w:lang w:eastAsia="ru-RU"/>
        </w:rPr>
        <w:t>KOMISIJOS DARBO ORGANIZAVIMAS</w:t>
      </w:r>
    </w:p>
    <w:p w14:paraId="0D2CB55A" w14:textId="77777777" w:rsidR="00424775" w:rsidRDefault="00424775">
      <w:pPr>
        <w:shd w:val="clear" w:color="auto" w:fill="FFFFFF"/>
        <w:ind w:firstLine="709"/>
        <w:jc w:val="both"/>
        <w:rPr>
          <w:lang w:eastAsia="ru-RU"/>
        </w:rPr>
      </w:pPr>
    </w:p>
    <w:p w14:paraId="0D2CB55B" w14:textId="77777777" w:rsidR="00424775" w:rsidRDefault="003611F4">
      <w:pPr>
        <w:shd w:val="clear" w:color="auto" w:fill="FFFFFF"/>
        <w:ind w:firstLine="709"/>
        <w:jc w:val="both"/>
        <w:rPr>
          <w:lang w:eastAsia="lt-LT"/>
        </w:rPr>
      </w:pPr>
      <w:r>
        <w:rPr>
          <w:lang w:eastAsia="lt-LT"/>
        </w:rPr>
        <w:t xml:space="preserve">7. </w:t>
      </w:r>
      <w:r>
        <w:rPr>
          <w:lang w:eastAsia="ru-RU"/>
        </w:rPr>
        <w:t xml:space="preserve">Komisijos posėdžius organizuoja, jiems vadovauja ir </w:t>
      </w:r>
      <w:r>
        <w:rPr>
          <w:lang w:eastAsia="lt-LT"/>
        </w:rPr>
        <w:t>Nuostatų įgyvendinimą kontroliuoja</w:t>
      </w:r>
      <w:r>
        <w:rPr>
          <w:lang w:eastAsia="ru-RU"/>
        </w:rPr>
        <w:t xml:space="preserve"> Komisijos pirmininkas, kai jo nėra – Komisijos pirmininko pavaduotojas.</w:t>
      </w:r>
    </w:p>
    <w:p w14:paraId="0D2CB55C" w14:textId="77777777" w:rsidR="00424775" w:rsidRDefault="003611F4">
      <w:pPr>
        <w:shd w:val="clear" w:color="auto" w:fill="FFFFFF"/>
        <w:ind w:firstLine="709"/>
        <w:jc w:val="both"/>
        <w:rPr>
          <w:lang w:eastAsia="lt-LT"/>
        </w:rPr>
      </w:pPr>
      <w:r>
        <w:rPr>
          <w:lang w:eastAsia="lt-LT"/>
        </w:rPr>
        <w:t>8. Komisijos darbo forma yra posėdžiai, kurie gali būti organizuojami nuotoliniu būdu.</w:t>
      </w:r>
    </w:p>
    <w:p w14:paraId="0D2CB55D" w14:textId="77777777" w:rsidR="00424775" w:rsidRDefault="003611F4">
      <w:pPr>
        <w:tabs>
          <w:tab w:val="left" w:pos="0"/>
        </w:tabs>
        <w:ind w:firstLine="709"/>
        <w:jc w:val="both"/>
        <w:rPr>
          <w:bCs/>
        </w:rPr>
      </w:pPr>
      <w:r>
        <w:rPr>
          <w:lang w:eastAsia="lt-LT"/>
        </w:rPr>
        <w:t xml:space="preserve">9. Komisijos posėdžiai yra uždari, </w:t>
      </w:r>
      <w:r>
        <w:rPr>
          <w:bCs/>
        </w:rPr>
        <w:t>esant poreikiui gali būti kviečiami kviestiniai asmenys, suinteresuotų institucijų atstovai, pareiškėjai ir kt.</w:t>
      </w:r>
    </w:p>
    <w:p w14:paraId="0D2CB55E" w14:textId="77777777" w:rsidR="00424775" w:rsidRDefault="003611F4">
      <w:pPr>
        <w:ind w:firstLine="709"/>
        <w:jc w:val="both"/>
        <w:rPr>
          <w:lang w:eastAsia="lt-LT"/>
        </w:rPr>
      </w:pPr>
      <w:r>
        <w:rPr>
          <w:lang w:eastAsia="lt-LT"/>
        </w:rPr>
        <w:t xml:space="preserve">10. Komisija per pirmąjį savo posėdį iš narių išrenka pirmininką ir pirmininko pavaduotoją, tai fiksuojama Komisijos posėdžio protokole. </w:t>
      </w:r>
    </w:p>
    <w:p w14:paraId="0D2CB55F" w14:textId="77777777" w:rsidR="00424775" w:rsidRDefault="003611F4">
      <w:pPr>
        <w:tabs>
          <w:tab w:val="left" w:pos="0"/>
        </w:tabs>
        <w:ind w:firstLine="709"/>
        <w:jc w:val="both"/>
        <w:rPr>
          <w:bCs/>
        </w:rPr>
      </w:pPr>
      <w:bookmarkStart w:id="4" w:name="_Hlk135747264"/>
      <w:r>
        <w:rPr>
          <w:lang w:eastAsia="ru-RU"/>
        </w:rPr>
        <w:t xml:space="preserve">11. </w:t>
      </w:r>
      <w:bookmarkStart w:id="5" w:name="_Hlk135833153"/>
      <w:r>
        <w:rPr>
          <w:bCs/>
        </w:rPr>
        <w:t>Komisijos nariai, prieš pradėdami darbą Komisijoje, turi pasirašyti konfidencialumo pasižadėjimą (priedas).</w:t>
      </w:r>
      <w:bookmarkEnd w:id="4"/>
      <w:bookmarkEnd w:id="5"/>
    </w:p>
    <w:p w14:paraId="0D2CB560" w14:textId="77777777" w:rsidR="00424775" w:rsidRDefault="003611F4">
      <w:pPr>
        <w:shd w:val="clear" w:color="auto" w:fill="FFFFFF"/>
        <w:ind w:firstLine="709"/>
        <w:jc w:val="both"/>
        <w:rPr>
          <w:lang w:eastAsia="ru-RU"/>
        </w:rPr>
      </w:pPr>
      <w:r>
        <w:rPr>
          <w:lang w:eastAsia="ru-RU"/>
        </w:rPr>
        <w:t>12. Komisijos posėdis yra teisėtas, kai jame dalyvauja daugiau kaip pusė Komisijos narių.</w:t>
      </w:r>
    </w:p>
    <w:p w14:paraId="0D2CB561" w14:textId="77777777" w:rsidR="00424775" w:rsidRDefault="003611F4">
      <w:pPr>
        <w:tabs>
          <w:tab w:val="left" w:pos="0"/>
        </w:tabs>
        <w:ind w:firstLine="709"/>
        <w:jc w:val="both"/>
      </w:pPr>
      <w:bookmarkStart w:id="6" w:name="_Hlk135833249"/>
      <w:r>
        <w:rPr>
          <w:bCs/>
        </w:rPr>
        <w:t>13. K</w:t>
      </w:r>
      <w:r>
        <w:t xml:space="preserve">omisijos siūlymai priimami paprasta </w:t>
      </w:r>
      <w:r>
        <w:rPr>
          <w:bCs/>
        </w:rPr>
        <w:t xml:space="preserve">posėdyje dalyvaujančių </w:t>
      </w:r>
      <w:r>
        <w:t>Komisijos narių balsų dauguma. Kiekvienas Komisijos narys turi po vieną balsą. Balsams pasiskirsčius po lygiai, lemia Komisijos pirmininko balsas, o kai pirmininko nėra – pirmininko pavaduotojo balsas.</w:t>
      </w:r>
      <w:bookmarkEnd w:id="6"/>
    </w:p>
    <w:p w14:paraId="0D2CB562" w14:textId="77777777" w:rsidR="00424775" w:rsidRDefault="003611F4">
      <w:pPr>
        <w:shd w:val="clear" w:color="auto" w:fill="FFFFFF"/>
        <w:ind w:firstLine="709"/>
        <w:jc w:val="both"/>
        <w:rPr>
          <w:lang w:eastAsia="ru-RU"/>
        </w:rPr>
      </w:pPr>
      <w:r>
        <w:rPr>
          <w:lang w:eastAsia="ru-RU"/>
        </w:rPr>
        <w:t>14. Komisija renkasi esant būtinybei, bet ne rečiau kaip vieną kartą per ketvirtį.</w:t>
      </w:r>
    </w:p>
    <w:p w14:paraId="0D2CB563" w14:textId="77777777" w:rsidR="00424775" w:rsidRDefault="003611F4">
      <w:pPr>
        <w:shd w:val="clear" w:color="auto" w:fill="FFFFFF"/>
        <w:ind w:firstLine="709"/>
        <w:jc w:val="both"/>
        <w:rPr>
          <w:lang w:eastAsia="ru-RU"/>
        </w:rPr>
      </w:pPr>
      <w:r>
        <w:rPr>
          <w:lang w:eastAsia="ru-RU"/>
        </w:rPr>
        <w:t>15. Komisijos posėdžius protokoluoja Socialinės paramos skyriaus specialistas.</w:t>
      </w:r>
    </w:p>
    <w:p w14:paraId="0D2CB564" w14:textId="77777777" w:rsidR="00424775" w:rsidRDefault="00424775">
      <w:pPr>
        <w:shd w:val="clear" w:color="auto" w:fill="FFFFFF"/>
        <w:jc w:val="center"/>
        <w:rPr>
          <w:b/>
          <w:bCs/>
        </w:rPr>
      </w:pPr>
    </w:p>
    <w:p w14:paraId="0D2CB565" w14:textId="77777777" w:rsidR="00424775" w:rsidRDefault="003611F4">
      <w:pPr>
        <w:shd w:val="clear" w:color="auto" w:fill="FFFFFF"/>
        <w:jc w:val="center"/>
        <w:rPr>
          <w:b/>
          <w:bCs/>
        </w:rPr>
      </w:pPr>
      <w:r>
        <w:rPr>
          <w:b/>
          <w:bCs/>
        </w:rPr>
        <w:t>IV SKYRIUS</w:t>
      </w:r>
    </w:p>
    <w:p w14:paraId="0D2CB566" w14:textId="77777777" w:rsidR="00424775" w:rsidRDefault="003611F4">
      <w:pPr>
        <w:shd w:val="clear" w:color="auto" w:fill="FFFFFF"/>
        <w:jc w:val="center"/>
        <w:rPr>
          <w:rFonts w:ascii="Arial" w:hAnsi="Arial" w:cs="Arial"/>
          <w:sz w:val="20"/>
          <w:szCs w:val="20"/>
        </w:rPr>
      </w:pPr>
      <w:r>
        <w:rPr>
          <w:b/>
          <w:bCs/>
        </w:rPr>
        <w:t xml:space="preserve"> BAIGIAMOSIOS NUOSTATOS</w:t>
      </w:r>
    </w:p>
    <w:p w14:paraId="0D2CB567" w14:textId="77777777" w:rsidR="00424775" w:rsidRDefault="00424775">
      <w:pPr>
        <w:shd w:val="clear" w:color="auto" w:fill="FFFFFF"/>
        <w:jc w:val="both"/>
      </w:pPr>
    </w:p>
    <w:p w14:paraId="0D2CB568" w14:textId="77777777" w:rsidR="00424775" w:rsidRDefault="003611F4">
      <w:pPr>
        <w:ind w:firstLine="748"/>
        <w:jc w:val="both"/>
      </w:pPr>
      <w:r>
        <w:t>16. Dokumentacija, susijusi su Komisijos veikla, saugoma Savivaldybės administracijos dokumentų valdymo sistemoje „Avilys“.</w:t>
      </w:r>
    </w:p>
    <w:p w14:paraId="0D2CB569" w14:textId="77777777" w:rsidR="00424775" w:rsidRDefault="003611F4">
      <w:pPr>
        <w:ind w:firstLine="748"/>
        <w:jc w:val="both"/>
        <w:rPr>
          <w:sz w:val="22"/>
          <w:szCs w:val="22"/>
          <w:lang w:eastAsia="lt-LT"/>
        </w:rPr>
      </w:pPr>
      <w:bookmarkStart w:id="7" w:name="_Hlk135746239"/>
      <w:r>
        <w:t>17. Asmenų, pateikusių prašymus ir dokumentus materialinei paramai gauti, asmens duomenys tvarkomi vadovaujantis </w:t>
      </w:r>
      <w:r>
        <w:rPr>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 (OL 2016 L 119, p. 1)</w:t>
      </w:r>
      <w:r>
        <w:t>, </w:t>
      </w:r>
      <w:r>
        <w:rPr>
          <w:shd w:val="clear" w:color="auto" w:fill="FFFFFF"/>
        </w:rPr>
        <w:t xml:space="preserve">Lietuvos Respublikos asmens duomenų teisinės apsaugos įstatymo nuostatomis ir </w:t>
      </w:r>
      <w:r>
        <w:rPr>
          <w:bCs/>
        </w:rPr>
        <w:t>Savivaldybės administracijos patvirtintais teisės aktais</w:t>
      </w:r>
      <w:r>
        <w:t>.</w:t>
      </w:r>
      <w:bookmarkEnd w:id="7"/>
    </w:p>
    <w:p w14:paraId="0D2CB56A" w14:textId="77777777" w:rsidR="00424775" w:rsidRDefault="003611F4">
      <w:pPr>
        <w:ind w:firstLine="748"/>
        <w:jc w:val="both"/>
        <w:rPr>
          <w:sz w:val="22"/>
          <w:szCs w:val="22"/>
          <w:lang w:eastAsia="lt-LT"/>
        </w:rPr>
      </w:pPr>
      <w:r>
        <w:rPr>
          <w:lang w:eastAsia="ru-RU"/>
        </w:rPr>
        <w:t>18. Pasibaigus Tvarkos apraše numatytam Komisijos sudarymo laikui,</w:t>
      </w:r>
      <w:r>
        <w:t xml:space="preserve"> ji vykdo savo funkcijas, kol naujai išrinkta Savivaldybės taryba patvirtina naujos sudėties Komisiją</w:t>
      </w:r>
      <w:r>
        <w:rPr>
          <w:bCs/>
        </w:rPr>
        <w:t>.</w:t>
      </w:r>
    </w:p>
    <w:p w14:paraId="0D2CB56B" w14:textId="77777777" w:rsidR="00424775" w:rsidRDefault="00424775">
      <w:pPr>
        <w:jc w:val="both"/>
      </w:pPr>
    </w:p>
    <w:p w14:paraId="0D2CB56C" w14:textId="77777777" w:rsidR="00424775" w:rsidRDefault="003611F4">
      <w:pPr>
        <w:jc w:val="center"/>
        <w:sectPr w:rsidR="00424775">
          <w:headerReference w:type="default" r:id="rId7"/>
          <w:pgSz w:w="11906" w:h="16838"/>
          <w:pgMar w:top="1134" w:right="567" w:bottom="1134" w:left="1701" w:header="567" w:footer="0" w:gutter="0"/>
          <w:cols w:space="1296"/>
          <w:formProt w:val="0"/>
          <w:titlePg/>
          <w:docGrid w:linePitch="360"/>
        </w:sectPr>
      </w:pPr>
      <w:r>
        <w:t>_______________________</w:t>
      </w:r>
    </w:p>
    <w:tbl>
      <w:tblPr>
        <w:tblStyle w:val="Lentelstinklelis"/>
        <w:tblW w:w="3351" w:type="dxa"/>
        <w:tblInd w:w="6379" w:type="dxa"/>
        <w:tblLayout w:type="fixed"/>
        <w:tblLook w:val="04A0" w:firstRow="1" w:lastRow="0" w:firstColumn="1" w:lastColumn="0" w:noHBand="0" w:noVBand="1"/>
      </w:tblPr>
      <w:tblGrid>
        <w:gridCol w:w="3351"/>
      </w:tblGrid>
      <w:tr w:rsidR="00424775" w14:paraId="0D2CB570" w14:textId="77777777">
        <w:tc>
          <w:tcPr>
            <w:tcW w:w="3351" w:type="dxa"/>
            <w:tcBorders>
              <w:top w:val="nil"/>
              <w:left w:val="nil"/>
              <w:bottom w:val="nil"/>
              <w:right w:val="nil"/>
            </w:tcBorders>
          </w:tcPr>
          <w:p w14:paraId="0D2CB56D" w14:textId="77777777" w:rsidR="00424775" w:rsidRDefault="003611F4">
            <w:r>
              <w:lastRenderedPageBreak/>
              <w:t xml:space="preserve">Materialinės paramos teikimo </w:t>
            </w:r>
          </w:p>
          <w:p w14:paraId="0D2CB56E" w14:textId="77777777" w:rsidR="00424775" w:rsidRDefault="003611F4">
            <w:r>
              <w:t xml:space="preserve">komisijos nuostatų </w:t>
            </w:r>
          </w:p>
          <w:p w14:paraId="0D2CB56F" w14:textId="77777777" w:rsidR="00424775" w:rsidRDefault="003611F4">
            <w:r>
              <w:t>priedas</w:t>
            </w:r>
          </w:p>
        </w:tc>
      </w:tr>
    </w:tbl>
    <w:p w14:paraId="0D2CB571" w14:textId="77777777" w:rsidR="00424775" w:rsidRDefault="00424775">
      <w:pPr>
        <w:jc w:val="center"/>
        <w:rPr>
          <w:lang w:eastAsia="lt-LT"/>
        </w:rPr>
      </w:pPr>
    </w:p>
    <w:p w14:paraId="0D2CB572" w14:textId="77777777" w:rsidR="00424775" w:rsidRDefault="00424775">
      <w:pPr>
        <w:jc w:val="center"/>
        <w:rPr>
          <w:bCs/>
          <w:lang w:eastAsia="lt-LT"/>
        </w:rPr>
      </w:pPr>
    </w:p>
    <w:p w14:paraId="0D2CB573" w14:textId="77777777" w:rsidR="00424775" w:rsidRDefault="003611F4">
      <w:pPr>
        <w:jc w:val="center"/>
        <w:rPr>
          <w:b/>
          <w:lang w:eastAsia="lt-LT"/>
        </w:rPr>
      </w:pPr>
      <w:r>
        <w:rPr>
          <w:b/>
          <w:lang w:eastAsia="lt-LT"/>
        </w:rPr>
        <w:t>PASIŽADĖJIMAS SAUGOTI ASMENS DUOMENŲ PASLAPTĮ</w:t>
      </w:r>
    </w:p>
    <w:p w14:paraId="0D2CB574" w14:textId="77777777" w:rsidR="00424775" w:rsidRDefault="00424775">
      <w:pPr>
        <w:jc w:val="center"/>
        <w:rPr>
          <w:bCs/>
          <w:lang w:eastAsia="lt-LT"/>
        </w:rPr>
      </w:pPr>
    </w:p>
    <w:p w14:paraId="0D2CB575" w14:textId="77777777" w:rsidR="00424775" w:rsidRDefault="003611F4">
      <w:pPr>
        <w:jc w:val="center"/>
        <w:rPr>
          <w:bCs/>
        </w:rPr>
      </w:pPr>
      <w:r>
        <w:rPr>
          <w:bCs/>
        </w:rPr>
        <w:t>________________ Nr. _______________</w:t>
      </w:r>
    </w:p>
    <w:p w14:paraId="0D2CB576" w14:textId="77777777" w:rsidR="00424775" w:rsidRDefault="003611F4">
      <w:pPr>
        <w:tabs>
          <w:tab w:val="left" w:pos="2977"/>
        </w:tabs>
        <w:ind w:firstLine="3544"/>
        <w:rPr>
          <w:bCs/>
          <w:sz w:val="20"/>
          <w:szCs w:val="20"/>
          <w:lang w:eastAsia="lt-LT"/>
        </w:rPr>
      </w:pPr>
      <w:r>
        <w:rPr>
          <w:bCs/>
          <w:sz w:val="20"/>
          <w:szCs w:val="20"/>
          <w:lang w:eastAsia="lt-LT"/>
        </w:rPr>
        <w:t>(data)</w:t>
      </w:r>
    </w:p>
    <w:p w14:paraId="0D2CB577" w14:textId="77777777" w:rsidR="00424775" w:rsidRDefault="00424775">
      <w:pPr>
        <w:jc w:val="center"/>
        <w:rPr>
          <w:bCs/>
          <w:lang w:eastAsia="lt-LT"/>
        </w:rPr>
      </w:pPr>
    </w:p>
    <w:p w14:paraId="0D2CB578" w14:textId="77777777" w:rsidR="00424775" w:rsidRDefault="003611F4">
      <w:pPr>
        <w:tabs>
          <w:tab w:val="left" w:pos="567"/>
          <w:tab w:val="left" w:pos="993"/>
          <w:tab w:val="left" w:pos="1134"/>
        </w:tabs>
        <w:ind w:firstLine="709"/>
        <w:jc w:val="both"/>
        <w:rPr>
          <w:rFonts w:eastAsia="Calibri"/>
        </w:rPr>
      </w:pPr>
      <w:r>
        <w:rPr>
          <w:rFonts w:eastAsia="Calibri"/>
        </w:rPr>
        <w:t>Aš, ___________________________________,</w:t>
      </w:r>
      <w:r>
        <w:rPr>
          <w:lang w:eastAsia="lt-LT"/>
        </w:rPr>
        <w:t xml:space="preserve"> būdamas (-a) Materialinės paramos teikimo </w:t>
      </w:r>
    </w:p>
    <w:p w14:paraId="0D2CB579" w14:textId="77777777" w:rsidR="00424775" w:rsidRDefault="003611F4">
      <w:pPr>
        <w:tabs>
          <w:tab w:val="left" w:pos="567"/>
          <w:tab w:val="left" w:pos="993"/>
          <w:tab w:val="left" w:pos="1134"/>
        </w:tabs>
        <w:spacing w:line="259" w:lineRule="auto"/>
        <w:ind w:firstLine="2410"/>
        <w:rPr>
          <w:rFonts w:eastAsia="Calibri"/>
          <w:sz w:val="20"/>
          <w:szCs w:val="20"/>
        </w:rPr>
      </w:pPr>
      <w:r>
        <w:rPr>
          <w:rFonts w:eastAsia="Calibri"/>
          <w:sz w:val="20"/>
          <w:szCs w:val="20"/>
        </w:rPr>
        <w:t>(vardas ir pavardė)</w:t>
      </w:r>
    </w:p>
    <w:p w14:paraId="0D2CB57A" w14:textId="77777777" w:rsidR="00424775" w:rsidRDefault="003611F4">
      <w:pPr>
        <w:tabs>
          <w:tab w:val="left" w:pos="993"/>
          <w:tab w:val="left" w:pos="1134"/>
        </w:tabs>
        <w:jc w:val="both"/>
        <w:rPr>
          <w:lang w:eastAsia="lt-LT"/>
        </w:rPr>
      </w:pPr>
      <w:r>
        <w:rPr>
          <w:lang w:eastAsia="lt-LT"/>
        </w:rPr>
        <w:t>komisijos (toliau – Komisija) _________________________________:</w:t>
      </w:r>
    </w:p>
    <w:p w14:paraId="0D2CB57B" w14:textId="77777777" w:rsidR="00424775" w:rsidRDefault="003611F4">
      <w:pPr>
        <w:tabs>
          <w:tab w:val="left" w:pos="993"/>
          <w:tab w:val="left" w:pos="1134"/>
        </w:tabs>
        <w:ind w:firstLine="2835"/>
        <w:jc w:val="both"/>
        <w:rPr>
          <w:sz w:val="20"/>
          <w:szCs w:val="20"/>
          <w:lang w:eastAsia="lt-LT"/>
        </w:rPr>
      </w:pPr>
      <w:r>
        <w:rPr>
          <w:sz w:val="20"/>
          <w:szCs w:val="20"/>
          <w:lang w:eastAsia="lt-LT"/>
        </w:rPr>
        <w:t>(pirmininku, nariu, kviestiniu asmeniu, stebėtoju)</w:t>
      </w:r>
    </w:p>
    <w:p w14:paraId="0D2CB57C" w14:textId="77777777" w:rsidR="00424775" w:rsidRDefault="003611F4">
      <w:pPr>
        <w:numPr>
          <w:ilvl w:val="0"/>
          <w:numId w:val="1"/>
        </w:numPr>
        <w:tabs>
          <w:tab w:val="left" w:pos="993"/>
          <w:tab w:val="left" w:pos="1134"/>
        </w:tabs>
        <w:ind w:left="0" w:firstLine="709"/>
        <w:contextualSpacing/>
        <w:jc w:val="both"/>
        <w:rPr>
          <w:b/>
          <w:lang w:eastAsia="lt-LT"/>
        </w:rPr>
      </w:pPr>
      <w:r>
        <w:rPr>
          <w:b/>
          <w:lang w:eastAsia="lt-LT"/>
        </w:rPr>
        <w:t>Suprantu, kad:</w:t>
      </w:r>
    </w:p>
    <w:p w14:paraId="0D2CB57D" w14:textId="77777777" w:rsidR="00424775" w:rsidRDefault="003611F4">
      <w:pPr>
        <w:tabs>
          <w:tab w:val="left" w:pos="993"/>
          <w:tab w:val="left" w:pos="1134"/>
        </w:tabs>
        <w:ind w:firstLine="709"/>
        <w:jc w:val="both"/>
        <w:rPr>
          <w:lang w:eastAsia="lt-LT"/>
        </w:rPr>
      </w:pPr>
      <w:r>
        <w:rPr>
          <w:lang w:eastAsia="lt-LT"/>
        </w:rPr>
        <w:t>1.1. dirbdamas Komisijoje tvarkysiu asmens (ypatingus asmens) duomenis, kurie negali būti atskleisti ar perduoti neįgaliotiems juridiniams ar fiziniams asmenims;</w:t>
      </w:r>
    </w:p>
    <w:p w14:paraId="0D2CB57E" w14:textId="77777777" w:rsidR="00424775" w:rsidRDefault="003611F4">
      <w:pPr>
        <w:tabs>
          <w:tab w:val="left" w:pos="993"/>
          <w:tab w:val="left" w:pos="1134"/>
        </w:tabs>
        <w:ind w:firstLine="709"/>
        <w:jc w:val="both"/>
        <w:rPr>
          <w:lang w:eastAsia="lt-LT"/>
        </w:rPr>
      </w:pPr>
      <w:r>
        <w:rPr>
          <w:lang w:eastAsia="lt-LT"/>
        </w:rPr>
        <w:t>1.2. draudžiama perduoti neįgaliotiems asmenims prisijungimo slaptažodžius ir kitus duomenis, leidžiančius programinėmis ir techninėmis priemonėmis sužinoti asmens duomenis ar kitaip sudaryti sąlygas susipažinti su asmens duomenimis;</w:t>
      </w:r>
    </w:p>
    <w:p w14:paraId="0D2CB57F" w14:textId="77777777" w:rsidR="00424775" w:rsidRDefault="003611F4">
      <w:pPr>
        <w:tabs>
          <w:tab w:val="left" w:pos="993"/>
          <w:tab w:val="left" w:pos="1134"/>
        </w:tabs>
        <w:ind w:firstLine="709"/>
        <w:jc w:val="both"/>
        <w:rPr>
          <w:lang w:eastAsia="lt-LT"/>
        </w:rPr>
      </w:pPr>
      <w:r>
        <w:rPr>
          <w:lang w:eastAsia="lt-LT"/>
        </w:rPr>
        <w:t>1.3. netinkamas asmens duomenų tvarkymas gali užtraukti atsakomybę pagal Lietuvos Respublikos įstatymus.</w:t>
      </w:r>
    </w:p>
    <w:p w14:paraId="0D2CB580" w14:textId="77777777" w:rsidR="00424775" w:rsidRDefault="003611F4">
      <w:pPr>
        <w:tabs>
          <w:tab w:val="left" w:pos="993"/>
          <w:tab w:val="left" w:pos="1134"/>
        </w:tabs>
        <w:ind w:firstLine="709"/>
        <w:jc w:val="both"/>
        <w:rPr>
          <w:b/>
          <w:lang w:eastAsia="lt-LT"/>
        </w:rPr>
      </w:pPr>
      <w:r>
        <w:rPr>
          <w:b/>
          <w:lang w:eastAsia="lt-LT"/>
        </w:rPr>
        <w:t>2. Įsipareigoju:</w:t>
      </w:r>
    </w:p>
    <w:p w14:paraId="0D2CB581"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 xml:space="preserve"> saugoti asmens duomenų paslaptį;</w:t>
      </w:r>
    </w:p>
    <w:p w14:paraId="0D2CB582" w14:textId="77777777" w:rsidR="00424775" w:rsidRDefault="003611F4">
      <w:pPr>
        <w:numPr>
          <w:ilvl w:val="1"/>
          <w:numId w:val="2"/>
        </w:numPr>
        <w:tabs>
          <w:tab w:val="left" w:pos="709"/>
          <w:tab w:val="left" w:pos="993"/>
          <w:tab w:val="left" w:pos="1134"/>
        </w:tabs>
        <w:ind w:left="0" w:firstLine="709"/>
        <w:contextualSpacing/>
        <w:jc w:val="both"/>
        <w:rPr>
          <w:lang w:eastAsia="lt-LT"/>
        </w:rPr>
      </w:pPr>
      <w:r>
        <w:t>tvarkyti asmens duomenis vadovaudamasis 2016 m. balandžio 27 d. Europos Parlamento ir Tarybos reglamento (ES) 2016/679 dėl fizinių asmenų apsaugos tvarkant asmens duomenis ir dėl laisvo tokių duomenų judėjimo, kuriuo panaikinama Direktyva 95/46/EB (toliau – Bendrasis duomenų apsaugos reglamentas) nuostatomis, Lietuvos Respublikos įstatymais ir kitais teisės aktais, reglamentuojančiais asmens duomenų apsaugą;</w:t>
      </w:r>
    </w:p>
    <w:p w14:paraId="0D2CB583"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nepasilikti ir nedaryti jokių man pateiktų dokumentų kopijų;</w:t>
      </w:r>
    </w:p>
    <w:p w14:paraId="0D2CB584"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neatskleisti, neperduoti ir nesudaryti sąlygų įvairiomis priemonėmis susipažinti su tvarkoma informacija nė vienam asmeniui, kuris nėra įgaliotas naudotis šia informacija tiek Komisijos viduje, tiek už jos ribų;</w:t>
      </w:r>
    </w:p>
    <w:p w14:paraId="0D2CB585"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pranešti Komisijos pirmininkui (jo nesant –</w:t>
      </w:r>
      <w:r>
        <w:rPr>
          <w:lang w:eastAsia="ru-RU"/>
        </w:rPr>
        <w:t xml:space="preserve"> Komisijos pirmininko pavaduotojui)</w:t>
      </w:r>
      <w:r>
        <w:rPr>
          <w:lang w:eastAsia="lt-LT"/>
        </w:rPr>
        <w:t xml:space="preserve">  ir duomenų apsaugos pareigūnui apie bet kokią įtartiną situaciją, kuri gali kelti grėsmę asmens duomenų saugumui.</w:t>
      </w:r>
    </w:p>
    <w:p w14:paraId="0D2CB586"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nusišalinti, jei paaiškės, kad galiu nesuderinti viešųjų ir privačių interesų ir galiu būti šališkas (-a).</w:t>
      </w:r>
    </w:p>
    <w:p w14:paraId="0D2CB587" w14:textId="77777777" w:rsidR="00424775" w:rsidRDefault="003611F4">
      <w:pPr>
        <w:numPr>
          <w:ilvl w:val="0"/>
          <w:numId w:val="2"/>
        </w:numPr>
        <w:tabs>
          <w:tab w:val="left" w:pos="567"/>
          <w:tab w:val="left" w:pos="993"/>
          <w:tab w:val="left" w:pos="1134"/>
        </w:tabs>
        <w:ind w:left="0" w:firstLine="709"/>
        <w:contextualSpacing/>
        <w:jc w:val="both"/>
        <w:rPr>
          <w:b/>
          <w:lang w:eastAsia="lt-LT"/>
        </w:rPr>
      </w:pPr>
      <w:r>
        <w:rPr>
          <w:b/>
          <w:lang w:eastAsia="lt-LT"/>
        </w:rPr>
        <w:t>Žinau, kad:</w:t>
      </w:r>
    </w:p>
    <w:p w14:paraId="0D2CB588" w14:textId="77777777" w:rsidR="00424775" w:rsidRDefault="003611F4">
      <w:pPr>
        <w:numPr>
          <w:ilvl w:val="1"/>
          <w:numId w:val="2"/>
        </w:numPr>
        <w:tabs>
          <w:tab w:val="left" w:pos="709"/>
          <w:tab w:val="left" w:pos="993"/>
          <w:tab w:val="left" w:pos="1134"/>
        </w:tabs>
        <w:ind w:left="0" w:firstLine="709"/>
        <w:contextualSpacing/>
        <w:jc w:val="both"/>
        <w:rPr>
          <w:lang w:eastAsia="lt-LT"/>
        </w:rPr>
      </w:pPr>
      <w:r>
        <w:rPr>
          <w:lang w:eastAsia="lt-LT"/>
        </w:rPr>
        <w:t>už šio pasižadėjimo nesilaikymą ir Lietuvos Respublikos asmens duomenų teisinės apsaugos įstatymo pažeidimą turėsiu atsakyti pagal Lietuvos Respublikos įstatymus;</w:t>
      </w:r>
    </w:p>
    <w:p w14:paraId="0D2CB589" w14:textId="77777777" w:rsidR="00424775" w:rsidRDefault="003611F4">
      <w:pPr>
        <w:numPr>
          <w:ilvl w:val="1"/>
          <w:numId w:val="2"/>
        </w:numPr>
        <w:tabs>
          <w:tab w:val="left" w:pos="709"/>
          <w:tab w:val="left" w:pos="993"/>
          <w:tab w:val="left" w:pos="1134"/>
        </w:tabs>
        <w:ind w:left="0" w:firstLine="709"/>
        <w:contextualSpacing/>
        <w:jc w:val="both"/>
      </w:pPr>
      <w:r>
        <w:rPr>
          <w:lang w:eastAsia="lt-LT"/>
        </w:rPr>
        <w:t>asmuo, patyręs žalą dėl neteisėto asmens duomenų tvarkymo arba kitų duomenų valdytojo ar duomenų tvarkytojo, taip pat kitų asmenų veiksmų ar neveikimo, turi teisę reikalauti atlyginti jam padarytą turtinę ir neturtinę žalą A</w:t>
      </w:r>
      <w:r>
        <w:t>smens duomenų teisinės apsaugos įstatymo ir kitų Lietuvos Respublikos teisės aktų nustatyta tvarka;</w:t>
      </w:r>
    </w:p>
    <w:p w14:paraId="0D2CB58A" w14:textId="77777777" w:rsidR="00424775" w:rsidRDefault="003611F4">
      <w:pPr>
        <w:numPr>
          <w:ilvl w:val="1"/>
          <w:numId w:val="2"/>
        </w:numPr>
        <w:tabs>
          <w:tab w:val="left" w:pos="709"/>
          <w:tab w:val="left" w:pos="993"/>
          <w:tab w:val="left" w:pos="1134"/>
        </w:tabs>
        <w:ind w:left="0" w:firstLine="709"/>
        <w:contextualSpacing/>
        <w:jc w:val="both"/>
      </w:pPr>
      <w:r>
        <w:t>duomenų valdytojas, duomenų tvarkytojas arba kitas asmuo atlygina asmeniui padarytą žalą, o nuostolį išreikalauja įstatymų nustatyta tvarka iš asmens duomenis tvarkančio darbuotojo, dėl kurio kaltės atsirado ši žala;</w:t>
      </w:r>
    </w:p>
    <w:p w14:paraId="0D2CB58B" w14:textId="77777777" w:rsidR="00424775" w:rsidRDefault="003611F4">
      <w:pPr>
        <w:numPr>
          <w:ilvl w:val="1"/>
          <w:numId w:val="2"/>
        </w:numPr>
        <w:tabs>
          <w:tab w:val="left" w:pos="709"/>
          <w:tab w:val="left" w:pos="993"/>
          <w:tab w:val="left" w:pos="1134"/>
        </w:tabs>
        <w:ind w:left="0" w:firstLine="709"/>
        <w:contextualSpacing/>
        <w:jc w:val="both"/>
        <w:textAlignment w:val="baseline"/>
        <w:rPr>
          <w:sz w:val="27"/>
          <w:szCs w:val="27"/>
          <w:lang w:eastAsia="lt-LT"/>
        </w:rPr>
      </w:pPr>
      <w:r>
        <w:rPr>
          <w:lang w:eastAsia="lt-LT"/>
        </w:rPr>
        <w:t>šis pasižadėjimas galios visą laiką tiek dirbant Komisijoje, tiek pasitraukus iš Komisijos veiklos.</w:t>
      </w:r>
    </w:p>
    <w:p w14:paraId="0D2CB58C" w14:textId="77777777" w:rsidR="00424775" w:rsidRDefault="00424775">
      <w:pPr>
        <w:tabs>
          <w:tab w:val="left" w:pos="993"/>
          <w:tab w:val="left" w:pos="1134"/>
        </w:tabs>
        <w:ind w:firstLine="709"/>
        <w:jc w:val="both"/>
        <w:textAlignment w:val="baseline"/>
        <w:rPr>
          <w:sz w:val="27"/>
          <w:szCs w:val="27"/>
          <w:lang w:eastAsia="lt-LT"/>
        </w:rPr>
      </w:pPr>
    </w:p>
    <w:p w14:paraId="0D2CB58D" w14:textId="77777777" w:rsidR="00424775" w:rsidRDefault="003611F4">
      <w:pPr>
        <w:tabs>
          <w:tab w:val="left" w:pos="284"/>
          <w:tab w:val="left" w:pos="993"/>
          <w:tab w:val="left" w:pos="1134"/>
        </w:tabs>
        <w:ind w:firstLine="709"/>
        <w:jc w:val="both"/>
        <w:textAlignment w:val="baseline"/>
        <w:rPr>
          <w:lang w:eastAsia="lt-LT"/>
        </w:rPr>
      </w:pPr>
      <w:r>
        <w:rPr>
          <w:lang w:eastAsia="lt-LT"/>
        </w:rPr>
        <w:lastRenderedPageBreak/>
        <w:t>Aš esu susipažinęs (-</w:t>
      </w:r>
      <w:proofErr w:type="spellStart"/>
      <w:r>
        <w:rPr>
          <w:lang w:eastAsia="lt-LT"/>
        </w:rPr>
        <w:t>usi</w:t>
      </w:r>
      <w:proofErr w:type="spellEnd"/>
      <w:r>
        <w:rPr>
          <w:lang w:eastAsia="lt-LT"/>
        </w:rPr>
        <w:t>) su Bendruoju duomenų apsaugos reglamentu, Asmens duomenų teisinės apsaugos įstatymu ir kitais teisės aktais, reglamentuojančiais asmens duomenų apsaugą ir atsakomybę.</w:t>
      </w:r>
    </w:p>
    <w:p w14:paraId="0D2CB58E" w14:textId="77777777" w:rsidR="00424775" w:rsidRDefault="00424775">
      <w:pPr>
        <w:jc w:val="both"/>
        <w:textAlignment w:val="baseline"/>
        <w:rPr>
          <w:sz w:val="27"/>
          <w:szCs w:val="27"/>
          <w:lang w:eastAsia="lt-LT"/>
        </w:rPr>
      </w:pPr>
    </w:p>
    <w:tbl>
      <w:tblPr>
        <w:tblStyle w:val="Lentelstinklelis"/>
        <w:tblW w:w="6367" w:type="dxa"/>
        <w:tblInd w:w="3261" w:type="dxa"/>
        <w:tblLayout w:type="fixed"/>
        <w:tblLook w:val="04A0" w:firstRow="1" w:lastRow="0" w:firstColumn="1" w:lastColumn="0" w:noHBand="0" w:noVBand="1"/>
      </w:tblPr>
      <w:tblGrid>
        <w:gridCol w:w="2409"/>
        <w:gridCol w:w="426"/>
        <w:gridCol w:w="3532"/>
      </w:tblGrid>
      <w:tr w:rsidR="00424775" w14:paraId="0D2CB592" w14:textId="77777777">
        <w:tc>
          <w:tcPr>
            <w:tcW w:w="2409" w:type="dxa"/>
            <w:tcBorders>
              <w:top w:val="nil"/>
              <w:left w:val="nil"/>
              <w:right w:val="nil"/>
            </w:tcBorders>
          </w:tcPr>
          <w:p w14:paraId="0D2CB58F" w14:textId="77777777" w:rsidR="00424775" w:rsidRDefault="00424775">
            <w:pPr>
              <w:jc w:val="both"/>
            </w:pPr>
          </w:p>
        </w:tc>
        <w:tc>
          <w:tcPr>
            <w:tcW w:w="426" w:type="dxa"/>
            <w:tcBorders>
              <w:top w:val="nil"/>
              <w:left w:val="nil"/>
              <w:bottom w:val="nil"/>
              <w:right w:val="nil"/>
            </w:tcBorders>
          </w:tcPr>
          <w:p w14:paraId="0D2CB590" w14:textId="77777777" w:rsidR="00424775" w:rsidRDefault="00424775">
            <w:pPr>
              <w:jc w:val="both"/>
            </w:pPr>
          </w:p>
        </w:tc>
        <w:tc>
          <w:tcPr>
            <w:tcW w:w="3532" w:type="dxa"/>
            <w:tcBorders>
              <w:top w:val="nil"/>
              <w:left w:val="nil"/>
              <w:right w:val="nil"/>
            </w:tcBorders>
          </w:tcPr>
          <w:p w14:paraId="0D2CB591" w14:textId="77777777" w:rsidR="00424775" w:rsidRDefault="00424775">
            <w:pPr>
              <w:jc w:val="both"/>
            </w:pPr>
          </w:p>
        </w:tc>
      </w:tr>
      <w:tr w:rsidR="00424775" w14:paraId="0D2CB596" w14:textId="77777777">
        <w:tc>
          <w:tcPr>
            <w:tcW w:w="2409" w:type="dxa"/>
            <w:tcBorders>
              <w:left w:val="nil"/>
              <w:bottom w:val="nil"/>
              <w:right w:val="nil"/>
            </w:tcBorders>
          </w:tcPr>
          <w:p w14:paraId="0D2CB593" w14:textId="77777777" w:rsidR="00424775" w:rsidRDefault="003611F4">
            <w:pPr>
              <w:jc w:val="center"/>
            </w:pPr>
            <w:r>
              <w:rPr>
                <w:rFonts w:eastAsia="Calibri"/>
                <w:sz w:val="20"/>
                <w:szCs w:val="22"/>
              </w:rPr>
              <w:t>(parašas)</w:t>
            </w:r>
          </w:p>
        </w:tc>
        <w:tc>
          <w:tcPr>
            <w:tcW w:w="426" w:type="dxa"/>
            <w:tcBorders>
              <w:top w:val="nil"/>
              <w:left w:val="nil"/>
              <w:bottom w:val="nil"/>
              <w:right w:val="nil"/>
            </w:tcBorders>
          </w:tcPr>
          <w:p w14:paraId="0D2CB594" w14:textId="77777777" w:rsidR="00424775" w:rsidRDefault="00424775">
            <w:pPr>
              <w:jc w:val="center"/>
            </w:pPr>
          </w:p>
        </w:tc>
        <w:tc>
          <w:tcPr>
            <w:tcW w:w="3532" w:type="dxa"/>
            <w:tcBorders>
              <w:left w:val="nil"/>
              <w:bottom w:val="nil"/>
              <w:right w:val="nil"/>
            </w:tcBorders>
          </w:tcPr>
          <w:p w14:paraId="0D2CB595" w14:textId="77777777" w:rsidR="00424775" w:rsidRDefault="003611F4">
            <w:pPr>
              <w:jc w:val="center"/>
            </w:pPr>
            <w:r>
              <w:rPr>
                <w:rFonts w:eastAsia="Calibri"/>
                <w:sz w:val="20"/>
                <w:szCs w:val="22"/>
              </w:rPr>
              <w:t>(vardas ir pavardė)</w:t>
            </w:r>
          </w:p>
        </w:tc>
      </w:tr>
    </w:tbl>
    <w:p w14:paraId="0D2CB597" w14:textId="77777777" w:rsidR="00424775" w:rsidRDefault="00424775">
      <w:pPr>
        <w:jc w:val="both"/>
        <w:rPr>
          <w:lang w:eastAsia="lt-LT"/>
        </w:rPr>
      </w:pPr>
    </w:p>
    <w:sectPr w:rsidR="00424775">
      <w:headerReference w:type="default" r:id="rId8"/>
      <w:headerReference w:type="first" r:id="rId9"/>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14C07" w14:textId="77777777" w:rsidR="00027B15" w:rsidRDefault="00027B15">
      <w:r>
        <w:separator/>
      </w:r>
    </w:p>
  </w:endnote>
  <w:endnote w:type="continuationSeparator" w:id="0">
    <w:p w14:paraId="0E27DF7D" w14:textId="77777777" w:rsidR="00027B15" w:rsidRDefault="0002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FF383" w14:textId="77777777" w:rsidR="00027B15" w:rsidRDefault="00027B15">
      <w:r>
        <w:separator/>
      </w:r>
    </w:p>
  </w:footnote>
  <w:footnote w:type="continuationSeparator" w:id="0">
    <w:p w14:paraId="43983AB3" w14:textId="77777777" w:rsidR="00027B15" w:rsidRDefault="00027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674052"/>
      <w:docPartObj>
        <w:docPartGallery w:val="Page Numbers (Top of Page)"/>
        <w:docPartUnique/>
      </w:docPartObj>
    </w:sdtPr>
    <w:sdtEndPr/>
    <w:sdtContent>
      <w:p w14:paraId="0D2CB59C" w14:textId="77777777" w:rsidR="00424775" w:rsidRDefault="003611F4">
        <w:pPr>
          <w:pStyle w:val="Antrats"/>
          <w:jc w:val="center"/>
        </w:pPr>
        <w:r>
          <w:fldChar w:fldCharType="begin"/>
        </w:r>
        <w:r>
          <w:instrText xml:space="preserve"> PAGE </w:instrText>
        </w:r>
        <w:r>
          <w:fldChar w:fldCharType="separate"/>
        </w:r>
        <w:r w:rsidR="00765F4D">
          <w:rPr>
            <w:noProof/>
          </w:rPr>
          <w:t>2</w:t>
        </w:r>
        <w:r>
          <w:fldChar w:fldCharType="end"/>
        </w:r>
      </w:p>
      <w:p w14:paraId="0D2CB59D" w14:textId="77777777" w:rsidR="00424775" w:rsidRDefault="00027B15">
        <w:pPr>
          <w:pStyle w:val="Antrat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37536"/>
      <w:docPartObj>
        <w:docPartGallery w:val="Page Numbers (Top of Page)"/>
        <w:docPartUnique/>
      </w:docPartObj>
    </w:sdtPr>
    <w:sdtEndPr/>
    <w:sdtContent>
      <w:p w14:paraId="0D2CB59E" w14:textId="77777777" w:rsidR="00424775" w:rsidRDefault="003611F4">
        <w:pPr>
          <w:pStyle w:val="Antrats"/>
          <w:jc w:val="center"/>
        </w:pPr>
        <w:r>
          <w:fldChar w:fldCharType="begin"/>
        </w:r>
        <w:r>
          <w:instrText xml:space="preserve"> PAGE </w:instrText>
        </w:r>
        <w:r>
          <w:fldChar w:fldCharType="separate"/>
        </w:r>
        <w:r w:rsidR="00765F4D">
          <w:rPr>
            <w:noProof/>
          </w:rPr>
          <w:t>2</w:t>
        </w:r>
        <w:r>
          <w:fldChar w:fldCharType="end"/>
        </w:r>
      </w:p>
      <w:p w14:paraId="0D2CB59F" w14:textId="77777777" w:rsidR="00424775" w:rsidRDefault="00027B15">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B5A0" w14:textId="77777777" w:rsidR="00424775" w:rsidRDefault="004247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8542B"/>
    <w:multiLevelType w:val="multilevel"/>
    <w:tmpl w:val="5F92D6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2B1B7D"/>
    <w:multiLevelType w:val="multilevel"/>
    <w:tmpl w:val="7312DB2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D442336"/>
    <w:multiLevelType w:val="multilevel"/>
    <w:tmpl w:val="08C6F2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75"/>
    <w:rsid w:val="00027B15"/>
    <w:rsid w:val="003611F4"/>
    <w:rsid w:val="00424775"/>
    <w:rsid w:val="00765F4D"/>
    <w:rsid w:val="007B2FDB"/>
    <w:rsid w:val="00DD06E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B538"/>
  <w15:docId w15:val="{9084DC64-E5B8-4F36-A4CF-7AD03F52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6014</Words>
  <Characters>3429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2023-06-05T07:02:00Z</dcterms:created>
  <dcterms:modified xsi:type="dcterms:W3CDTF">2023-06-05T07:04:00Z</dcterms:modified>
  <dc:language>en-US</dc:language>
</cp:coreProperties>
</file>