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06091D71" w:rsidR="00DD5E64" w:rsidRPr="00980D5B" w:rsidRDefault="00F22F47" w:rsidP="00506582">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E2635A" w:rsidRPr="00980D5B">
        <w:rPr>
          <w:b/>
          <w:sz w:val="24"/>
          <w:szCs w:val="24"/>
          <w:lang w:val="en-US"/>
        </w:rPr>
        <w:t>PROJEKTO</w:t>
      </w:r>
      <w:r w:rsidR="00E2635A">
        <w:rPr>
          <w:b/>
          <w:sz w:val="24"/>
          <w:szCs w:val="24"/>
          <w:lang w:val="en-US"/>
        </w:rPr>
        <w:t xml:space="preserve"> </w:t>
      </w:r>
      <w:r w:rsidR="009A08C3">
        <w:rPr>
          <w:b/>
          <w:sz w:val="24"/>
          <w:szCs w:val="24"/>
          <w:lang w:val="en-US"/>
        </w:rPr>
        <w:t>„</w:t>
      </w:r>
      <w:r w:rsidR="00211B68" w:rsidRPr="00211B68">
        <w:t xml:space="preserve"> </w:t>
      </w:r>
      <w:r w:rsidR="00211B68" w:rsidRPr="00211B68">
        <w:rPr>
          <w:b/>
          <w:sz w:val="24"/>
          <w:szCs w:val="24"/>
          <w:lang w:val="en-US"/>
        </w:rPr>
        <w:t>DĖL KLAIPĖDOS KULTŪRŲ KOMUNIKACIJŲ CENTRO NUOSTATŲ PATVIRTINIMO</w:t>
      </w:r>
      <w:r w:rsidR="009A08C3">
        <w:rPr>
          <w:b/>
          <w:sz w:val="24"/>
          <w:szCs w:val="24"/>
          <w:lang w:val="en-US"/>
        </w:rPr>
        <w:t>“</w:t>
      </w:r>
      <w:r w:rsidRPr="00980D5B">
        <w:rPr>
          <w:b/>
          <w:sz w:val="24"/>
          <w:szCs w:val="24"/>
          <w:lang w:val="en-US"/>
        </w:rPr>
        <w:t xml:space="preserve"> </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10405581" w14:textId="5B31668A" w:rsidR="00E12A6E" w:rsidRDefault="009A08C3" w:rsidP="00980D5B">
      <w:pPr>
        <w:ind w:firstLine="709"/>
        <w:jc w:val="both"/>
        <w:rPr>
          <w:sz w:val="24"/>
          <w:szCs w:val="24"/>
        </w:rPr>
      </w:pPr>
      <w:r>
        <w:rPr>
          <w:sz w:val="24"/>
          <w:szCs w:val="24"/>
        </w:rPr>
        <w:t>Šiuo sprendimo projektu</w:t>
      </w:r>
      <w:r w:rsidRPr="009A08C3">
        <w:rPr>
          <w:sz w:val="24"/>
          <w:szCs w:val="24"/>
        </w:rPr>
        <w:t xml:space="preserve"> siūloma pakeisti </w:t>
      </w:r>
      <w:r>
        <w:rPr>
          <w:sz w:val="24"/>
          <w:szCs w:val="24"/>
        </w:rPr>
        <w:t>Klaipėdos</w:t>
      </w:r>
      <w:r w:rsidR="00211B68">
        <w:rPr>
          <w:sz w:val="24"/>
          <w:szCs w:val="24"/>
        </w:rPr>
        <w:t xml:space="preserve"> kultūrų komunikacijų </w:t>
      </w:r>
      <w:r w:rsidR="00506582">
        <w:rPr>
          <w:sz w:val="24"/>
          <w:szCs w:val="24"/>
        </w:rPr>
        <w:t xml:space="preserve">centro </w:t>
      </w:r>
      <w:r>
        <w:rPr>
          <w:sz w:val="24"/>
          <w:szCs w:val="24"/>
        </w:rPr>
        <w:t xml:space="preserve"> (toliau –</w:t>
      </w:r>
      <w:r w:rsidR="00211B68">
        <w:rPr>
          <w:sz w:val="24"/>
          <w:szCs w:val="24"/>
        </w:rPr>
        <w:t xml:space="preserve"> KKKC</w:t>
      </w:r>
      <w:r>
        <w:rPr>
          <w:sz w:val="24"/>
          <w:szCs w:val="24"/>
        </w:rPr>
        <w:t>)</w:t>
      </w:r>
      <w:r w:rsidRPr="009A08C3">
        <w:rPr>
          <w:sz w:val="24"/>
          <w:szCs w:val="24"/>
        </w:rPr>
        <w:t xml:space="preserve"> nuostatus</w:t>
      </w:r>
      <w:r w:rsidR="0042619E">
        <w:rPr>
          <w:sz w:val="24"/>
          <w:szCs w:val="24"/>
        </w:rPr>
        <w:t xml:space="preserve"> (toliau – Nuostatai)</w:t>
      </w:r>
      <w:r w:rsidR="005F0566">
        <w:rPr>
          <w:sz w:val="24"/>
          <w:szCs w:val="24"/>
        </w:rPr>
        <w:t xml:space="preserve"> suderinant juos su naujomis Lietuvos Respublikos vietos savivaldos įstatymo nuostatomis ir iš </w:t>
      </w:r>
      <w:r w:rsidRPr="009A08C3">
        <w:rPr>
          <w:sz w:val="24"/>
          <w:szCs w:val="24"/>
        </w:rPr>
        <w:t>naujo suredaguojant.</w:t>
      </w:r>
    </w:p>
    <w:p w14:paraId="2EE19A1A" w14:textId="77777777" w:rsidR="009A08C3" w:rsidRPr="00980D5B" w:rsidRDefault="009A08C3"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43BD440" w14:textId="228445EE" w:rsidR="00DD5E64" w:rsidRPr="00D559BD" w:rsidRDefault="009A08C3" w:rsidP="00980D5B">
      <w:pPr>
        <w:ind w:firstLine="709"/>
        <w:jc w:val="both"/>
        <w:rPr>
          <w:sz w:val="24"/>
          <w:szCs w:val="24"/>
        </w:rPr>
      </w:pPr>
      <w:r>
        <w:rPr>
          <w:sz w:val="24"/>
          <w:szCs w:val="24"/>
        </w:rPr>
        <w:t>Šis sprendimo projektas parengtas vadovaujantis Lietuvos Respublikos vietos savivaldos įstatymo</w:t>
      </w:r>
      <w:r w:rsidR="0042619E">
        <w:rPr>
          <w:sz w:val="24"/>
          <w:szCs w:val="24"/>
        </w:rPr>
        <w:t xml:space="preserve"> (toliau – VSĮ)</w:t>
      </w:r>
      <w:r w:rsidR="0023060F">
        <w:rPr>
          <w:sz w:val="24"/>
          <w:szCs w:val="24"/>
        </w:rPr>
        <w:t xml:space="preserve"> </w:t>
      </w:r>
      <w:r w:rsidR="0023060F" w:rsidRPr="0023060F">
        <w:rPr>
          <w:sz w:val="24"/>
          <w:szCs w:val="24"/>
        </w:rPr>
        <w:t>15 straipsnio 2 dalies 9 punktu</w:t>
      </w:r>
      <w:r w:rsidR="0023060F">
        <w:rPr>
          <w:sz w:val="24"/>
          <w:szCs w:val="24"/>
        </w:rPr>
        <w:t xml:space="preserve">: </w:t>
      </w:r>
      <w:r>
        <w:rPr>
          <w:sz w:val="24"/>
          <w:szCs w:val="24"/>
        </w:rPr>
        <w:t xml:space="preserve"> </w:t>
      </w:r>
      <w:r w:rsidR="0023060F">
        <w:rPr>
          <w:sz w:val="24"/>
          <w:szCs w:val="24"/>
        </w:rPr>
        <w:t>„</w:t>
      </w:r>
      <w:r w:rsidR="0023060F" w:rsidRPr="0023060F">
        <w:rPr>
          <w:i/>
          <w:sz w:val="24"/>
          <w:szCs w:val="24"/>
        </w:rPr>
        <w:t>1. Savivaldybės tarybos kompetencija yra išimtinė ir paprastoji. &lt;...&gt; 9) savivaldybės biudžetinių įstaigų struktūros, nuostatų ir darbo užmokesčio fondo tvirtinimas, didžiausio leistino valstybės tarnautojų ir darbuotojų, dirbančių pagal darbo sutartis, pareigybių skaičiaus savivaldybės biudžetinėse įstaigose nustatymas mero teikimu;</w:t>
      </w:r>
      <w:r w:rsidR="0023060F">
        <w:rPr>
          <w:sz w:val="24"/>
          <w:szCs w:val="24"/>
        </w:rPr>
        <w:t>“,</w:t>
      </w:r>
      <w:r w:rsidR="00D559BD">
        <w:rPr>
          <w:sz w:val="24"/>
          <w:szCs w:val="24"/>
        </w:rPr>
        <w:t xml:space="preserve"> Lietuvos Respublikos biudžetinių įstaigų įstatymo 6 straipsnio 5 dalimi: „</w:t>
      </w:r>
      <w:r w:rsidR="00D559BD" w:rsidRPr="00D559BD">
        <w:rPr>
          <w:i/>
          <w:sz w:val="24"/>
          <w:szCs w:val="24"/>
        </w:rPr>
        <w:t xml:space="preserve">6 straipsnis. Biudžetinės įstaigos nuostatai &lt;...&gt; </w:t>
      </w:r>
      <w:r w:rsidR="0023060F" w:rsidRPr="00D559BD">
        <w:rPr>
          <w:i/>
          <w:sz w:val="24"/>
          <w:szCs w:val="24"/>
        </w:rPr>
        <w:t xml:space="preserve"> </w:t>
      </w:r>
      <w:r w:rsidR="00D559BD" w:rsidRPr="00D559BD">
        <w:rPr>
          <w:i/>
          <w:sz w:val="24"/>
          <w:szCs w:val="24"/>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r w:rsidR="00211B68">
        <w:rPr>
          <w:i/>
          <w:sz w:val="24"/>
          <w:szCs w:val="24"/>
        </w:rPr>
        <w:t>.</w:t>
      </w:r>
      <w:r w:rsidR="0023060F" w:rsidRPr="0023060F">
        <w:rPr>
          <w:i/>
          <w:sz w:val="24"/>
          <w:szCs w:val="24"/>
        </w:rPr>
        <w:t xml:space="preserve"> </w:t>
      </w:r>
    </w:p>
    <w:p w14:paraId="664A7503" w14:textId="77777777" w:rsidR="00E12A6E" w:rsidRPr="00980D5B" w:rsidRDefault="00E12A6E" w:rsidP="00980D5B">
      <w:pPr>
        <w:ind w:firstLine="709"/>
        <w:jc w:val="both"/>
        <w:rPr>
          <w:sz w:val="24"/>
          <w:szCs w:val="24"/>
          <w:lang w:val="en-US"/>
        </w:rPr>
      </w:pPr>
    </w:p>
    <w:p w14:paraId="5177E528" w14:textId="22E44FE1" w:rsidR="00E25500"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403FC34E" w14:textId="533A9477" w:rsidR="00861FD9" w:rsidRDefault="00954A32" w:rsidP="00980D5B">
      <w:pPr>
        <w:ind w:firstLine="709"/>
        <w:jc w:val="both"/>
        <w:rPr>
          <w:bCs/>
          <w:sz w:val="24"/>
          <w:szCs w:val="24"/>
        </w:rPr>
      </w:pPr>
      <w:r>
        <w:rPr>
          <w:bCs/>
          <w:sz w:val="24"/>
          <w:szCs w:val="24"/>
        </w:rPr>
        <w:t>1 Nuos</w:t>
      </w:r>
      <w:r w:rsidR="00861FD9">
        <w:rPr>
          <w:bCs/>
          <w:sz w:val="24"/>
          <w:szCs w:val="24"/>
        </w:rPr>
        <w:t>tatų</w:t>
      </w:r>
      <w:r>
        <w:rPr>
          <w:bCs/>
          <w:sz w:val="24"/>
          <w:szCs w:val="24"/>
        </w:rPr>
        <w:t xml:space="preserve"> punkte si</w:t>
      </w:r>
      <w:r w:rsidR="00861FD9">
        <w:rPr>
          <w:bCs/>
          <w:sz w:val="24"/>
          <w:szCs w:val="24"/>
        </w:rPr>
        <w:t>ū</w:t>
      </w:r>
      <w:r>
        <w:rPr>
          <w:bCs/>
          <w:sz w:val="24"/>
          <w:szCs w:val="24"/>
        </w:rPr>
        <w:t xml:space="preserve">loma patikslinti, kad KKKC – </w:t>
      </w:r>
      <w:r w:rsidR="00AA0F8D" w:rsidRPr="00AA0F8D">
        <w:rPr>
          <w:bCs/>
          <w:sz w:val="24"/>
          <w:szCs w:val="24"/>
        </w:rPr>
        <w:t>savivaldybės biudžetinė įstaiga, meno centras, kurio paskirtis – inicijuoti ir rengti šiuolaikinio meno parodas ir projektus, ska</w:t>
      </w:r>
      <w:r w:rsidR="00AA0F8D">
        <w:rPr>
          <w:bCs/>
          <w:sz w:val="24"/>
          <w:szCs w:val="24"/>
        </w:rPr>
        <w:t>tinti šiuolaikinio meno sklaidą</w:t>
      </w:r>
      <w:r w:rsidR="00861FD9">
        <w:rPr>
          <w:bCs/>
          <w:sz w:val="24"/>
          <w:szCs w:val="24"/>
        </w:rPr>
        <w:t>, 6 punkte siūloma atsisakyti, kad KKKC veikla grindžiama Lietuvos Respublikos kultūros centrų įstatymu, kadangi įstaiga neatlieka kultūros centrų funkcijų, orientuojasi į vizualųjį, šiuolaikinį meną bei jo sklaidą ir save identifikuoja ne kaip kultūros centrą, o kaip meno centrą.</w:t>
      </w:r>
    </w:p>
    <w:p w14:paraId="18DEA3EC" w14:textId="585D2DCD" w:rsidR="00191162" w:rsidRDefault="00861FD9" w:rsidP="00980D5B">
      <w:pPr>
        <w:ind w:firstLine="709"/>
        <w:jc w:val="both"/>
        <w:rPr>
          <w:bCs/>
          <w:sz w:val="24"/>
          <w:szCs w:val="24"/>
        </w:rPr>
      </w:pPr>
      <w:r>
        <w:rPr>
          <w:bCs/>
          <w:sz w:val="24"/>
          <w:szCs w:val="24"/>
        </w:rPr>
        <w:t xml:space="preserve">Nuostatų 7.1 </w:t>
      </w:r>
      <w:r w:rsidR="00154B21">
        <w:rPr>
          <w:bCs/>
          <w:sz w:val="24"/>
          <w:szCs w:val="24"/>
        </w:rPr>
        <w:t>papunktyje siūloma neapsiriboti dailės sritimi, patikslinti nurodant vai</w:t>
      </w:r>
      <w:r w:rsidR="00802074">
        <w:rPr>
          <w:bCs/>
          <w:sz w:val="24"/>
          <w:szCs w:val="24"/>
        </w:rPr>
        <w:t xml:space="preserve">zduojamąjį ir šiuolaikinį meną, taip pat KKKC funkcijas papildyti funkcija – </w:t>
      </w:r>
      <w:r w:rsidR="00802074" w:rsidRPr="00802074">
        <w:rPr>
          <w:bCs/>
          <w:sz w:val="24"/>
          <w:szCs w:val="24"/>
        </w:rPr>
        <w:t>atlieka kitas teisės aktuose nustatytas funkcijas</w:t>
      </w:r>
      <w:r w:rsidR="00802074">
        <w:rPr>
          <w:bCs/>
          <w:sz w:val="24"/>
          <w:szCs w:val="24"/>
        </w:rPr>
        <w:t xml:space="preserve"> (Nuostatų 8.12 papunktis)</w:t>
      </w:r>
      <w:r w:rsidR="00802074" w:rsidRPr="00802074">
        <w:rPr>
          <w:bCs/>
          <w:sz w:val="24"/>
          <w:szCs w:val="24"/>
        </w:rPr>
        <w:t xml:space="preserve">.  </w:t>
      </w:r>
    </w:p>
    <w:p w14:paraId="09B2E5B2" w14:textId="5BB5D822" w:rsidR="00802074" w:rsidRDefault="00802074" w:rsidP="00980D5B">
      <w:pPr>
        <w:ind w:firstLine="709"/>
        <w:jc w:val="both"/>
        <w:rPr>
          <w:bCs/>
          <w:sz w:val="24"/>
          <w:szCs w:val="24"/>
        </w:rPr>
      </w:pPr>
      <w:r w:rsidRPr="00802074">
        <w:rPr>
          <w:bCs/>
          <w:sz w:val="24"/>
          <w:szCs w:val="24"/>
        </w:rPr>
        <w:t>Remiantis VSĮ 27 straipsnio 2 dalies 6 punktu, papildytos Savivaldybės tarybos funkcijos (darbo užmokesčio fondo tvirtinimas ir didžiausio leistino valstybės tarnautojų ir darbuotojų, dirbančių pagal darbo sutartis, pareigybių skaičiaus tvirtinimas, Nuostatų 1</w:t>
      </w:r>
      <w:r>
        <w:rPr>
          <w:bCs/>
          <w:sz w:val="24"/>
          <w:szCs w:val="24"/>
        </w:rPr>
        <w:t>0.1</w:t>
      </w:r>
      <w:r w:rsidRPr="00802074">
        <w:rPr>
          <w:bCs/>
          <w:sz w:val="24"/>
          <w:szCs w:val="24"/>
        </w:rPr>
        <w:t xml:space="preserve"> papunktis).</w:t>
      </w:r>
    </w:p>
    <w:p w14:paraId="6A317BF2" w14:textId="2A0E985B" w:rsidR="00802074" w:rsidRDefault="00802074" w:rsidP="00980D5B">
      <w:pPr>
        <w:ind w:firstLine="709"/>
        <w:jc w:val="both"/>
        <w:rPr>
          <w:bCs/>
          <w:sz w:val="24"/>
          <w:szCs w:val="24"/>
        </w:rPr>
      </w:pPr>
      <w:r>
        <w:rPr>
          <w:bCs/>
          <w:sz w:val="24"/>
          <w:szCs w:val="24"/>
        </w:rPr>
        <w:t xml:space="preserve">Atsižvelgiant į Lietuvos Respublikos labdaros ir paramos įstatymo 7 straipsnio 1 dalies 2 punktą, </w:t>
      </w:r>
      <w:r w:rsidR="00372C9A">
        <w:rPr>
          <w:bCs/>
          <w:sz w:val="24"/>
          <w:szCs w:val="24"/>
        </w:rPr>
        <w:t xml:space="preserve">siūloma KKKC lėšų šaltinius papildyti paramos lėšomis (Nuostatų 28.5 papunktis). </w:t>
      </w:r>
    </w:p>
    <w:p w14:paraId="1348A293" w14:textId="77777777" w:rsidR="00AB3DD1" w:rsidRPr="00211B68" w:rsidRDefault="00AB3DD1" w:rsidP="00980D5B">
      <w:pPr>
        <w:ind w:firstLine="709"/>
        <w:jc w:val="both"/>
        <w:rPr>
          <w:sz w:val="24"/>
          <w:szCs w:val="24"/>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6285DC43" w14:textId="2D3C68AC" w:rsidR="00DD5E64" w:rsidRPr="00980D5B" w:rsidRDefault="0023060F" w:rsidP="00980D5B">
      <w:pPr>
        <w:ind w:firstLine="709"/>
        <w:jc w:val="both"/>
        <w:rPr>
          <w:bCs/>
          <w:sz w:val="24"/>
          <w:szCs w:val="24"/>
        </w:rPr>
      </w:pPr>
      <w:r>
        <w:rPr>
          <w:bCs/>
          <w:sz w:val="24"/>
          <w:szCs w:val="24"/>
        </w:rPr>
        <w:t xml:space="preserve">Neigiamas poveikis nenumatomas. Pritarus šiam sprendimo projektui </w:t>
      </w:r>
      <w:r w:rsidR="005F0566">
        <w:rPr>
          <w:bCs/>
          <w:sz w:val="24"/>
          <w:szCs w:val="24"/>
        </w:rPr>
        <w:t>KKKC</w:t>
      </w:r>
      <w:r w:rsidR="00BA1C32">
        <w:rPr>
          <w:bCs/>
          <w:sz w:val="24"/>
          <w:szCs w:val="24"/>
        </w:rPr>
        <w:t xml:space="preserve"> </w:t>
      </w:r>
      <w:r>
        <w:rPr>
          <w:bCs/>
          <w:sz w:val="24"/>
          <w:szCs w:val="24"/>
        </w:rPr>
        <w:t>nuostatai bus suder</w:t>
      </w:r>
      <w:r w:rsidR="00B50C26">
        <w:rPr>
          <w:bCs/>
          <w:sz w:val="24"/>
          <w:szCs w:val="24"/>
        </w:rPr>
        <w:t>inti su šiuo metu galiojančiais įstatymais</w:t>
      </w:r>
      <w:r>
        <w:rPr>
          <w:bCs/>
          <w:sz w:val="24"/>
          <w:szCs w:val="24"/>
        </w:rPr>
        <w:t xml:space="preserve">. </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3D4272EF" w:rsidR="00824E3D" w:rsidRPr="00980D5B" w:rsidRDefault="00FA4392" w:rsidP="00980D5B">
      <w:pPr>
        <w:ind w:firstLine="709"/>
        <w:jc w:val="both"/>
        <w:rPr>
          <w:bCs/>
          <w:sz w:val="24"/>
          <w:szCs w:val="24"/>
        </w:rPr>
      </w:pPr>
      <w:r>
        <w:rPr>
          <w:bCs/>
          <w:sz w:val="24"/>
          <w:szCs w:val="24"/>
        </w:rPr>
        <w:t xml:space="preserve">Pritarus sprendimo projektui reikalinga atnaujinti </w:t>
      </w:r>
      <w:r w:rsidR="005F0566">
        <w:rPr>
          <w:bCs/>
          <w:sz w:val="24"/>
          <w:szCs w:val="24"/>
        </w:rPr>
        <w:t>KKKC</w:t>
      </w:r>
      <w:r w:rsidR="00BA1C32">
        <w:rPr>
          <w:bCs/>
          <w:sz w:val="24"/>
          <w:szCs w:val="24"/>
        </w:rPr>
        <w:t xml:space="preserve"> </w:t>
      </w:r>
      <w:r>
        <w:rPr>
          <w:bCs/>
          <w:sz w:val="24"/>
          <w:szCs w:val="24"/>
        </w:rPr>
        <w:t xml:space="preserve">didžiausią leistiną pareigybių skaičių. Dokumentus ruošia Planavimo ir analizės skyrius. </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lastRenderedPageBreak/>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2ADB82A0" w:rsidR="00824E3D" w:rsidRPr="00980D5B" w:rsidRDefault="00D45B6D" w:rsidP="00980D5B">
      <w:pPr>
        <w:ind w:firstLine="709"/>
        <w:jc w:val="both"/>
        <w:rPr>
          <w:bCs/>
          <w:sz w:val="24"/>
          <w:szCs w:val="24"/>
        </w:rPr>
      </w:pPr>
      <w:r>
        <w:rPr>
          <w:bCs/>
          <w:sz w:val="24"/>
          <w:szCs w:val="24"/>
        </w:rPr>
        <w:t>Biudžeto lėšų poreikio nėra.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7EAB2D83" w:rsidR="00DD5E64" w:rsidRPr="00980D5B" w:rsidRDefault="00D45B6D" w:rsidP="00980D5B">
      <w:pPr>
        <w:ind w:firstLine="709"/>
        <w:jc w:val="both"/>
        <w:rPr>
          <w:sz w:val="24"/>
          <w:szCs w:val="24"/>
          <w:lang w:val="en-US"/>
        </w:rPr>
      </w:pPr>
      <w:r>
        <w:rPr>
          <w:bCs/>
          <w:sz w:val="24"/>
          <w:szCs w:val="24"/>
        </w:rPr>
        <w:t xml:space="preserve">Išvadų negauta. </w:t>
      </w:r>
    </w:p>
    <w:p w14:paraId="2FE3C013" w14:textId="77777777" w:rsidR="00980D5B" w:rsidRDefault="00980D5B" w:rsidP="00980D5B">
      <w:pPr>
        <w:ind w:firstLine="709"/>
        <w:jc w:val="both"/>
        <w:rPr>
          <w:b/>
          <w:bCs/>
          <w:sz w:val="24"/>
          <w:szCs w:val="24"/>
        </w:rPr>
      </w:pPr>
    </w:p>
    <w:p w14:paraId="4F4C7211" w14:textId="7C47B5FF"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61E0134" w14:textId="081C3F5F" w:rsidR="00D45B6D" w:rsidRPr="00D45B6D" w:rsidRDefault="00D45B6D" w:rsidP="00980D5B">
      <w:pPr>
        <w:ind w:firstLine="709"/>
        <w:jc w:val="both"/>
        <w:rPr>
          <w:sz w:val="24"/>
          <w:szCs w:val="24"/>
        </w:rPr>
      </w:pPr>
      <w:r w:rsidRPr="00D45B6D">
        <w:rPr>
          <w:bCs/>
          <w:sz w:val="24"/>
          <w:szCs w:val="24"/>
        </w:rPr>
        <w:t xml:space="preserve">Nėra. </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27719BF0" w:rsidR="00DD5E64" w:rsidRPr="00980D5B" w:rsidRDefault="00D45B6D" w:rsidP="008513D8">
      <w:pPr>
        <w:ind w:right="-82" w:firstLine="709"/>
        <w:jc w:val="both"/>
        <w:rPr>
          <w:sz w:val="24"/>
          <w:szCs w:val="24"/>
        </w:rPr>
      </w:pPr>
      <w:r>
        <w:rPr>
          <w:sz w:val="24"/>
          <w:szCs w:val="24"/>
        </w:rPr>
        <w:t xml:space="preserve">1. </w:t>
      </w:r>
      <w:r w:rsidR="005F0566">
        <w:rPr>
          <w:sz w:val="24"/>
          <w:szCs w:val="24"/>
        </w:rPr>
        <w:t>Klaipėdos kultūrų komunikacijų nuostatai,</w:t>
      </w:r>
      <w:r w:rsidR="00FC787F">
        <w:rPr>
          <w:sz w:val="24"/>
          <w:szCs w:val="24"/>
        </w:rPr>
        <w:t xml:space="preserve"> patvirtint</w:t>
      </w:r>
      <w:r w:rsidR="005F0566">
        <w:rPr>
          <w:sz w:val="24"/>
          <w:szCs w:val="24"/>
        </w:rPr>
        <w:t>i 2020 m. sausio 30 d. sprendimu</w:t>
      </w:r>
      <w:r w:rsidR="00FC787F">
        <w:rPr>
          <w:sz w:val="24"/>
          <w:szCs w:val="24"/>
        </w:rPr>
        <w:t xml:space="preserve"> Nr. T2-22 „Dėl K</w:t>
      </w:r>
      <w:r w:rsidR="00FC787F" w:rsidRPr="00FC787F">
        <w:rPr>
          <w:sz w:val="24"/>
          <w:szCs w:val="24"/>
        </w:rPr>
        <w:t>laipėdos miesto savivaldybės biudžetinių kultūros įstaigų nuostatų patvirtinimo</w:t>
      </w:r>
      <w:r w:rsidR="00FC787F">
        <w:rPr>
          <w:sz w:val="24"/>
          <w:szCs w:val="24"/>
        </w:rPr>
        <w:t>“</w:t>
      </w:r>
      <w:r>
        <w:rPr>
          <w:sz w:val="24"/>
          <w:szCs w:val="24"/>
        </w:rPr>
        <w:t xml:space="preserve">, </w:t>
      </w:r>
      <w:r w:rsidR="00FC787F">
        <w:rPr>
          <w:sz w:val="24"/>
          <w:szCs w:val="24"/>
        </w:rPr>
        <w:t xml:space="preserve">5 </w:t>
      </w:r>
      <w:r>
        <w:rPr>
          <w:sz w:val="24"/>
          <w:szCs w:val="24"/>
        </w:rPr>
        <w:t>lapai</w:t>
      </w:r>
      <w:r w:rsidR="00F22F47" w:rsidRPr="00980D5B">
        <w:rPr>
          <w:sz w:val="24"/>
          <w:szCs w:val="24"/>
        </w:rPr>
        <w:t>;</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6"/>
        <w:gridCol w:w="2762"/>
        <w:gridCol w:w="2804"/>
      </w:tblGrid>
      <w:tr w:rsidR="00980D5B" w:rsidRPr="00C267F5" w14:paraId="4D78E1BD" w14:textId="77777777" w:rsidTr="00C267F5">
        <w:tc>
          <w:tcPr>
            <w:tcW w:w="4503" w:type="dxa"/>
            <w:tcBorders>
              <w:bottom w:val="single" w:sz="4" w:space="0" w:color="auto"/>
            </w:tcBorders>
            <w:shd w:val="clear" w:color="auto" w:fill="auto"/>
          </w:tcPr>
          <w:p w14:paraId="1081CE0D" w14:textId="54C69484" w:rsidR="00980D5B" w:rsidRPr="00C267F5" w:rsidRDefault="00D45B6D" w:rsidP="00C267F5">
            <w:pPr>
              <w:ind w:right="-82"/>
              <w:rPr>
                <w:sz w:val="24"/>
                <w:szCs w:val="24"/>
              </w:rPr>
            </w:pPr>
            <w:r>
              <w:rPr>
                <w:sz w:val="24"/>
                <w:szCs w:val="24"/>
              </w:rPr>
              <w:t>Kultūros skyriaus vedėja</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00FECD6B" w:rsidR="00980D5B" w:rsidRPr="00C267F5" w:rsidRDefault="00D45B6D" w:rsidP="00C267F5">
            <w:pPr>
              <w:ind w:right="-82"/>
              <w:rPr>
                <w:sz w:val="24"/>
                <w:szCs w:val="24"/>
              </w:rPr>
            </w:pPr>
            <w:r>
              <w:rPr>
                <w:sz w:val="24"/>
                <w:szCs w:val="24"/>
              </w:rPr>
              <w:t>Eglė Deltuvaitė</w:t>
            </w: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082C95">
            <w:pPr>
              <w:ind w:right="-82"/>
              <w:jc w:val="center"/>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082C95">
            <w:pPr>
              <w:ind w:right="-82"/>
              <w:jc w:val="center"/>
              <w:rPr>
                <w:sz w:val="24"/>
                <w:szCs w:val="24"/>
              </w:rPr>
            </w:pPr>
            <w:r w:rsidRPr="00C267F5">
              <w:rPr>
                <w:i/>
                <w:iCs/>
              </w:rPr>
              <w:t>(Vardas ir pavardė)</w:t>
            </w:r>
          </w:p>
        </w:tc>
      </w:tr>
    </w:tbl>
    <w:p w14:paraId="4E46895E" w14:textId="4A1B2A1B" w:rsidR="00E358FB" w:rsidRDefault="00E358FB" w:rsidP="00980D5B">
      <w:pPr>
        <w:ind w:right="-82"/>
        <w:rPr>
          <w:i/>
          <w:iCs/>
        </w:rPr>
      </w:pPr>
    </w:p>
    <w:p w14:paraId="0F2B3C68" w14:textId="08B9249F" w:rsidR="00D45B6D" w:rsidRDefault="00D45B6D" w:rsidP="00980D5B">
      <w:pPr>
        <w:ind w:right="-82"/>
        <w:rPr>
          <w:i/>
          <w:iCs/>
        </w:rPr>
      </w:pPr>
    </w:p>
    <w:p w14:paraId="41BE9C23" w14:textId="4878C348" w:rsidR="00D45B6D" w:rsidRDefault="00D45B6D" w:rsidP="00980D5B">
      <w:pPr>
        <w:ind w:right="-82"/>
        <w:rPr>
          <w:i/>
          <w:iCs/>
        </w:rPr>
      </w:pPr>
    </w:p>
    <w:p w14:paraId="5BE86F74" w14:textId="7F08AE39" w:rsidR="00D45B6D" w:rsidRDefault="00D45B6D" w:rsidP="00980D5B">
      <w:pPr>
        <w:ind w:right="-82"/>
        <w:rPr>
          <w:i/>
          <w:iCs/>
        </w:rPr>
      </w:pPr>
    </w:p>
    <w:p w14:paraId="0B10AEEE" w14:textId="1A139B6F" w:rsidR="00D45B6D" w:rsidRDefault="00D45B6D" w:rsidP="00980D5B">
      <w:pPr>
        <w:ind w:right="-82"/>
        <w:rPr>
          <w:i/>
          <w:iCs/>
        </w:rPr>
      </w:pPr>
    </w:p>
    <w:p w14:paraId="7D3EA2EC" w14:textId="4486CDD4" w:rsidR="00D45B6D" w:rsidRDefault="00D45B6D" w:rsidP="00980D5B">
      <w:pPr>
        <w:ind w:right="-82"/>
        <w:rPr>
          <w:i/>
          <w:iCs/>
        </w:rPr>
      </w:pPr>
    </w:p>
    <w:p w14:paraId="781CEC26" w14:textId="089C53B6" w:rsidR="00D45B6D" w:rsidRDefault="00D45B6D" w:rsidP="00980D5B">
      <w:pPr>
        <w:ind w:right="-82"/>
        <w:rPr>
          <w:i/>
          <w:iCs/>
        </w:rPr>
      </w:pPr>
    </w:p>
    <w:p w14:paraId="704421CA" w14:textId="00D136D3" w:rsidR="00D45B6D" w:rsidRDefault="00D45B6D" w:rsidP="00980D5B">
      <w:pPr>
        <w:ind w:right="-82"/>
        <w:rPr>
          <w:i/>
          <w:iCs/>
        </w:rPr>
      </w:pPr>
    </w:p>
    <w:p w14:paraId="7530FA9D" w14:textId="137912A6" w:rsidR="00D45B6D" w:rsidRDefault="00D45B6D" w:rsidP="00980D5B">
      <w:pPr>
        <w:ind w:right="-82"/>
        <w:rPr>
          <w:i/>
          <w:iCs/>
        </w:rPr>
      </w:pPr>
    </w:p>
    <w:p w14:paraId="26CD1910" w14:textId="25473B7A" w:rsidR="003355BE" w:rsidRDefault="003355BE" w:rsidP="00980D5B">
      <w:pPr>
        <w:ind w:right="-82"/>
        <w:rPr>
          <w:i/>
          <w:iCs/>
        </w:rPr>
      </w:pPr>
    </w:p>
    <w:p w14:paraId="38C187CB" w14:textId="738353BB" w:rsidR="003355BE" w:rsidRDefault="003355BE" w:rsidP="00980D5B">
      <w:pPr>
        <w:ind w:right="-82"/>
        <w:rPr>
          <w:i/>
          <w:iCs/>
        </w:rPr>
      </w:pPr>
    </w:p>
    <w:p w14:paraId="103016BC" w14:textId="1FE4F00F" w:rsidR="003355BE" w:rsidRDefault="003355BE" w:rsidP="00980D5B">
      <w:pPr>
        <w:ind w:right="-82"/>
        <w:rPr>
          <w:i/>
          <w:iCs/>
        </w:rPr>
      </w:pPr>
    </w:p>
    <w:p w14:paraId="2CDA270C" w14:textId="4818C8A8" w:rsidR="003355BE" w:rsidRDefault="003355BE" w:rsidP="00980D5B">
      <w:pPr>
        <w:ind w:right="-82"/>
        <w:rPr>
          <w:i/>
          <w:iCs/>
        </w:rPr>
      </w:pPr>
    </w:p>
    <w:p w14:paraId="79D6B1F0" w14:textId="3C754D62" w:rsidR="003355BE" w:rsidRDefault="003355BE" w:rsidP="00980D5B">
      <w:pPr>
        <w:ind w:right="-82"/>
        <w:rPr>
          <w:i/>
          <w:iCs/>
        </w:rPr>
      </w:pPr>
    </w:p>
    <w:p w14:paraId="7B26728D" w14:textId="0D059625" w:rsidR="003355BE" w:rsidRDefault="003355BE" w:rsidP="00980D5B">
      <w:pPr>
        <w:ind w:right="-82"/>
        <w:rPr>
          <w:i/>
          <w:iCs/>
        </w:rPr>
      </w:pPr>
    </w:p>
    <w:p w14:paraId="2A5DB3ED" w14:textId="67CC648F" w:rsidR="003355BE" w:rsidRDefault="003355BE" w:rsidP="00980D5B">
      <w:pPr>
        <w:ind w:right="-82"/>
        <w:rPr>
          <w:i/>
          <w:iCs/>
        </w:rPr>
      </w:pPr>
    </w:p>
    <w:p w14:paraId="273ABD82" w14:textId="1384EBDC" w:rsidR="003355BE" w:rsidRDefault="003355BE" w:rsidP="00980D5B">
      <w:pPr>
        <w:ind w:right="-82"/>
        <w:rPr>
          <w:i/>
          <w:iCs/>
        </w:rPr>
      </w:pPr>
    </w:p>
    <w:p w14:paraId="6D592345" w14:textId="0FAB11CB" w:rsidR="003355BE" w:rsidRDefault="003355BE" w:rsidP="00980D5B">
      <w:pPr>
        <w:ind w:right="-82"/>
        <w:rPr>
          <w:i/>
          <w:iCs/>
        </w:rPr>
      </w:pPr>
    </w:p>
    <w:p w14:paraId="30D658D0" w14:textId="2A19E2A7" w:rsidR="003355BE" w:rsidRDefault="003355BE" w:rsidP="00980D5B">
      <w:pPr>
        <w:ind w:right="-82"/>
        <w:rPr>
          <w:i/>
          <w:iCs/>
        </w:rPr>
      </w:pPr>
    </w:p>
    <w:p w14:paraId="3E18F842" w14:textId="5EF8E2C7" w:rsidR="003355BE" w:rsidRDefault="003355BE" w:rsidP="00980D5B">
      <w:pPr>
        <w:ind w:right="-82"/>
        <w:rPr>
          <w:i/>
          <w:iCs/>
        </w:rPr>
      </w:pPr>
    </w:p>
    <w:p w14:paraId="0D20CE3A" w14:textId="3E944A0E" w:rsidR="003355BE" w:rsidRDefault="003355BE" w:rsidP="00980D5B">
      <w:pPr>
        <w:ind w:right="-82"/>
        <w:rPr>
          <w:i/>
          <w:iCs/>
        </w:rPr>
      </w:pPr>
    </w:p>
    <w:p w14:paraId="59E9E3C2" w14:textId="7CD38029" w:rsidR="003355BE" w:rsidRDefault="003355BE" w:rsidP="00980D5B">
      <w:pPr>
        <w:ind w:right="-82"/>
        <w:rPr>
          <w:i/>
          <w:iCs/>
        </w:rPr>
      </w:pPr>
    </w:p>
    <w:p w14:paraId="58E89A4E" w14:textId="6E749473" w:rsidR="003355BE" w:rsidRDefault="003355BE" w:rsidP="00980D5B">
      <w:pPr>
        <w:ind w:right="-82"/>
        <w:rPr>
          <w:i/>
          <w:iCs/>
        </w:rPr>
      </w:pPr>
    </w:p>
    <w:p w14:paraId="096FF21F" w14:textId="26A849EF" w:rsidR="003355BE" w:rsidRDefault="003355BE" w:rsidP="00980D5B">
      <w:pPr>
        <w:ind w:right="-82"/>
        <w:rPr>
          <w:i/>
          <w:iCs/>
        </w:rPr>
      </w:pPr>
    </w:p>
    <w:p w14:paraId="212911EB" w14:textId="3FA131C6" w:rsidR="003355BE" w:rsidRDefault="003355BE" w:rsidP="00980D5B">
      <w:pPr>
        <w:ind w:right="-82"/>
        <w:rPr>
          <w:i/>
          <w:iCs/>
        </w:rPr>
      </w:pPr>
    </w:p>
    <w:p w14:paraId="25FF44C2" w14:textId="4CFD996C" w:rsidR="003355BE" w:rsidRDefault="003355BE" w:rsidP="00980D5B">
      <w:pPr>
        <w:ind w:right="-82"/>
        <w:rPr>
          <w:i/>
          <w:iCs/>
        </w:rPr>
      </w:pPr>
    </w:p>
    <w:p w14:paraId="37F3A0FF" w14:textId="15414838" w:rsidR="003355BE" w:rsidRDefault="003355BE" w:rsidP="00980D5B">
      <w:pPr>
        <w:ind w:right="-82"/>
        <w:rPr>
          <w:i/>
          <w:iCs/>
        </w:rPr>
      </w:pPr>
    </w:p>
    <w:p w14:paraId="047C5AB9" w14:textId="31B11E89" w:rsidR="00372C9A" w:rsidRDefault="00372C9A" w:rsidP="00980D5B">
      <w:pPr>
        <w:ind w:right="-82"/>
        <w:rPr>
          <w:i/>
          <w:iCs/>
        </w:rPr>
      </w:pPr>
    </w:p>
    <w:p w14:paraId="72ED3180" w14:textId="10910380" w:rsidR="00372C9A" w:rsidRDefault="00372C9A" w:rsidP="00980D5B">
      <w:pPr>
        <w:ind w:right="-82"/>
        <w:rPr>
          <w:i/>
          <w:iCs/>
        </w:rPr>
      </w:pPr>
    </w:p>
    <w:p w14:paraId="263FECB0" w14:textId="7D67F5B3" w:rsidR="00372C9A" w:rsidRDefault="00372C9A" w:rsidP="00980D5B">
      <w:pPr>
        <w:ind w:right="-82"/>
        <w:rPr>
          <w:i/>
          <w:iCs/>
        </w:rPr>
      </w:pPr>
    </w:p>
    <w:p w14:paraId="1849C519" w14:textId="611B074D" w:rsidR="00372C9A" w:rsidRDefault="00372C9A" w:rsidP="00980D5B">
      <w:pPr>
        <w:ind w:right="-82"/>
        <w:rPr>
          <w:i/>
          <w:iCs/>
        </w:rPr>
      </w:pPr>
    </w:p>
    <w:p w14:paraId="64F41027" w14:textId="021C99B0" w:rsidR="00372C9A" w:rsidRDefault="00372C9A" w:rsidP="00980D5B">
      <w:pPr>
        <w:ind w:right="-82"/>
        <w:rPr>
          <w:i/>
          <w:iCs/>
        </w:rPr>
      </w:pPr>
    </w:p>
    <w:p w14:paraId="1E40AF89" w14:textId="329ACFE6" w:rsidR="00372C9A" w:rsidRDefault="00372C9A" w:rsidP="00980D5B">
      <w:pPr>
        <w:ind w:right="-82"/>
        <w:rPr>
          <w:i/>
          <w:iCs/>
        </w:rPr>
      </w:pPr>
    </w:p>
    <w:p w14:paraId="78266CB7" w14:textId="7525913A" w:rsidR="00372C9A" w:rsidRDefault="00372C9A" w:rsidP="00980D5B">
      <w:pPr>
        <w:ind w:right="-82"/>
        <w:rPr>
          <w:i/>
          <w:iCs/>
        </w:rPr>
      </w:pPr>
    </w:p>
    <w:p w14:paraId="3D415BE0" w14:textId="0F6E7951" w:rsidR="00372C9A" w:rsidRDefault="00372C9A" w:rsidP="00980D5B">
      <w:pPr>
        <w:ind w:right="-82"/>
        <w:rPr>
          <w:i/>
          <w:iCs/>
        </w:rPr>
      </w:pPr>
    </w:p>
    <w:p w14:paraId="5AAB25E4" w14:textId="77777777" w:rsidR="003355BE" w:rsidRDefault="003355BE" w:rsidP="00980D5B">
      <w:pPr>
        <w:ind w:right="-82"/>
        <w:rPr>
          <w:i/>
          <w:iCs/>
        </w:rPr>
      </w:pPr>
    </w:p>
    <w:p w14:paraId="1578B6BB" w14:textId="73AF4DDA" w:rsidR="00D45B6D" w:rsidRPr="00D45B6D" w:rsidRDefault="00D45B6D" w:rsidP="00980D5B">
      <w:pPr>
        <w:ind w:right="-82"/>
        <w:rPr>
          <w:iCs/>
          <w:sz w:val="24"/>
        </w:rPr>
      </w:pPr>
      <w:r w:rsidRPr="00D45B6D">
        <w:rPr>
          <w:iCs/>
          <w:sz w:val="24"/>
        </w:rPr>
        <w:t>G. Patašiūtė</w:t>
      </w:r>
    </w:p>
    <w:p w14:paraId="274A951D" w14:textId="22B1ACDC" w:rsidR="00D45B6D" w:rsidRPr="00D45B6D" w:rsidRDefault="00BA1C32" w:rsidP="00980D5B">
      <w:pPr>
        <w:ind w:right="-82"/>
        <w:rPr>
          <w:iCs/>
          <w:sz w:val="24"/>
        </w:rPr>
      </w:pPr>
      <w:r>
        <w:rPr>
          <w:iCs/>
          <w:sz w:val="24"/>
        </w:rPr>
        <w:lastRenderedPageBreak/>
        <w:t>2023-06-</w:t>
      </w:r>
      <w:r w:rsidR="00372C9A">
        <w:rPr>
          <w:iCs/>
          <w:sz w:val="24"/>
        </w:rPr>
        <w:t>19</w:t>
      </w:r>
    </w:p>
    <w:sectPr w:rsidR="00D45B6D" w:rsidRPr="00D45B6D"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429F3"/>
    <w:rsid w:val="00045EDA"/>
    <w:rsid w:val="00053499"/>
    <w:rsid w:val="00082C95"/>
    <w:rsid w:val="000B165F"/>
    <w:rsid w:val="001356DF"/>
    <w:rsid w:val="00154B21"/>
    <w:rsid w:val="00191162"/>
    <w:rsid w:val="00195179"/>
    <w:rsid w:val="001B7BC9"/>
    <w:rsid w:val="001F5034"/>
    <w:rsid w:val="00205DCD"/>
    <w:rsid w:val="00211B68"/>
    <w:rsid w:val="0023060F"/>
    <w:rsid w:val="00234497"/>
    <w:rsid w:val="00263407"/>
    <w:rsid w:val="002815CB"/>
    <w:rsid w:val="002A46BC"/>
    <w:rsid w:val="002D2A17"/>
    <w:rsid w:val="003355BE"/>
    <w:rsid w:val="00372C9A"/>
    <w:rsid w:val="00394D94"/>
    <w:rsid w:val="003C0A16"/>
    <w:rsid w:val="0042619E"/>
    <w:rsid w:val="00460B26"/>
    <w:rsid w:val="004656DE"/>
    <w:rsid w:val="00475568"/>
    <w:rsid w:val="004A4DB7"/>
    <w:rsid w:val="004C6A28"/>
    <w:rsid w:val="004E24BA"/>
    <w:rsid w:val="00506582"/>
    <w:rsid w:val="005C0353"/>
    <w:rsid w:val="005F0566"/>
    <w:rsid w:val="00630CED"/>
    <w:rsid w:val="00652CE1"/>
    <w:rsid w:val="00686656"/>
    <w:rsid w:val="006901D1"/>
    <w:rsid w:val="007303F6"/>
    <w:rsid w:val="00767937"/>
    <w:rsid w:val="007A35E9"/>
    <w:rsid w:val="00802074"/>
    <w:rsid w:val="008218DF"/>
    <w:rsid w:val="00824E3D"/>
    <w:rsid w:val="00835296"/>
    <w:rsid w:val="008513D8"/>
    <w:rsid w:val="00861FD9"/>
    <w:rsid w:val="0089676E"/>
    <w:rsid w:val="00897DDA"/>
    <w:rsid w:val="008C4110"/>
    <w:rsid w:val="008F2CDB"/>
    <w:rsid w:val="009051CF"/>
    <w:rsid w:val="0092357B"/>
    <w:rsid w:val="00925A2D"/>
    <w:rsid w:val="00954A32"/>
    <w:rsid w:val="00980D5B"/>
    <w:rsid w:val="009A08C3"/>
    <w:rsid w:val="00A5040A"/>
    <w:rsid w:val="00A62A30"/>
    <w:rsid w:val="00A849CF"/>
    <w:rsid w:val="00AA0F8D"/>
    <w:rsid w:val="00AB3DD1"/>
    <w:rsid w:val="00AC4AB1"/>
    <w:rsid w:val="00AD0031"/>
    <w:rsid w:val="00AD57EC"/>
    <w:rsid w:val="00AF6141"/>
    <w:rsid w:val="00B03754"/>
    <w:rsid w:val="00B50C26"/>
    <w:rsid w:val="00B93E23"/>
    <w:rsid w:val="00BA1C32"/>
    <w:rsid w:val="00BB21D8"/>
    <w:rsid w:val="00BD08AA"/>
    <w:rsid w:val="00BF4F4F"/>
    <w:rsid w:val="00BF7F94"/>
    <w:rsid w:val="00C267F5"/>
    <w:rsid w:val="00C2696B"/>
    <w:rsid w:val="00C55EF5"/>
    <w:rsid w:val="00C91837"/>
    <w:rsid w:val="00CB2E62"/>
    <w:rsid w:val="00CD781A"/>
    <w:rsid w:val="00D323EB"/>
    <w:rsid w:val="00D44548"/>
    <w:rsid w:val="00D45B6D"/>
    <w:rsid w:val="00D559BD"/>
    <w:rsid w:val="00DA2F2C"/>
    <w:rsid w:val="00DA7BD8"/>
    <w:rsid w:val="00DD5E64"/>
    <w:rsid w:val="00E12A6E"/>
    <w:rsid w:val="00E25500"/>
    <w:rsid w:val="00E2635A"/>
    <w:rsid w:val="00E358FB"/>
    <w:rsid w:val="00E63AE2"/>
    <w:rsid w:val="00E77E21"/>
    <w:rsid w:val="00E809DA"/>
    <w:rsid w:val="00E91C06"/>
    <w:rsid w:val="00EA3777"/>
    <w:rsid w:val="00EA5178"/>
    <w:rsid w:val="00F0672B"/>
    <w:rsid w:val="00F22F47"/>
    <w:rsid w:val="00F64119"/>
    <w:rsid w:val="00F853BF"/>
    <w:rsid w:val="00FA4392"/>
    <w:rsid w:val="00FC787F"/>
    <w:rsid w:val="00FD002D"/>
    <w:rsid w:val="00FD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character" w:styleId="Hipersaitas">
    <w:name w:val="Hyperlink"/>
    <w:basedOn w:val="Numatytasispastraiposriftas"/>
    <w:rsid w:val="00E77E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3659</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2023-06-26T10:55:00Z</dcterms:created>
  <dcterms:modified xsi:type="dcterms:W3CDTF">2023-06-26T10:55:00Z</dcterms:modified>
</cp:coreProperties>
</file>