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14:paraId="40176BCF" w14:textId="77777777" w:rsidTr="00E70645">
        <w:tc>
          <w:tcPr>
            <w:tcW w:w="5103" w:type="dxa"/>
          </w:tcPr>
          <w:p w14:paraId="2C9A8CC7"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6F352EE5" w14:textId="77777777" w:rsidTr="00E70645">
        <w:tc>
          <w:tcPr>
            <w:tcW w:w="5103" w:type="dxa"/>
          </w:tcPr>
          <w:p w14:paraId="5D8FC2E8" w14:textId="77777777" w:rsidR="0006079E" w:rsidRDefault="0006079E" w:rsidP="0006079E">
            <w:r>
              <w:t>Klaipėdos miesto savivaldybės</w:t>
            </w:r>
            <w:r w:rsidR="00343D40">
              <w:t xml:space="preserve"> tarybos</w:t>
            </w:r>
          </w:p>
        </w:tc>
      </w:tr>
      <w:bookmarkStart w:id="1" w:name="registravimoDataIlga"/>
      <w:tr w:rsidR="00343D40" w14:paraId="67121F20" w14:textId="77777777" w:rsidTr="00E70645">
        <w:trPr>
          <w:trHeight w:val="304"/>
        </w:trPr>
        <w:tc>
          <w:tcPr>
            <w:tcW w:w="5103" w:type="dxa"/>
          </w:tcPr>
          <w:p w14:paraId="6655079E" w14:textId="77777777" w:rsidR="00343D40" w:rsidRDefault="00343D40" w:rsidP="00343D40">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birželio 22 d.</w:t>
            </w:r>
            <w:r>
              <w:rPr>
                <w:noProof/>
              </w:rPr>
              <w:fldChar w:fldCharType="end"/>
            </w:r>
            <w:bookmarkEnd w:id="1"/>
            <w:r>
              <w:rPr>
                <w:noProof/>
              </w:rPr>
              <w:t xml:space="preserve"> </w:t>
            </w:r>
            <w:r>
              <w:t xml:space="preserve">sprendimu Nr. </w:t>
            </w:r>
            <w:bookmarkStart w:id="2" w:name="registravimoNr"/>
            <w:r>
              <w:t>T2-139</w:t>
            </w:r>
            <w:bookmarkEnd w:id="2"/>
          </w:p>
        </w:tc>
      </w:tr>
    </w:tbl>
    <w:p w14:paraId="3D40E997" w14:textId="77777777" w:rsidR="00832CC9" w:rsidRDefault="00832CC9" w:rsidP="0006079E">
      <w:pPr>
        <w:jc w:val="center"/>
      </w:pPr>
    </w:p>
    <w:p w14:paraId="7E4E0CF5" w14:textId="77777777" w:rsidR="003332EF" w:rsidRPr="00F72A1E" w:rsidRDefault="003332EF" w:rsidP="0006079E">
      <w:pPr>
        <w:jc w:val="center"/>
      </w:pPr>
    </w:p>
    <w:p w14:paraId="135421AC" w14:textId="77777777" w:rsidR="004C6E06" w:rsidRPr="004C6E06" w:rsidRDefault="004C6E06" w:rsidP="004C6E06">
      <w:pPr>
        <w:jc w:val="center"/>
        <w:rPr>
          <w:b/>
          <w:bCs/>
        </w:rPr>
      </w:pPr>
      <w:r w:rsidRPr="004C6E06">
        <w:rPr>
          <w:b/>
          <w:bCs/>
        </w:rPr>
        <w:t>KLAIPĖDOS MIESTO SAVIVALDYBĖS 2023–2026 METŲ VISUOMENĖS SVEIKATOS RĖMIMO SPECIALIOJI PROGRAMA</w:t>
      </w:r>
    </w:p>
    <w:p w14:paraId="1D9C70F8" w14:textId="77777777" w:rsidR="004C6E06" w:rsidRDefault="004C6E06" w:rsidP="004C6E06">
      <w:pPr>
        <w:rPr>
          <w:bCs/>
        </w:rPr>
      </w:pPr>
    </w:p>
    <w:p w14:paraId="15A69763" w14:textId="77777777" w:rsidR="003332EF" w:rsidRPr="004C6E06" w:rsidRDefault="003332EF" w:rsidP="004C6E06">
      <w:pPr>
        <w:rPr>
          <w:bCs/>
        </w:rPr>
      </w:pPr>
    </w:p>
    <w:p w14:paraId="330A7AC5" w14:textId="77777777" w:rsidR="004C6E06" w:rsidRPr="004C6E06" w:rsidRDefault="004C6E06" w:rsidP="004C6E06">
      <w:pPr>
        <w:jc w:val="center"/>
        <w:rPr>
          <w:b/>
          <w:bCs/>
          <w:caps/>
        </w:rPr>
      </w:pPr>
      <w:r w:rsidRPr="004C6E06">
        <w:rPr>
          <w:b/>
          <w:bCs/>
          <w:caps/>
        </w:rPr>
        <w:t>I SKYRIUS</w:t>
      </w:r>
    </w:p>
    <w:p w14:paraId="3414AE2F" w14:textId="77777777" w:rsidR="004C6E06" w:rsidRPr="004C6E06" w:rsidRDefault="004C6E06" w:rsidP="004C6E06">
      <w:pPr>
        <w:jc w:val="center"/>
        <w:rPr>
          <w:b/>
          <w:bCs/>
          <w:caps/>
        </w:rPr>
      </w:pPr>
      <w:r w:rsidRPr="004C6E06">
        <w:rPr>
          <w:b/>
          <w:bCs/>
          <w:caps/>
        </w:rPr>
        <w:t>bendrosios nuostatos</w:t>
      </w:r>
    </w:p>
    <w:p w14:paraId="186B1A04" w14:textId="77777777" w:rsidR="003332EF" w:rsidRPr="004C6E06" w:rsidRDefault="003332EF" w:rsidP="004C6E06">
      <w:pPr>
        <w:ind w:firstLine="720"/>
        <w:jc w:val="both"/>
        <w:rPr>
          <w:bCs/>
          <w:caps/>
        </w:rPr>
      </w:pPr>
    </w:p>
    <w:p w14:paraId="5FD1D63B" w14:textId="6AFB071D" w:rsidR="004C6E06" w:rsidRPr="00F521D7" w:rsidRDefault="004C6E06" w:rsidP="00584E8C">
      <w:pPr>
        <w:ind w:right="-1" w:firstLine="709"/>
        <w:jc w:val="both"/>
        <w:rPr>
          <w:rFonts w:eastAsia="Calibri"/>
          <w:shd w:val="clear" w:color="auto" w:fill="FFFFFF"/>
        </w:rPr>
      </w:pPr>
      <w:r w:rsidRPr="004C6E06">
        <w:rPr>
          <w:bCs/>
        </w:rPr>
        <w:t xml:space="preserve">1. Klaipėdos miesto savivaldybės (toliau – Savivaldybės) 2023–2026 metų visuomenės sveikatos rėmimo specialioji programa (toliau – Programa) parengta vadovaujantis Lietuvos Respublikos vietos savivaldos įstatymu, Lietuvos Respublikos sveikatos sistemos įstatymu, Lietuvos Respublikos visuomenės sveikatos priežiūros įstatymu ir </w:t>
      </w:r>
      <w:r w:rsidRPr="004C6E06">
        <w:t xml:space="preserve">vykdant Klaipėdos miesto savivaldybės 2021–2030 metų strateginio plėtros plano 1.2 tikslo 1.2.2 uždavinio „Stiprinti visuomenės sveikatinimo veiklą“ 1.2.2.4 ir 1.2.2.5 priemones bei atsižvelgiant į Nacionalinę Jungtinių Tautų Darnaus vystymosi darbotvarkę iki 2030 m., </w:t>
      </w:r>
      <w:r w:rsidRPr="004C6E06">
        <w:rPr>
          <w:rFonts w:eastAsia="Calibri"/>
          <w:shd w:val="clear" w:color="auto" w:fill="FFFFFF"/>
        </w:rPr>
        <w:t xml:space="preserve">Nacionalinę darnaus vystymosi strategiją, </w:t>
      </w:r>
      <w:r w:rsidR="00592674" w:rsidRPr="00592674">
        <w:rPr>
          <w:rFonts w:eastAsia="Calibri"/>
          <w:shd w:val="clear" w:color="auto" w:fill="FFFFFF"/>
        </w:rPr>
        <w:t>Sveikatos išsaugojimo ir stiprinimo plėtros program</w:t>
      </w:r>
      <w:r w:rsidR="00DE01EC">
        <w:rPr>
          <w:rFonts w:eastAsia="Calibri"/>
          <w:shd w:val="clear" w:color="auto" w:fill="FFFFFF"/>
        </w:rPr>
        <w:t>ą</w:t>
      </w:r>
      <w:r w:rsidR="00FC28D8">
        <w:rPr>
          <w:rFonts w:eastAsia="Calibri"/>
          <w:shd w:val="clear" w:color="auto" w:fill="FFFFFF"/>
        </w:rPr>
        <w:t xml:space="preserve"> </w:t>
      </w:r>
      <w:r w:rsidR="00592674" w:rsidRPr="00592674">
        <w:rPr>
          <w:rFonts w:eastAsia="Calibri"/>
          <w:shd w:val="clear" w:color="auto" w:fill="FFFFFF"/>
        </w:rPr>
        <w:t>2022–2030</w:t>
      </w:r>
      <w:r w:rsidR="00DE01EC">
        <w:rPr>
          <w:rFonts w:eastAsia="Calibri"/>
          <w:shd w:val="clear" w:color="auto" w:fill="FFFFFF"/>
        </w:rPr>
        <w:t xml:space="preserve"> </w:t>
      </w:r>
      <w:r w:rsidR="00592674" w:rsidRPr="00592674">
        <w:rPr>
          <w:rFonts w:eastAsia="Calibri"/>
          <w:shd w:val="clear" w:color="auto" w:fill="FFFFFF"/>
        </w:rPr>
        <w:t>metams</w:t>
      </w:r>
      <w:r w:rsidR="00DE01EC">
        <w:rPr>
          <w:rFonts w:eastAsia="Calibri"/>
          <w:shd w:val="clear" w:color="auto" w:fill="FFFFFF"/>
        </w:rPr>
        <w:t>,</w:t>
      </w:r>
      <w:r w:rsidR="00C9075C">
        <w:rPr>
          <w:rFonts w:eastAsia="Calibri"/>
          <w:shd w:val="clear" w:color="auto" w:fill="FFFFFF"/>
        </w:rPr>
        <w:t xml:space="preserve"> </w:t>
      </w:r>
      <w:r w:rsidRPr="004C6E06">
        <w:rPr>
          <w:rFonts w:eastAsia="Calibri"/>
          <w:shd w:val="clear" w:color="auto" w:fill="FFFFFF"/>
        </w:rPr>
        <w:t>Lietuvos sveikatos 2014–2025 metų programą,</w:t>
      </w:r>
      <w:r w:rsidR="00C9075C">
        <w:rPr>
          <w:rFonts w:eastAsia="Calibri"/>
          <w:shd w:val="clear" w:color="auto" w:fill="FFFFFF"/>
        </w:rPr>
        <w:t xml:space="preserve"> </w:t>
      </w:r>
      <w:r w:rsidRPr="004C6E06">
        <w:rPr>
          <w:rFonts w:eastAsia="Calibri"/>
          <w:shd w:val="clear" w:color="auto" w:fill="FFFFFF"/>
        </w:rPr>
        <w:t>Nacionalinę visuomenės sveikatos priežiūros 2016–2023 metų plėtros programą,</w:t>
      </w:r>
      <w:r w:rsidRPr="004C6E06">
        <w:t xml:space="preserve"> PSO ŽIV, virusinių hepatitų ir lytiškai plintančių ligų strategiją 2022–2030 metams.</w:t>
      </w:r>
    </w:p>
    <w:p w14:paraId="101479EA" w14:textId="3B65C7FA" w:rsidR="004C6E06" w:rsidRPr="004C6E06" w:rsidRDefault="004C6E06" w:rsidP="004C6E06">
      <w:pPr>
        <w:ind w:firstLine="720"/>
        <w:jc w:val="both"/>
        <w:rPr>
          <w:bCs/>
        </w:rPr>
      </w:pPr>
      <w:r w:rsidRPr="004C6E06">
        <w:t xml:space="preserve">2. Programos prioritetus nustatė Savivaldybės bendruomenės sveikatos taryba (toliau – BST), atsižvelgdama į Savivaldybės gyventojų sveikatos būklę, laikydamasi iki tol vykdytų </w:t>
      </w:r>
      <w:r w:rsidRPr="004C6E06">
        <w:rPr>
          <w:bCs/>
        </w:rPr>
        <w:t>Savivaldybės visuomenės sveikatos rėmimo specialiųjų</w:t>
      </w:r>
      <w:r w:rsidR="00B6168A">
        <w:rPr>
          <w:bCs/>
        </w:rPr>
        <w:t xml:space="preserve"> </w:t>
      </w:r>
      <w:r w:rsidR="00B6168A" w:rsidRPr="00B6168A">
        <w:rPr>
          <w:bCs/>
        </w:rPr>
        <w:t>2015–2018 m.</w:t>
      </w:r>
      <w:r w:rsidR="00584E8C">
        <w:rPr>
          <w:bCs/>
        </w:rPr>
        <w:t xml:space="preserve"> ir</w:t>
      </w:r>
      <w:r w:rsidRPr="004C6E06">
        <w:rPr>
          <w:bCs/>
        </w:rPr>
        <w:t xml:space="preserve"> 2019–2022 m. programų priemonių tęstinumo. </w:t>
      </w:r>
    </w:p>
    <w:p w14:paraId="7C95CFBC" w14:textId="77777777" w:rsidR="004C6E06" w:rsidRPr="004C6E06" w:rsidRDefault="004C6E06" w:rsidP="004C6E06">
      <w:pPr>
        <w:ind w:firstLine="720"/>
        <w:jc w:val="both"/>
        <w:rPr>
          <w:bCs/>
        </w:rPr>
      </w:pPr>
      <w:r w:rsidRPr="00145923">
        <w:rPr>
          <w:bCs/>
        </w:rPr>
        <w:t>3. Programą ketveriems biudžetiniams metams rengia Klaipėdos miesto savivaldybės administracij</w:t>
      </w:r>
      <w:r w:rsidR="003332EF" w:rsidRPr="00145923">
        <w:rPr>
          <w:bCs/>
        </w:rPr>
        <w:t>os direktoriaus sudaryta darbo grupė</w:t>
      </w:r>
      <w:r w:rsidRPr="00145923">
        <w:rPr>
          <w:bCs/>
        </w:rPr>
        <w:t xml:space="preserve"> ir ją tvirtina Klaipėdos miesto savivaldybės taryba (toliau – Taryba).</w:t>
      </w:r>
    </w:p>
    <w:p w14:paraId="1A4F5550" w14:textId="77777777" w:rsidR="004C6E06" w:rsidRPr="004C6E06" w:rsidRDefault="004C6E06" w:rsidP="004C6E06">
      <w:pPr>
        <w:ind w:firstLine="720"/>
        <w:jc w:val="both"/>
        <w:rPr>
          <w:bCs/>
        </w:rPr>
      </w:pPr>
      <w:r w:rsidRPr="004C6E06">
        <w:rPr>
          <w:bCs/>
        </w:rPr>
        <w:t>4. Programoje vartojamos sąvokos:</w:t>
      </w:r>
    </w:p>
    <w:p w14:paraId="708894D5" w14:textId="77777777" w:rsidR="004C6E06" w:rsidRPr="004C6E06" w:rsidRDefault="004C6E06" w:rsidP="004C6E06">
      <w:pPr>
        <w:autoSpaceDE w:val="0"/>
        <w:autoSpaceDN w:val="0"/>
        <w:adjustRightInd w:val="0"/>
        <w:ind w:firstLine="720"/>
        <w:jc w:val="both"/>
      </w:pPr>
      <w:r w:rsidRPr="004C6E06">
        <w:rPr>
          <w:bCs/>
        </w:rPr>
        <w:t>4.1.</w:t>
      </w:r>
      <w:r w:rsidRPr="004C6E06">
        <w:rPr>
          <w:b/>
          <w:bCs/>
        </w:rPr>
        <w:t xml:space="preserve"> Bendrasis sergamumas (visos užregistruotos ligos) </w:t>
      </w:r>
      <w:r w:rsidRPr="004C6E06">
        <w:t>– sveikatos priežiūros įstaigose per metus</w:t>
      </w:r>
      <w:r w:rsidRPr="004C6E06">
        <w:rPr>
          <w:b/>
          <w:bCs/>
        </w:rPr>
        <w:t xml:space="preserve"> </w:t>
      </w:r>
      <w:r w:rsidRPr="004C6E06">
        <w:t>registruotų ligos atvejų ir vidutinio metinio gyventojų</w:t>
      </w:r>
      <w:r w:rsidRPr="004C6E06">
        <w:rPr>
          <w:b/>
          <w:bCs/>
        </w:rPr>
        <w:t xml:space="preserve"> </w:t>
      </w:r>
      <w:r w:rsidRPr="004C6E06">
        <w:t>skaičiaus santykis.</w:t>
      </w:r>
    </w:p>
    <w:p w14:paraId="42C2A71D" w14:textId="77777777" w:rsidR="004C6E06" w:rsidRPr="004C6E06" w:rsidRDefault="004C6E06" w:rsidP="004C6E06">
      <w:pPr>
        <w:autoSpaceDE w:val="0"/>
        <w:autoSpaceDN w:val="0"/>
        <w:adjustRightInd w:val="0"/>
        <w:ind w:firstLine="720"/>
        <w:jc w:val="both"/>
        <w:rPr>
          <w:bCs/>
        </w:rPr>
      </w:pPr>
      <w:r w:rsidRPr="004C6E06">
        <w:rPr>
          <w:bCs/>
        </w:rPr>
        <w:t>4.2.</w:t>
      </w:r>
      <w:r w:rsidRPr="004C6E06">
        <w:rPr>
          <w:b/>
          <w:bCs/>
        </w:rPr>
        <w:t xml:space="preserve"> Mirties priežastis </w:t>
      </w:r>
      <w:r w:rsidRPr="00584E8C">
        <w:t>–</w:t>
      </w:r>
      <w:r w:rsidRPr="004C6E06">
        <w:rPr>
          <w:b/>
          <w:bCs/>
        </w:rPr>
        <w:t xml:space="preserve"> </w:t>
      </w:r>
      <w:r w:rsidRPr="004C6E06">
        <w:rPr>
          <w:bCs/>
        </w:rPr>
        <w:t>bet kuri būklė, sukėlusi ar sąlygojusi mirtį ir klasifikuojama pagal Tarptautinę statistinę ligų ir sveikatos problemų klasifikaciją.</w:t>
      </w:r>
    </w:p>
    <w:p w14:paraId="4091E791" w14:textId="77777777" w:rsidR="004C6E06" w:rsidRPr="004C6E06" w:rsidRDefault="004C6E06" w:rsidP="004C6E06">
      <w:pPr>
        <w:ind w:firstLine="720"/>
        <w:jc w:val="both"/>
      </w:pPr>
      <w:r w:rsidRPr="004C6E06">
        <w:t>4.3.</w:t>
      </w:r>
      <w:r w:rsidRPr="004C6E06">
        <w:rPr>
          <w:b/>
        </w:rPr>
        <w:t xml:space="preserve"> Rizikos veiksniai</w:t>
      </w:r>
      <w:r w:rsidRPr="004C6E06">
        <w:t xml:space="preserve"> – tai biologiniai, socialiniai ir kiti aplinkos veiksniai, kurie didina tikimybę susirgti tam tikromis ligomis.</w:t>
      </w:r>
    </w:p>
    <w:p w14:paraId="386D6BF6" w14:textId="77777777" w:rsidR="004C6E06" w:rsidRPr="004C6E06" w:rsidRDefault="004C6E06" w:rsidP="004C6E06">
      <w:pPr>
        <w:autoSpaceDE w:val="0"/>
        <w:autoSpaceDN w:val="0"/>
        <w:adjustRightInd w:val="0"/>
        <w:ind w:firstLine="720"/>
        <w:jc w:val="both"/>
      </w:pPr>
      <w:r w:rsidRPr="004C6E06">
        <w:rPr>
          <w:bCs/>
        </w:rPr>
        <w:t>4.4.</w:t>
      </w:r>
      <w:r w:rsidRPr="004C6E06">
        <w:rPr>
          <w:b/>
          <w:bCs/>
        </w:rPr>
        <w:t xml:space="preserve"> Sergamumas (naujai užregistruotos ligos) </w:t>
      </w:r>
      <w:r w:rsidRPr="004C6E06">
        <w:t>– sveikatos priežiūros įstaigose per metus naujai išaiškintų ligos atvejų (ūmių ligų ir pirmą kartą gyvenime nustatytų lėtinių ligų) ir vidutinio metinio gyventojų skaičiaus santykis</w:t>
      </w:r>
      <w:r w:rsidRPr="004C6E06">
        <w:rPr>
          <w:bCs/>
        </w:rPr>
        <w:t>.</w:t>
      </w:r>
    </w:p>
    <w:p w14:paraId="58D37E61" w14:textId="77777777" w:rsidR="004C6E06" w:rsidRPr="004C6E06" w:rsidRDefault="004C6E06" w:rsidP="004C6E06">
      <w:pPr>
        <w:ind w:firstLine="720"/>
        <w:jc w:val="both"/>
      </w:pPr>
      <w:r w:rsidRPr="004C6E06">
        <w:rPr>
          <w:bCs/>
        </w:rPr>
        <w:t>4.5.</w:t>
      </w:r>
      <w:r w:rsidRPr="004C6E06">
        <w:rPr>
          <w:b/>
          <w:bCs/>
        </w:rPr>
        <w:t xml:space="preserve"> Sveika gyvensena </w:t>
      </w:r>
      <w:r w:rsidRPr="004C6E06">
        <w:t>– individo ar socialinės grupės gyvensenos forma, padedanti išsaugoti ir stiprinti sveikatą. Svarbiausi sveikos gyvensenos elementai yra: fizinis aktyvumas, subalansuota  mityba, sveikatai žalingų įpročių atsisakymas.</w:t>
      </w:r>
    </w:p>
    <w:p w14:paraId="44A42A0D" w14:textId="77777777" w:rsidR="004C6E06" w:rsidRPr="004C6E06" w:rsidRDefault="004C6E06" w:rsidP="004C6E06">
      <w:pPr>
        <w:ind w:firstLine="720"/>
        <w:jc w:val="both"/>
        <w:rPr>
          <w:b/>
        </w:rPr>
      </w:pPr>
      <w:r w:rsidRPr="004C6E06">
        <w:t>4.6.</w:t>
      </w:r>
      <w:r w:rsidRPr="004C6E06">
        <w:rPr>
          <w:b/>
        </w:rPr>
        <w:t xml:space="preserve"> Sveikatos raštingumas </w:t>
      </w:r>
      <w:r w:rsidR="008B265C" w:rsidRPr="00584E8C">
        <w:rPr>
          <w:bCs/>
        </w:rPr>
        <w:t>–</w:t>
      </w:r>
      <w:r w:rsidRPr="004C6E06">
        <w:rPr>
          <w:b/>
        </w:rPr>
        <w:t xml:space="preserve"> </w:t>
      </w:r>
      <w:r w:rsidR="004E639F">
        <w:t xml:space="preserve">gebėjimas ieškoti ir suprasti įvairiais informacijos kanalais perduodamą informaciją apie sveikatą. </w:t>
      </w:r>
    </w:p>
    <w:p w14:paraId="68EE1441" w14:textId="77777777" w:rsidR="004C6E06" w:rsidRPr="004C6E06" w:rsidRDefault="00BC19E5" w:rsidP="004C6E06">
      <w:pPr>
        <w:ind w:firstLine="720"/>
        <w:jc w:val="both"/>
      </w:pPr>
      <w:r>
        <w:t>4.7</w:t>
      </w:r>
      <w:r w:rsidR="004C6E06" w:rsidRPr="004C6E06">
        <w:t>.</w:t>
      </w:r>
      <w:r w:rsidR="004C6E06" w:rsidRPr="004C6E06">
        <w:rPr>
          <w:b/>
        </w:rPr>
        <w:t xml:space="preserve"> Visuminis sveikatos supratimas</w:t>
      </w:r>
      <w:r w:rsidR="004C6E06" w:rsidRPr="004C6E06">
        <w:t xml:space="preserve"> – visa apimantis (holistinis) požiūris į individo ir visuomenės sveikatą, kaip fizinę, dvasinę, protinę, emocinę ir socialinę gerovę, svarbią individui, šeimai, bendruomenei ir visai visuomenei.</w:t>
      </w:r>
    </w:p>
    <w:p w14:paraId="108BF229" w14:textId="77777777" w:rsidR="004C6E06" w:rsidRPr="004C6E06" w:rsidRDefault="00BC19E5" w:rsidP="004C6E06">
      <w:pPr>
        <w:autoSpaceDE w:val="0"/>
        <w:autoSpaceDN w:val="0"/>
        <w:adjustRightInd w:val="0"/>
        <w:ind w:firstLine="720"/>
        <w:jc w:val="both"/>
        <w:rPr>
          <w:color w:val="000000"/>
        </w:rPr>
      </w:pPr>
      <w:r w:rsidRPr="00BC19E5">
        <w:rPr>
          <w:bCs/>
          <w:color w:val="000000"/>
        </w:rPr>
        <w:t>4.8</w:t>
      </w:r>
      <w:r w:rsidR="004C6E06" w:rsidRPr="004C6E06">
        <w:rPr>
          <w:bCs/>
          <w:color w:val="000000"/>
        </w:rPr>
        <w:t>.</w:t>
      </w:r>
      <w:r w:rsidR="004C6E06" w:rsidRPr="004C6E06">
        <w:rPr>
          <w:b/>
          <w:bCs/>
          <w:color w:val="000000"/>
        </w:rPr>
        <w:t xml:space="preserve"> Visuomenės sveikatos ugdymas </w:t>
      </w:r>
      <w:r w:rsidR="004C6E06" w:rsidRPr="004C6E06">
        <w:rPr>
          <w:color w:val="000000"/>
        </w:rPr>
        <w:t>–</w:t>
      </w:r>
      <w:r w:rsidR="004C6E06" w:rsidRPr="004C6E06">
        <w:rPr>
          <w:b/>
          <w:bCs/>
          <w:color w:val="000000"/>
        </w:rPr>
        <w:t xml:space="preserve"> </w:t>
      </w:r>
      <w:r w:rsidR="004C6E06" w:rsidRPr="004C6E06">
        <w:rPr>
          <w:color w:val="000000"/>
        </w:rPr>
        <w:t xml:space="preserve">valstybės ir savivaldybių bei pilietinės iniciatyvos priemonių, formuojančių sveiką gyvenseną, visuma. </w:t>
      </w:r>
    </w:p>
    <w:p w14:paraId="63D5BBA0" w14:textId="77777777" w:rsidR="003A3A30" w:rsidRDefault="00804C2B" w:rsidP="00804C2B">
      <w:pPr>
        <w:tabs>
          <w:tab w:val="left" w:pos="2250"/>
        </w:tabs>
        <w:spacing w:line="276" w:lineRule="auto"/>
        <w:rPr>
          <w:b/>
        </w:rPr>
      </w:pPr>
      <w:r w:rsidRPr="004C6E06">
        <w:rPr>
          <w:b/>
        </w:rPr>
        <w:t xml:space="preserve">                           </w:t>
      </w:r>
    </w:p>
    <w:p w14:paraId="198BD3D3" w14:textId="77777777" w:rsidR="00342451" w:rsidRDefault="00342451" w:rsidP="00804C2B">
      <w:pPr>
        <w:tabs>
          <w:tab w:val="left" w:pos="2250"/>
        </w:tabs>
        <w:spacing w:line="276" w:lineRule="auto"/>
        <w:rPr>
          <w:b/>
        </w:rPr>
      </w:pPr>
    </w:p>
    <w:p w14:paraId="244A124E" w14:textId="77777777" w:rsidR="001E5649" w:rsidRDefault="001E5649" w:rsidP="00804C2B">
      <w:pPr>
        <w:tabs>
          <w:tab w:val="left" w:pos="2250"/>
        </w:tabs>
        <w:spacing w:line="276" w:lineRule="auto"/>
        <w:rPr>
          <w:b/>
        </w:rPr>
      </w:pPr>
    </w:p>
    <w:p w14:paraId="48AD0D35" w14:textId="77777777" w:rsidR="004C6E06" w:rsidRPr="004C6E06" w:rsidRDefault="004C6E06" w:rsidP="004C6E06">
      <w:pPr>
        <w:jc w:val="center"/>
        <w:rPr>
          <w:b/>
          <w:bCs/>
        </w:rPr>
      </w:pPr>
      <w:r w:rsidRPr="004C6E06">
        <w:rPr>
          <w:b/>
          <w:bCs/>
        </w:rPr>
        <w:lastRenderedPageBreak/>
        <w:t>II SKYRIUS</w:t>
      </w:r>
    </w:p>
    <w:p w14:paraId="31E0800C" w14:textId="77777777" w:rsidR="004C6E06" w:rsidRPr="004C6E06" w:rsidRDefault="00752C4C" w:rsidP="004C6E06">
      <w:pPr>
        <w:jc w:val="center"/>
        <w:rPr>
          <w:b/>
          <w:bCs/>
        </w:rPr>
      </w:pPr>
      <w:r>
        <w:rPr>
          <w:b/>
          <w:bCs/>
        </w:rPr>
        <w:t>SITUACIJOS</w:t>
      </w:r>
      <w:r w:rsidR="004C6E06" w:rsidRPr="004C6E06">
        <w:rPr>
          <w:b/>
          <w:bCs/>
        </w:rPr>
        <w:t xml:space="preserve"> ANALIZĖ</w:t>
      </w:r>
    </w:p>
    <w:p w14:paraId="0C9D2561" w14:textId="77777777" w:rsidR="004C6E06" w:rsidRPr="004C6E06" w:rsidRDefault="004C6E06" w:rsidP="004C6E06">
      <w:pPr>
        <w:ind w:firstLine="720"/>
        <w:jc w:val="center"/>
        <w:rPr>
          <w:b/>
          <w:bCs/>
        </w:rPr>
      </w:pPr>
    </w:p>
    <w:p w14:paraId="03AFA5A0" w14:textId="2798DC56" w:rsidR="004C6E06" w:rsidRPr="004C6E06" w:rsidRDefault="00363813" w:rsidP="004C6E06">
      <w:pPr>
        <w:ind w:firstLine="720"/>
        <w:jc w:val="both"/>
      </w:pPr>
      <w:r>
        <w:t>5</w:t>
      </w:r>
      <w:r w:rsidR="004C6E06" w:rsidRPr="004C6E06">
        <w:t xml:space="preserve">. </w:t>
      </w:r>
      <w:r w:rsidR="00681C91">
        <w:t>Programos įgyvendinimo analizė</w:t>
      </w:r>
      <w:r w:rsidR="004C6E06" w:rsidRPr="004C6E06">
        <w:t xml:space="preserve"> parengta vadovaujantis Higienos instituto Sveikatos informacijos centro ir </w:t>
      </w:r>
      <w:r w:rsidR="003B41F2" w:rsidRPr="003B41F2">
        <w:t>Valstybės duomenų agentūr</w:t>
      </w:r>
      <w:r w:rsidR="003B41F2">
        <w:t xml:space="preserve">os </w:t>
      </w:r>
      <w:r w:rsidR="00AC5B2C">
        <w:t xml:space="preserve">(buvusio Lietuvos statistikos departamento) </w:t>
      </w:r>
      <w:r w:rsidR="004C6E06" w:rsidRPr="004C6E06">
        <w:t>skelbiamais duomenimis, Klaipėdos miesto visuomenės sveikatos stebėsenos programos 202</w:t>
      </w:r>
      <w:r w:rsidR="007F6681">
        <w:t>1</w:t>
      </w:r>
      <w:r w:rsidR="004C6E06" w:rsidRPr="004C6E06">
        <w:t xml:space="preserve"> m. ir Klaipėdos miesto saviva</w:t>
      </w:r>
      <w:r w:rsidR="001F6E6A">
        <w:t>ldybės bendrojo ugdymo</w:t>
      </w:r>
      <w:r w:rsidR="004C6E06" w:rsidRPr="004C6E06">
        <w:t xml:space="preserve"> mokyklų mokinių profilaktinių sveikatos patikrinimų 2021 m. duomenų analizės ataskaitomis, kurias parengė BĮ Klaipėdos miesto visuomenės sveikatos biuras, </w:t>
      </w:r>
      <w:r w:rsidR="004C6E06" w:rsidRPr="004C6E06">
        <w:rPr>
          <w:color w:val="000000"/>
        </w:rPr>
        <w:t>2020 m. atlikto Klaipėdos miesto mokyklinio amžiaus vaikų gyvensenos tyrimo</w:t>
      </w:r>
      <w:r w:rsidR="005608B6">
        <w:rPr>
          <w:color w:val="000000"/>
        </w:rPr>
        <w:t xml:space="preserve">, 2022 m. atlikto </w:t>
      </w:r>
      <w:r w:rsidR="005608B6" w:rsidRPr="005608B6">
        <w:rPr>
          <w:color w:val="000000"/>
        </w:rPr>
        <w:t>Klaipėdos miesto gyventojų elgsenos sveikos gyvensenos klausimais</w:t>
      </w:r>
      <w:r w:rsidR="005608B6">
        <w:rPr>
          <w:color w:val="000000"/>
        </w:rPr>
        <w:t xml:space="preserve"> tyrimo </w:t>
      </w:r>
      <w:r w:rsidR="004C6E06" w:rsidRPr="004C6E06">
        <w:rPr>
          <w:color w:val="000000"/>
        </w:rPr>
        <w:t xml:space="preserve"> rezultatais</w:t>
      </w:r>
      <w:r w:rsidR="004C6E06" w:rsidRPr="004C6E06">
        <w:t xml:space="preserve">. </w:t>
      </w:r>
    </w:p>
    <w:p w14:paraId="0471A520" w14:textId="77777777" w:rsidR="004C6E06" w:rsidRPr="004C6E06" w:rsidRDefault="00363813" w:rsidP="004C6E06">
      <w:pPr>
        <w:ind w:firstLine="720"/>
        <w:jc w:val="both"/>
        <w:rPr>
          <w:bCs/>
        </w:rPr>
      </w:pPr>
      <w:r>
        <w:t>6</w:t>
      </w:r>
      <w:r w:rsidR="004C6E06" w:rsidRPr="004C6E06">
        <w:t xml:space="preserve">. Įgyvendintos </w:t>
      </w:r>
      <w:r w:rsidR="004C6E06" w:rsidRPr="004C6E06">
        <w:rPr>
          <w:bCs/>
        </w:rPr>
        <w:t>Savivaldybės 2019–2022 metų visuomenės sveikatos rėmimo specialiosios programos</w:t>
      </w:r>
      <w:r w:rsidR="005F5E68">
        <w:rPr>
          <w:bCs/>
        </w:rPr>
        <w:t xml:space="preserve"> </w:t>
      </w:r>
      <w:r w:rsidR="004C6E06" w:rsidRPr="004C6E06">
        <w:rPr>
          <w:bCs/>
        </w:rPr>
        <w:t>pasiekimai:</w:t>
      </w:r>
    </w:p>
    <w:p w14:paraId="16D8605E" w14:textId="77777777" w:rsidR="005F5E68" w:rsidRDefault="00363813" w:rsidP="004C6E06">
      <w:pPr>
        <w:ind w:firstLine="720"/>
        <w:jc w:val="both"/>
        <w:rPr>
          <w:bCs/>
        </w:rPr>
      </w:pPr>
      <w:r>
        <w:rPr>
          <w:bCs/>
        </w:rPr>
        <w:t>6</w:t>
      </w:r>
      <w:r w:rsidR="00BF552F">
        <w:rPr>
          <w:bCs/>
        </w:rPr>
        <w:t xml:space="preserve">.1. </w:t>
      </w:r>
      <w:r w:rsidR="0001758C">
        <w:rPr>
          <w:bCs/>
        </w:rPr>
        <w:t>P</w:t>
      </w:r>
      <w:r w:rsidR="00535B3D">
        <w:rPr>
          <w:bCs/>
        </w:rPr>
        <w:t>rodukto kriterij</w:t>
      </w:r>
      <w:r w:rsidR="005F5E68">
        <w:rPr>
          <w:bCs/>
        </w:rPr>
        <w:t>ų</w:t>
      </w:r>
      <w:r w:rsidR="00535B3D">
        <w:rPr>
          <w:bCs/>
        </w:rPr>
        <w:t>:</w:t>
      </w:r>
      <w:r w:rsidR="00233E51">
        <w:rPr>
          <w:bCs/>
        </w:rPr>
        <w:t xml:space="preserve"> </w:t>
      </w:r>
    </w:p>
    <w:p w14:paraId="05F5C248" w14:textId="77777777" w:rsidR="004C6E06" w:rsidRPr="004C6E06" w:rsidRDefault="005F5E68" w:rsidP="004C6E06">
      <w:pPr>
        <w:ind w:firstLine="720"/>
        <w:jc w:val="both"/>
        <w:rPr>
          <w:color w:val="FF0000"/>
          <w:sz w:val="16"/>
          <w:szCs w:val="16"/>
        </w:rPr>
      </w:pPr>
      <w:r>
        <w:t xml:space="preserve">6.1.1. </w:t>
      </w:r>
      <w:r w:rsidR="006802F9">
        <w:t>tikslinių</w:t>
      </w:r>
      <w:r w:rsidR="004C6E06" w:rsidRPr="004C6E06">
        <w:t xml:space="preserve"> grupių, dalyvavusių įgyvendinant sveikatos priemones, </w:t>
      </w:r>
      <w:r w:rsidR="004C6E06" w:rsidRPr="006802F9">
        <w:t xml:space="preserve">rūšys </w:t>
      </w:r>
      <w:r w:rsidR="004C6E06" w:rsidRPr="004C6E06">
        <w:t>ir skaičius:</w:t>
      </w:r>
      <w:r w:rsidR="00D054B1">
        <w:t xml:space="preserve"> </w:t>
      </w:r>
      <w:r w:rsidR="004C6E06" w:rsidRPr="004C6E06">
        <w:rPr>
          <w:color w:val="FF0000"/>
        </w:rPr>
        <w:t xml:space="preserve"> </w:t>
      </w:r>
    </w:p>
    <w:tbl>
      <w:tblPr>
        <w:tblStyle w:val="Lentelstinklelis1"/>
        <w:tblW w:w="5000" w:type="pct"/>
        <w:tblLayout w:type="fixed"/>
        <w:tblLook w:val="04A0" w:firstRow="1" w:lastRow="0" w:firstColumn="1" w:lastColumn="0" w:noHBand="0" w:noVBand="1"/>
      </w:tblPr>
      <w:tblGrid>
        <w:gridCol w:w="1079"/>
        <w:gridCol w:w="1312"/>
        <w:gridCol w:w="1291"/>
        <w:gridCol w:w="798"/>
        <w:gridCol w:w="902"/>
        <w:gridCol w:w="945"/>
        <w:gridCol w:w="2032"/>
        <w:gridCol w:w="1269"/>
      </w:tblGrid>
      <w:tr w:rsidR="000B70F2" w:rsidRPr="004C6E06" w14:paraId="2B22F036" w14:textId="77777777" w:rsidTr="00116DFB">
        <w:trPr>
          <w:cantSplit/>
          <w:trHeight w:val="2257"/>
        </w:trPr>
        <w:tc>
          <w:tcPr>
            <w:tcW w:w="560" w:type="pct"/>
          </w:tcPr>
          <w:p w14:paraId="402AE640" w14:textId="77777777" w:rsidR="004C6E06" w:rsidRPr="00584E8C" w:rsidRDefault="00233E51" w:rsidP="004C6E06">
            <w:pPr>
              <w:jc w:val="center"/>
              <w:rPr>
                <w:lang w:val="lt-LT"/>
              </w:rPr>
            </w:pPr>
            <w:r w:rsidRPr="00584E8C">
              <w:rPr>
                <w:lang w:val="lt-LT"/>
              </w:rPr>
              <w:t>Asmenų g</w:t>
            </w:r>
            <w:r w:rsidR="004C6E06" w:rsidRPr="00584E8C">
              <w:rPr>
                <w:lang w:val="lt-LT"/>
              </w:rPr>
              <w:t>rupė</w:t>
            </w:r>
            <w:r w:rsidRPr="00584E8C">
              <w:rPr>
                <w:lang w:val="lt-LT"/>
              </w:rPr>
              <w:t>s</w:t>
            </w:r>
          </w:p>
        </w:tc>
        <w:tc>
          <w:tcPr>
            <w:tcW w:w="681" w:type="pct"/>
            <w:textDirection w:val="btLr"/>
          </w:tcPr>
          <w:p w14:paraId="48CFF187" w14:textId="77777777" w:rsidR="004C6E06" w:rsidRPr="00584E8C" w:rsidRDefault="004C6E06" w:rsidP="004C6E06">
            <w:pPr>
              <w:ind w:left="113" w:right="113"/>
              <w:jc w:val="center"/>
              <w:rPr>
                <w:lang w:val="lt-LT"/>
              </w:rPr>
            </w:pPr>
            <w:r w:rsidRPr="00584E8C">
              <w:rPr>
                <w:lang w:val="lt-LT"/>
              </w:rPr>
              <w:t>Vaikai</w:t>
            </w:r>
          </w:p>
        </w:tc>
        <w:tc>
          <w:tcPr>
            <w:tcW w:w="670" w:type="pct"/>
            <w:textDirection w:val="btLr"/>
          </w:tcPr>
          <w:p w14:paraId="6C719E6F" w14:textId="77777777" w:rsidR="004C6E06" w:rsidRPr="00584E8C" w:rsidRDefault="004C6E06" w:rsidP="004C6E06">
            <w:pPr>
              <w:ind w:left="113" w:right="113"/>
              <w:jc w:val="center"/>
              <w:rPr>
                <w:lang w:val="lt-LT"/>
              </w:rPr>
            </w:pPr>
            <w:r w:rsidRPr="00584E8C">
              <w:rPr>
                <w:lang w:val="lt-LT"/>
              </w:rPr>
              <w:t>Darbingo amžiaus suaugusieji</w:t>
            </w:r>
          </w:p>
        </w:tc>
        <w:tc>
          <w:tcPr>
            <w:tcW w:w="414" w:type="pct"/>
            <w:textDirection w:val="btLr"/>
          </w:tcPr>
          <w:p w14:paraId="5DD7F2B9" w14:textId="77777777" w:rsidR="004C6E06" w:rsidRPr="00584E8C" w:rsidRDefault="00B15E36" w:rsidP="004C6E06">
            <w:pPr>
              <w:ind w:left="113" w:right="113"/>
              <w:jc w:val="center"/>
              <w:rPr>
                <w:lang w:val="lt-LT"/>
              </w:rPr>
            </w:pPr>
            <w:r w:rsidRPr="00584E8C">
              <w:rPr>
                <w:lang w:val="lt-LT"/>
              </w:rPr>
              <w:t>Vyresnio amžiaus žmonės (s</w:t>
            </w:r>
            <w:r w:rsidR="004C6E06" w:rsidRPr="00584E8C">
              <w:rPr>
                <w:lang w:val="lt-LT"/>
              </w:rPr>
              <w:t>enjorai</w:t>
            </w:r>
            <w:r w:rsidRPr="00584E8C">
              <w:rPr>
                <w:lang w:val="lt-LT"/>
              </w:rPr>
              <w:t>)</w:t>
            </w:r>
          </w:p>
        </w:tc>
        <w:tc>
          <w:tcPr>
            <w:tcW w:w="468" w:type="pct"/>
            <w:textDirection w:val="btLr"/>
          </w:tcPr>
          <w:p w14:paraId="40877A59" w14:textId="77777777" w:rsidR="004C6E06" w:rsidRPr="00584E8C" w:rsidRDefault="004C6E06" w:rsidP="004C6E06">
            <w:pPr>
              <w:ind w:left="113" w:right="113"/>
              <w:jc w:val="center"/>
              <w:rPr>
                <w:lang w:val="lt-LT"/>
              </w:rPr>
            </w:pPr>
            <w:r w:rsidRPr="00584E8C">
              <w:rPr>
                <w:lang w:val="lt-LT"/>
              </w:rPr>
              <w:t>Švirkščiamųjų narkotikų vartotojai</w:t>
            </w:r>
          </w:p>
        </w:tc>
        <w:tc>
          <w:tcPr>
            <w:tcW w:w="491" w:type="pct"/>
            <w:textDirection w:val="btLr"/>
          </w:tcPr>
          <w:p w14:paraId="286D8BB0" w14:textId="77777777" w:rsidR="004C6E06" w:rsidRPr="00584E8C" w:rsidRDefault="004C6E06" w:rsidP="004C6E06">
            <w:pPr>
              <w:ind w:left="113" w:right="113"/>
              <w:jc w:val="center"/>
              <w:rPr>
                <w:lang w:val="lt-LT"/>
              </w:rPr>
            </w:pPr>
            <w:r w:rsidRPr="00584E8C">
              <w:rPr>
                <w:rFonts w:eastAsia="Calibri"/>
                <w:lang w:val="lt-LT"/>
              </w:rPr>
              <w:t xml:space="preserve">Nedrausti privalomuoju sveikatos draudimu rizikos grupės </w:t>
            </w:r>
            <w:r w:rsidRPr="00584E8C">
              <w:rPr>
                <w:lang w:val="lt-LT"/>
              </w:rPr>
              <w:t>asmenys</w:t>
            </w:r>
          </w:p>
        </w:tc>
        <w:tc>
          <w:tcPr>
            <w:tcW w:w="1055" w:type="pct"/>
            <w:textDirection w:val="btLr"/>
          </w:tcPr>
          <w:p w14:paraId="0D94B33C" w14:textId="77777777" w:rsidR="004C6E06" w:rsidRPr="00584E8C" w:rsidRDefault="004C6E06" w:rsidP="0044237C">
            <w:pPr>
              <w:ind w:left="113" w:right="113"/>
              <w:jc w:val="center"/>
              <w:rPr>
                <w:lang w:val="lt-LT"/>
              </w:rPr>
            </w:pPr>
            <w:r w:rsidRPr="00584E8C">
              <w:rPr>
                <w:lang w:val="lt-LT"/>
              </w:rPr>
              <w:t>Tuberkulioze sergantys asmenys</w:t>
            </w:r>
          </w:p>
        </w:tc>
        <w:tc>
          <w:tcPr>
            <w:tcW w:w="659" w:type="pct"/>
            <w:textDirection w:val="btLr"/>
          </w:tcPr>
          <w:p w14:paraId="1CACC58A" w14:textId="77777777" w:rsidR="004C6E06" w:rsidRPr="00584E8C" w:rsidRDefault="004C6E06" w:rsidP="004C6E06">
            <w:pPr>
              <w:ind w:left="113" w:right="113"/>
              <w:jc w:val="center"/>
              <w:rPr>
                <w:lang w:val="lt-LT"/>
              </w:rPr>
            </w:pPr>
            <w:r w:rsidRPr="00584E8C">
              <w:rPr>
                <w:lang w:val="lt-LT"/>
              </w:rPr>
              <w:t>Anoniminiai klientai (</w:t>
            </w:r>
            <w:r w:rsidR="00DC2135" w:rsidRPr="00584E8C">
              <w:rPr>
                <w:lang w:val="lt-LT"/>
              </w:rPr>
              <w:t xml:space="preserve">+ </w:t>
            </w:r>
            <w:r w:rsidRPr="00584E8C">
              <w:rPr>
                <w:lang w:val="lt-LT"/>
              </w:rPr>
              <w:t>visa bendruomenė)</w:t>
            </w:r>
          </w:p>
        </w:tc>
      </w:tr>
      <w:tr w:rsidR="000B70F2" w:rsidRPr="00584E8C" w14:paraId="1C97739D" w14:textId="77777777" w:rsidTr="00116DFB">
        <w:tc>
          <w:tcPr>
            <w:tcW w:w="560" w:type="pct"/>
          </w:tcPr>
          <w:p w14:paraId="7666207B" w14:textId="77777777" w:rsidR="004A7D23" w:rsidRPr="00584E8C" w:rsidRDefault="004A7D23" w:rsidP="004A7D23">
            <w:pPr>
              <w:jc w:val="center"/>
              <w:rPr>
                <w:color w:val="FF0000"/>
                <w:lang w:val="lt-LT"/>
              </w:rPr>
            </w:pPr>
            <w:r w:rsidRPr="00584E8C">
              <w:rPr>
                <w:lang w:val="lt-LT"/>
              </w:rPr>
              <w:t>Asmenų skaičius</w:t>
            </w:r>
          </w:p>
        </w:tc>
        <w:tc>
          <w:tcPr>
            <w:tcW w:w="681" w:type="pct"/>
            <w:tcBorders>
              <w:top w:val="nil"/>
              <w:left w:val="nil"/>
              <w:bottom w:val="single" w:sz="8" w:space="0" w:color="auto"/>
              <w:right w:val="single" w:sz="8" w:space="0" w:color="auto"/>
            </w:tcBorders>
          </w:tcPr>
          <w:p w14:paraId="46F8F8DB" w14:textId="77777777" w:rsidR="004A7D23" w:rsidRPr="00584E8C" w:rsidRDefault="009E5D60" w:rsidP="004A7D23">
            <w:pPr>
              <w:jc w:val="center"/>
              <w:rPr>
                <w:lang w:val="lt-LT"/>
              </w:rPr>
            </w:pPr>
            <w:r w:rsidRPr="00584E8C">
              <w:rPr>
                <w:lang w:val="lt-LT"/>
              </w:rPr>
              <w:t>13480</w:t>
            </w:r>
            <w:r w:rsidR="00894446" w:rsidRPr="00584E8C">
              <w:rPr>
                <w:lang w:val="lt-LT"/>
              </w:rPr>
              <w:t xml:space="preserve"> </w:t>
            </w:r>
          </w:p>
          <w:p w14:paraId="586FD23B" w14:textId="77777777" w:rsidR="003F58BA" w:rsidRPr="00584E8C" w:rsidRDefault="003F58BA" w:rsidP="004A7D23">
            <w:pPr>
              <w:jc w:val="center"/>
              <w:rPr>
                <w:lang w:val="lt-LT"/>
              </w:rPr>
            </w:pPr>
          </w:p>
        </w:tc>
        <w:tc>
          <w:tcPr>
            <w:tcW w:w="670" w:type="pct"/>
            <w:tcBorders>
              <w:top w:val="nil"/>
              <w:left w:val="nil"/>
              <w:bottom w:val="single" w:sz="8" w:space="0" w:color="auto"/>
              <w:right w:val="single" w:sz="8" w:space="0" w:color="auto"/>
            </w:tcBorders>
          </w:tcPr>
          <w:p w14:paraId="54E1181E" w14:textId="77777777" w:rsidR="004A7D23" w:rsidRPr="00584E8C" w:rsidRDefault="00076305" w:rsidP="00112B28">
            <w:pPr>
              <w:jc w:val="center"/>
              <w:rPr>
                <w:lang w:val="lt-LT"/>
              </w:rPr>
            </w:pPr>
            <w:r w:rsidRPr="00584E8C">
              <w:rPr>
                <w:lang w:val="lt-LT"/>
              </w:rPr>
              <w:t>16973</w:t>
            </w:r>
            <w:r w:rsidR="00054E29" w:rsidRPr="00584E8C">
              <w:rPr>
                <w:lang w:val="lt-LT"/>
              </w:rPr>
              <w:t xml:space="preserve"> </w:t>
            </w:r>
          </w:p>
        </w:tc>
        <w:tc>
          <w:tcPr>
            <w:tcW w:w="414" w:type="pct"/>
            <w:tcBorders>
              <w:top w:val="nil"/>
              <w:left w:val="nil"/>
              <w:bottom w:val="single" w:sz="8" w:space="0" w:color="auto"/>
              <w:right w:val="single" w:sz="8" w:space="0" w:color="auto"/>
            </w:tcBorders>
          </w:tcPr>
          <w:p w14:paraId="5A672C4F" w14:textId="77777777" w:rsidR="004A7D23" w:rsidRPr="00584E8C" w:rsidRDefault="00076305" w:rsidP="004A7D23">
            <w:pPr>
              <w:jc w:val="center"/>
              <w:rPr>
                <w:lang w:val="lt-LT"/>
              </w:rPr>
            </w:pPr>
            <w:r w:rsidRPr="00584E8C">
              <w:rPr>
                <w:lang w:val="lt-LT"/>
              </w:rPr>
              <w:t>970</w:t>
            </w:r>
          </w:p>
        </w:tc>
        <w:tc>
          <w:tcPr>
            <w:tcW w:w="468" w:type="pct"/>
          </w:tcPr>
          <w:p w14:paraId="431BC4BD" w14:textId="77777777" w:rsidR="004A7D23" w:rsidRPr="00584E8C" w:rsidRDefault="00A80216" w:rsidP="004A7D23">
            <w:pPr>
              <w:jc w:val="center"/>
              <w:rPr>
                <w:color w:val="FF0000"/>
                <w:lang w:val="lt-LT"/>
              </w:rPr>
            </w:pPr>
            <w:r w:rsidRPr="00584E8C">
              <w:rPr>
                <w:lang w:val="lt-LT"/>
              </w:rPr>
              <w:t>3714</w:t>
            </w:r>
          </w:p>
        </w:tc>
        <w:tc>
          <w:tcPr>
            <w:tcW w:w="491" w:type="pct"/>
          </w:tcPr>
          <w:p w14:paraId="1B577209" w14:textId="77777777" w:rsidR="004A7D23" w:rsidRPr="00584E8C" w:rsidRDefault="007E676E" w:rsidP="004A7D23">
            <w:pPr>
              <w:jc w:val="center"/>
              <w:rPr>
                <w:color w:val="FF0000"/>
                <w:lang w:val="lt-LT"/>
              </w:rPr>
            </w:pPr>
            <w:r w:rsidRPr="00584E8C">
              <w:rPr>
                <w:lang w:val="lt-LT"/>
              </w:rPr>
              <w:t>864</w:t>
            </w:r>
          </w:p>
        </w:tc>
        <w:tc>
          <w:tcPr>
            <w:tcW w:w="1055" w:type="pct"/>
          </w:tcPr>
          <w:p w14:paraId="04BE81EA" w14:textId="77777777" w:rsidR="004A7D23" w:rsidRPr="00584E8C" w:rsidRDefault="004A7D23" w:rsidP="004A7D23">
            <w:pPr>
              <w:jc w:val="center"/>
              <w:rPr>
                <w:color w:val="FF0000"/>
                <w:lang w:val="lt-LT"/>
              </w:rPr>
            </w:pPr>
            <w:r w:rsidRPr="00584E8C">
              <w:rPr>
                <w:lang w:val="lt-LT"/>
              </w:rPr>
              <w:t>2</w:t>
            </w:r>
            <w:r w:rsidR="004845C4" w:rsidRPr="00584E8C">
              <w:rPr>
                <w:lang w:val="lt-LT"/>
              </w:rPr>
              <w:t xml:space="preserve"> </w:t>
            </w:r>
          </w:p>
          <w:p w14:paraId="1B8A9BCB" w14:textId="77777777" w:rsidR="004A7D23" w:rsidRPr="00584E8C" w:rsidRDefault="004A7D23" w:rsidP="004A7D23">
            <w:pPr>
              <w:jc w:val="center"/>
              <w:rPr>
                <w:lang w:val="lt-LT"/>
              </w:rPr>
            </w:pPr>
            <w:r w:rsidRPr="00584E8C">
              <w:rPr>
                <w:lang w:val="lt-LT"/>
              </w:rPr>
              <w:t xml:space="preserve">(priverstinis </w:t>
            </w:r>
          </w:p>
          <w:p w14:paraId="2F876D8C" w14:textId="62FB3BDC" w:rsidR="004A7D23" w:rsidRPr="00584E8C" w:rsidRDefault="004A7D23" w:rsidP="004A7D23">
            <w:pPr>
              <w:jc w:val="center"/>
              <w:rPr>
                <w:color w:val="FF0000"/>
                <w:lang w:val="lt-LT"/>
              </w:rPr>
            </w:pPr>
            <w:r w:rsidRPr="00584E8C">
              <w:rPr>
                <w:lang w:val="lt-LT"/>
              </w:rPr>
              <w:t>hospitalizavima</w:t>
            </w:r>
            <w:r w:rsidR="00443812" w:rsidRPr="00584E8C">
              <w:rPr>
                <w:lang w:val="lt-LT"/>
              </w:rPr>
              <w:t>s</w:t>
            </w:r>
            <w:r w:rsidRPr="00584E8C">
              <w:rPr>
                <w:lang w:val="lt-LT"/>
              </w:rPr>
              <w:t>)</w:t>
            </w:r>
          </w:p>
        </w:tc>
        <w:tc>
          <w:tcPr>
            <w:tcW w:w="659" w:type="pct"/>
          </w:tcPr>
          <w:p w14:paraId="7982738A" w14:textId="77777777" w:rsidR="004A7D23" w:rsidRPr="00584E8C" w:rsidRDefault="00AD7BB9" w:rsidP="004A7D23">
            <w:pPr>
              <w:jc w:val="center"/>
              <w:rPr>
                <w:color w:val="FF0000"/>
                <w:lang w:val="lt-LT"/>
              </w:rPr>
            </w:pPr>
            <w:r w:rsidRPr="00584E8C">
              <w:rPr>
                <w:lang w:val="lt-LT"/>
              </w:rPr>
              <w:t>13586</w:t>
            </w:r>
          </w:p>
        </w:tc>
      </w:tr>
    </w:tbl>
    <w:p w14:paraId="793B18E3" w14:textId="1F785176" w:rsidR="0010265B" w:rsidRPr="00584E8C" w:rsidRDefault="000C2BDA" w:rsidP="0010265B">
      <w:pPr>
        <w:ind w:firstLine="720"/>
        <w:jc w:val="both"/>
      </w:pPr>
      <w:r w:rsidRPr="00584E8C">
        <w:t>6.</w:t>
      </w:r>
      <w:r w:rsidR="005F5E68" w:rsidRPr="00584E8C">
        <w:t>1.</w:t>
      </w:r>
      <w:r w:rsidRPr="00584E8C">
        <w:t xml:space="preserve">2. </w:t>
      </w:r>
      <w:r w:rsidR="0010265B" w:rsidRPr="00584E8C">
        <w:t>suteiktų konsultacijų rizikos grupių asmenims skaičius</w:t>
      </w:r>
      <w:r w:rsidR="007A16C4" w:rsidRPr="00584E8C">
        <w:t>:</w:t>
      </w:r>
      <w:r w:rsidR="0010265B" w:rsidRPr="00584E8C">
        <w:t xml:space="preserve"> </w:t>
      </w:r>
      <w:r w:rsidR="0010265B" w:rsidRPr="00584E8C">
        <w:rPr>
          <w:color w:val="FF0000"/>
        </w:rPr>
        <w:softHyphen/>
      </w:r>
      <w:r w:rsidR="00331301" w:rsidRPr="00584E8C">
        <w:t xml:space="preserve">socialinės </w:t>
      </w:r>
      <w:r w:rsidR="008A604C" w:rsidRPr="00584E8C">
        <w:t>–</w:t>
      </w:r>
      <w:r w:rsidR="006A3361" w:rsidRPr="00584E8C">
        <w:t xml:space="preserve"> </w:t>
      </w:r>
      <w:r w:rsidR="00D33A1C" w:rsidRPr="00584E8C">
        <w:t>18397</w:t>
      </w:r>
      <w:r w:rsidR="00716BC9" w:rsidRPr="00584E8C">
        <w:t>,</w:t>
      </w:r>
      <w:r w:rsidR="00331301" w:rsidRPr="00584E8C">
        <w:t xml:space="preserve">  medicininės –</w:t>
      </w:r>
      <w:r w:rsidR="00116DFB" w:rsidRPr="00584E8C">
        <w:t xml:space="preserve"> </w:t>
      </w:r>
      <w:r w:rsidR="000D3478" w:rsidRPr="00584E8C">
        <w:t>7398</w:t>
      </w:r>
      <w:r w:rsidR="00716BC9" w:rsidRPr="00584E8C">
        <w:t>;</w:t>
      </w:r>
    </w:p>
    <w:p w14:paraId="6B36A7E9" w14:textId="77777777" w:rsidR="000C2BDA" w:rsidRPr="00584E8C" w:rsidRDefault="000C2BDA" w:rsidP="000C2BDA">
      <w:pPr>
        <w:ind w:firstLine="720"/>
        <w:jc w:val="both"/>
        <w:rPr>
          <w:b/>
          <w:color w:val="FF0000"/>
          <w:sz w:val="16"/>
          <w:szCs w:val="16"/>
        </w:rPr>
      </w:pPr>
      <w:r w:rsidRPr="00584E8C">
        <w:t>6.</w:t>
      </w:r>
      <w:r w:rsidR="005F5E68" w:rsidRPr="00584E8C">
        <w:t>1.</w:t>
      </w:r>
      <w:r w:rsidRPr="00584E8C">
        <w:t>3. suteiktų rizikos grupių asmenims apsaugos ir higienos priemonių skaičius:</w:t>
      </w:r>
    </w:p>
    <w:tbl>
      <w:tblPr>
        <w:tblStyle w:val="Lentelstinklelis1"/>
        <w:tblW w:w="9634" w:type="dxa"/>
        <w:tblLook w:val="04A0" w:firstRow="1" w:lastRow="0" w:firstColumn="1" w:lastColumn="0" w:noHBand="0" w:noVBand="1"/>
      </w:tblPr>
      <w:tblGrid>
        <w:gridCol w:w="1430"/>
        <w:gridCol w:w="4235"/>
        <w:gridCol w:w="3969"/>
      </w:tblGrid>
      <w:tr w:rsidR="000C2BDA" w:rsidRPr="00584E8C" w14:paraId="32B7CD2C" w14:textId="77777777" w:rsidTr="002A627F">
        <w:tc>
          <w:tcPr>
            <w:tcW w:w="1430" w:type="dxa"/>
          </w:tcPr>
          <w:p w14:paraId="2AD481C5" w14:textId="77777777" w:rsidR="000C2BDA" w:rsidRPr="00584E8C" w:rsidRDefault="000C2BDA" w:rsidP="007B7311">
            <w:pPr>
              <w:jc w:val="center"/>
              <w:rPr>
                <w:lang w:val="lt-LT"/>
              </w:rPr>
            </w:pPr>
            <w:r w:rsidRPr="00584E8C">
              <w:rPr>
                <w:lang w:val="lt-LT"/>
              </w:rPr>
              <w:t>Rizikos grupės</w:t>
            </w:r>
          </w:p>
        </w:tc>
        <w:tc>
          <w:tcPr>
            <w:tcW w:w="4235" w:type="dxa"/>
          </w:tcPr>
          <w:p w14:paraId="35831A3D" w14:textId="77777777" w:rsidR="000C2BDA" w:rsidRPr="00584E8C" w:rsidRDefault="000C2BDA" w:rsidP="007B7311">
            <w:pPr>
              <w:jc w:val="center"/>
              <w:rPr>
                <w:lang w:val="lt-LT"/>
              </w:rPr>
            </w:pPr>
            <w:r w:rsidRPr="00584E8C">
              <w:rPr>
                <w:rFonts w:eastAsia="Calibri"/>
                <w:kern w:val="3"/>
                <w:lang w:val="lt-LT"/>
              </w:rPr>
              <w:t>Žemo slenksčio paslaugų stacionaraus kabineto (toliau – Kabinetas) veikla (švirkščiamųjų narkotikų vartotojams)</w:t>
            </w:r>
          </w:p>
        </w:tc>
        <w:tc>
          <w:tcPr>
            <w:tcW w:w="3969" w:type="dxa"/>
          </w:tcPr>
          <w:p w14:paraId="01926E6E" w14:textId="77777777" w:rsidR="000C2BDA" w:rsidRPr="00584E8C" w:rsidRDefault="000C2BDA" w:rsidP="007B7311">
            <w:pPr>
              <w:jc w:val="center"/>
              <w:rPr>
                <w:rFonts w:eastAsia="Calibri"/>
                <w:lang w:val="lt-LT"/>
              </w:rPr>
            </w:pPr>
            <w:r w:rsidRPr="00584E8C">
              <w:rPr>
                <w:rFonts w:eastAsia="Calibri"/>
                <w:lang w:val="lt-LT"/>
              </w:rPr>
              <w:t>Žemo slenksčio paslaugų mobilaus kabineto (toliau- kabinetas) veikla</w:t>
            </w:r>
          </w:p>
          <w:p w14:paraId="69A32463" w14:textId="77777777" w:rsidR="000C2BDA" w:rsidRPr="00584E8C" w:rsidRDefault="000C2BDA" w:rsidP="007B7311">
            <w:pPr>
              <w:jc w:val="center"/>
              <w:rPr>
                <w:lang w:val="lt-LT"/>
              </w:rPr>
            </w:pPr>
            <w:r w:rsidRPr="00584E8C">
              <w:rPr>
                <w:rFonts w:eastAsia="Calibri"/>
                <w:kern w:val="3"/>
                <w:lang w:val="lt-LT"/>
              </w:rPr>
              <w:t>(švirkščiamųjų narkotikų vartotojams)</w:t>
            </w:r>
          </w:p>
        </w:tc>
      </w:tr>
      <w:tr w:rsidR="000C2BDA" w:rsidRPr="00584E8C" w14:paraId="2F25373A" w14:textId="77777777" w:rsidTr="002A627F">
        <w:tc>
          <w:tcPr>
            <w:tcW w:w="1430" w:type="dxa"/>
          </w:tcPr>
          <w:p w14:paraId="5046E2CE" w14:textId="77777777" w:rsidR="000C2BDA" w:rsidRPr="00584E8C" w:rsidRDefault="000C2BDA" w:rsidP="007B7311">
            <w:pPr>
              <w:jc w:val="center"/>
              <w:rPr>
                <w:color w:val="FF0000"/>
                <w:lang w:val="lt-LT"/>
              </w:rPr>
            </w:pPr>
            <w:r w:rsidRPr="00584E8C">
              <w:rPr>
                <w:lang w:val="lt-LT"/>
              </w:rPr>
              <w:t>Priemonių pavadinimas / skaičius</w:t>
            </w:r>
          </w:p>
        </w:tc>
        <w:tc>
          <w:tcPr>
            <w:tcW w:w="4235" w:type="dxa"/>
          </w:tcPr>
          <w:p w14:paraId="4A77E029" w14:textId="469CE45A" w:rsidR="001952DA" w:rsidRPr="00584E8C" w:rsidRDefault="00FF78F6" w:rsidP="002A627F">
            <w:pPr>
              <w:widowControl w:val="0"/>
              <w:suppressAutoHyphens/>
              <w:overflowPunct w:val="0"/>
              <w:autoSpaceDE w:val="0"/>
              <w:autoSpaceDN w:val="0"/>
              <w:ind w:right="130"/>
              <w:jc w:val="both"/>
              <w:textAlignment w:val="baseline"/>
              <w:rPr>
                <w:lang w:val="lt-LT"/>
              </w:rPr>
            </w:pPr>
            <w:r w:rsidRPr="00584E8C">
              <w:rPr>
                <w:bCs/>
                <w:lang w:val="lt-LT"/>
              </w:rPr>
              <w:t>Išdalinta</w:t>
            </w:r>
            <w:r w:rsidR="000C2BDA" w:rsidRPr="00584E8C">
              <w:rPr>
                <w:bCs/>
                <w:lang w:val="lt-LT"/>
              </w:rPr>
              <w:t>:</w:t>
            </w:r>
            <w:r w:rsidRPr="00584E8C">
              <w:rPr>
                <w:lang w:val="lt-LT"/>
              </w:rPr>
              <w:t xml:space="preserve"> adatų ir švirkštų</w:t>
            </w:r>
            <w:r w:rsidR="000C2BDA" w:rsidRPr="00584E8C">
              <w:rPr>
                <w:lang w:val="lt-LT"/>
              </w:rPr>
              <w:t xml:space="preserve"> </w:t>
            </w:r>
            <w:r w:rsidR="001124D2" w:rsidRPr="00584E8C">
              <w:rPr>
                <w:lang w:val="lt-LT"/>
              </w:rPr>
              <w:t xml:space="preserve">91348 </w:t>
            </w:r>
            <w:r w:rsidRPr="00584E8C">
              <w:rPr>
                <w:lang w:val="lt-LT"/>
              </w:rPr>
              <w:t>vnt.</w:t>
            </w:r>
            <w:r w:rsidR="001952DA" w:rsidRPr="00584E8C">
              <w:rPr>
                <w:lang w:val="lt-LT"/>
              </w:rPr>
              <w:t>,</w:t>
            </w:r>
            <w:r w:rsidRPr="00584E8C">
              <w:rPr>
                <w:lang w:val="lt-LT"/>
              </w:rPr>
              <w:t xml:space="preserve"> </w:t>
            </w:r>
            <w:r w:rsidR="000C2BDA" w:rsidRPr="00584E8C">
              <w:rPr>
                <w:lang w:val="lt-LT"/>
              </w:rPr>
              <w:t>dezinfekci</w:t>
            </w:r>
            <w:r w:rsidR="00C1603C" w:rsidRPr="00584E8C">
              <w:rPr>
                <w:lang w:val="lt-LT"/>
              </w:rPr>
              <w:t>jos priemoni</w:t>
            </w:r>
            <w:r w:rsidR="008B6B6A" w:rsidRPr="00584E8C">
              <w:rPr>
                <w:lang w:val="lt-LT"/>
              </w:rPr>
              <w:t>ų</w:t>
            </w:r>
            <w:r w:rsidR="001952DA" w:rsidRPr="00584E8C">
              <w:rPr>
                <w:lang w:val="lt-LT"/>
              </w:rPr>
              <w:t xml:space="preserve"> </w:t>
            </w:r>
            <w:r w:rsidR="007F7604" w:rsidRPr="00584E8C">
              <w:rPr>
                <w:lang w:val="lt-LT"/>
              </w:rPr>
              <w:t>157466</w:t>
            </w:r>
            <w:r w:rsidR="002A627F" w:rsidRPr="00584E8C">
              <w:rPr>
                <w:lang w:val="lt-LT"/>
              </w:rPr>
              <w:t xml:space="preserve"> vnt.,</w:t>
            </w:r>
            <w:r w:rsidR="007F7604" w:rsidRPr="00584E8C">
              <w:rPr>
                <w:lang w:val="lt-LT"/>
              </w:rPr>
              <w:t xml:space="preserve"> </w:t>
            </w:r>
            <w:r w:rsidR="000C2BDA" w:rsidRPr="00584E8C">
              <w:rPr>
                <w:lang w:val="lt-LT"/>
              </w:rPr>
              <w:t>prez</w:t>
            </w:r>
            <w:r w:rsidR="00C1603C" w:rsidRPr="00584E8C">
              <w:rPr>
                <w:lang w:val="lt-LT"/>
              </w:rPr>
              <w:t xml:space="preserve">ervatyvų </w:t>
            </w:r>
            <w:r w:rsidR="007F7604" w:rsidRPr="00584E8C">
              <w:rPr>
                <w:lang w:val="lt-LT"/>
              </w:rPr>
              <w:t>14920</w:t>
            </w:r>
            <w:r w:rsidR="00C1603C" w:rsidRPr="00584E8C">
              <w:rPr>
                <w:lang w:val="lt-LT"/>
              </w:rPr>
              <w:t xml:space="preserve"> vnt.</w:t>
            </w:r>
            <w:r w:rsidR="002A627F" w:rsidRPr="00584E8C">
              <w:rPr>
                <w:lang w:val="lt-LT"/>
              </w:rPr>
              <w:t>,</w:t>
            </w:r>
            <w:r w:rsidR="00C1603C" w:rsidRPr="00584E8C">
              <w:rPr>
                <w:lang w:val="lt-LT"/>
              </w:rPr>
              <w:t xml:space="preserve"> tvarsliavos</w:t>
            </w:r>
            <w:r w:rsidR="002A627F" w:rsidRPr="00584E8C">
              <w:rPr>
                <w:lang w:val="lt-LT"/>
              </w:rPr>
              <w:t xml:space="preserve"> </w:t>
            </w:r>
            <w:r w:rsidR="009E750F" w:rsidRPr="00584E8C">
              <w:rPr>
                <w:lang w:val="lt-LT"/>
              </w:rPr>
              <w:t>79467</w:t>
            </w:r>
            <w:r w:rsidR="00C1603C" w:rsidRPr="00584E8C">
              <w:rPr>
                <w:lang w:val="lt-LT"/>
              </w:rPr>
              <w:t xml:space="preserve"> vnt.</w:t>
            </w:r>
            <w:r w:rsidR="001952DA" w:rsidRPr="00584E8C">
              <w:rPr>
                <w:lang w:val="lt-LT"/>
              </w:rPr>
              <w:t xml:space="preserve"> </w:t>
            </w:r>
          </w:p>
          <w:p w14:paraId="73DF713D" w14:textId="77777777" w:rsidR="000C2BDA" w:rsidRPr="00584E8C" w:rsidRDefault="001952DA" w:rsidP="002A627F">
            <w:pPr>
              <w:widowControl w:val="0"/>
              <w:suppressAutoHyphens/>
              <w:overflowPunct w:val="0"/>
              <w:autoSpaceDE w:val="0"/>
              <w:autoSpaceDN w:val="0"/>
              <w:ind w:right="130"/>
              <w:jc w:val="both"/>
              <w:textAlignment w:val="baseline"/>
              <w:rPr>
                <w:rFonts w:ascii="Calibri" w:hAnsi="Calibri"/>
                <w:color w:val="FF0000"/>
                <w:kern w:val="3"/>
                <w:sz w:val="22"/>
                <w:szCs w:val="22"/>
                <w:lang w:val="lt-LT"/>
              </w:rPr>
            </w:pPr>
            <w:r w:rsidRPr="00584E8C">
              <w:rPr>
                <w:lang w:val="lt-LT"/>
              </w:rPr>
              <w:t xml:space="preserve">Surinkta adatų ir švirkštų </w:t>
            </w:r>
            <w:r w:rsidR="00802399" w:rsidRPr="00584E8C">
              <w:rPr>
                <w:lang w:val="lt-LT"/>
              </w:rPr>
              <w:t>–142339</w:t>
            </w:r>
            <w:r w:rsidRPr="00584E8C">
              <w:rPr>
                <w:lang w:val="lt-LT"/>
              </w:rPr>
              <w:t xml:space="preserve"> vnt.</w:t>
            </w:r>
          </w:p>
        </w:tc>
        <w:tc>
          <w:tcPr>
            <w:tcW w:w="3969" w:type="dxa"/>
          </w:tcPr>
          <w:p w14:paraId="5E082406" w14:textId="5C0419D4" w:rsidR="001952DA" w:rsidRPr="00584E8C" w:rsidRDefault="00C1180F" w:rsidP="002A627F">
            <w:pPr>
              <w:jc w:val="both"/>
              <w:rPr>
                <w:lang w:val="lt-LT" w:eastAsia="ar-SA"/>
              </w:rPr>
            </w:pPr>
            <w:r w:rsidRPr="00584E8C">
              <w:rPr>
                <w:lang w:val="lt-LT" w:eastAsia="ar-SA"/>
              </w:rPr>
              <w:t>Išdalinta</w:t>
            </w:r>
            <w:r w:rsidR="001952DA" w:rsidRPr="00584E8C">
              <w:rPr>
                <w:lang w:val="lt-LT" w:eastAsia="ar-SA"/>
              </w:rPr>
              <w:t>:</w:t>
            </w:r>
            <w:r w:rsidRPr="00584E8C">
              <w:rPr>
                <w:lang w:val="lt-LT" w:eastAsia="ar-SA"/>
              </w:rPr>
              <w:t xml:space="preserve"> </w:t>
            </w:r>
            <w:r w:rsidR="00D84FC2" w:rsidRPr="00584E8C">
              <w:rPr>
                <w:lang w:val="lt-LT" w:eastAsia="ar-SA"/>
              </w:rPr>
              <w:t xml:space="preserve">adatų ir švirkštų </w:t>
            </w:r>
            <w:r w:rsidR="00647357" w:rsidRPr="00584E8C">
              <w:rPr>
                <w:lang w:val="lt-LT" w:eastAsia="ar-SA"/>
              </w:rPr>
              <w:t>121298</w:t>
            </w:r>
            <w:r w:rsidRPr="00584E8C">
              <w:rPr>
                <w:lang w:val="lt-LT" w:eastAsia="ar-SA"/>
              </w:rPr>
              <w:t xml:space="preserve"> </w:t>
            </w:r>
            <w:r w:rsidR="00D84FC2" w:rsidRPr="00584E8C">
              <w:rPr>
                <w:lang w:val="lt-LT" w:eastAsia="ar-SA"/>
              </w:rPr>
              <w:t>vnt.</w:t>
            </w:r>
            <w:r w:rsidRPr="00584E8C">
              <w:rPr>
                <w:lang w:val="lt-LT" w:eastAsia="ar-SA"/>
              </w:rPr>
              <w:t xml:space="preserve">, </w:t>
            </w:r>
            <w:r w:rsidR="002A627F" w:rsidRPr="00584E8C">
              <w:rPr>
                <w:lang w:val="lt-LT" w:eastAsia="ar-SA"/>
              </w:rPr>
              <w:t xml:space="preserve">dezinfekcijos priemonių 95753 vnt., prezervatyvų </w:t>
            </w:r>
            <w:r w:rsidR="00647357" w:rsidRPr="00584E8C">
              <w:rPr>
                <w:lang w:val="lt-LT" w:eastAsia="ar-SA"/>
              </w:rPr>
              <w:t>799</w:t>
            </w:r>
            <w:r w:rsidR="00AB1A70" w:rsidRPr="00584E8C">
              <w:rPr>
                <w:lang w:val="lt-LT" w:eastAsia="ar-SA"/>
              </w:rPr>
              <w:t xml:space="preserve">, </w:t>
            </w:r>
            <w:r w:rsidR="002A627F" w:rsidRPr="00584E8C">
              <w:rPr>
                <w:lang w:val="lt-LT" w:eastAsia="ar-SA"/>
              </w:rPr>
              <w:t xml:space="preserve">tvarsliavos </w:t>
            </w:r>
            <w:r w:rsidR="00DA77FA" w:rsidRPr="00584E8C">
              <w:rPr>
                <w:lang w:val="lt-LT" w:eastAsia="ar-SA"/>
              </w:rPr>
              <w:t xml:space="preserve">26728 </w:t>
            </w:r>
            <w:r w:rsidR="000C2BDA" w:rsidRPr="00584E8C">
              <w:rPr>
                <w:lang w:val="lt-LT" w:eastAsia="ar-SA"/>
              </w:rPr>
              <w:t>vnt</w:t>
            </w:r>
            <w:r w:rsidR="002A627F" w:rsidRPr="00584E8C">
              <w:rPr>
                <w:lang w:val="lt-LT" w:eastAsia="ar-SA"/>
              </w:rPr>
              <w:t>.</w:t>
            </w:r>
            <w:r w:rsidR="001952DA" w:rsidRPr="00584E8C">
              <w:rPr>
                <w:lang w:val="lt-LT" w:eastAsia="ar-SA"/>
              </w:rPr>
              <w:t xml:space="preserve"> </w:t>
            </w:r>
          </w:p>
          <w:p w14:paraId="795AE58C" w14:textId="77777777" w:rsidR="000C2BDA" w:rsidRPr="00584E8C" w:rsidRDefault="001952DA" w:rsidP="002A627F">
            <w:pPr>
              <w:jc w:val="both"/>
              <w:rPr>
                <w:lang w:val="lt-LT" w:eastAsia="ar-SA"/>
              </w:rPr>
            </w:pPr>
            <w:r w:rsidRPr="00584E8C">
              <w:rPr>
                <w:lang w:val="lt-LT" w:eastAsia="ar-SA"/>
              </w:rPr>
              <w:t xml:space="preserve">Surinkta adatų ir švirkštų </w:t>
            </w:r>
            <w:r w:rsidR="00DA77FA" w:rsidRPr="00584E8C">
              <w:rPr>
                <w:lang w:val="lt-LT" w:eastAsia="ar-SA"/>
              </w:rPr>
              <w:t>–</w:t>
            </w:r>
            <w:r w:rsidR="0076652A" w:rsidRPr="00584E8C">
              <w:rPr>
                <w:lang w:val="lt-LT" w:eastAsia="ar-SA"/>
              </w:rPr>
              <w:t>194250</w:t>
            </w:r>
            <w:r w:rsidR="003D085D" w:rsidRPr="00584E8C">
              <w:rPr>
                <w:lang w:val="lt-LT" w:eastAsia="ar-SA"/>
              </w:rPr>
              <w:t xml:space="preserve"> </w:t>
            </w:r>
            <w:r w:rsidRPr="00584E8C">
              <w:rPr>
                <w:lang w:val="lt-LT" w:eastAsia="ar-SA"/>
              </w:rPr>
              <w:t>vnt.</w:t>
            </w:r>
          </w:p>
        </w:tc>
      </w:tr>
    </w:tbl>
    <w:p w14:paraId="41C48037" w14:textId="77777777" w:rsidR="004340C7" w:rsidRPr="00584E8C" w:rsidRDefault="00915509" w:rsidP="004C6E06">
      <w:pPr>
        <w:ind w:firstLine="720"/>
        <w:jc w:val="both"/>
        <w:rPr>
          <w:color w:val="FF0000"/>
        </w:rPr>
      </w:pPr>
      <w:r w:rsidRPr="00584E8C">
        <w:t>6.</w:t>
      </w:r>
      <w:r w:rsidR="005F5E68" w:rsidRPr="00584E8C">
        <w:t>1.</w:t>
      </w:r>
      <w:r w:rsidRPr="00584E8C">
        <w:t>4.</w:t>
      </w:r>
      <w:r w:rsidR="004340C7" w:rsidRPr="00584E8C">
        <w:t xml:space="preserve"> įgyvendintų ugdymo priemonių skaičius –</w:t>
      </w:r>
      <w:r w:rsidR="00600CFA" w:rsidRPr="00584E8C">
        <w:t xml:space="preserve"> </w:t>
      </w:r>
      <w:r w:rsidR="0021095E" w:rsidRPr="00584E8C">
        <w:t>6905</w:t>
      </w:r>
      <w:r w:rsidR="004021DC" w:rsidRPr="00584E8C">
        <w:t>;</w:t>
      </w:r>
    </w:p>
    <w:p w14:paraId="2A779726" w14:textId="7FFD1B5C" w:rsidR="00A176FE" w:rsidRPr="00584E8C" w:rsidRDefault="00915509" w:rsidP="004C6E06">
      <w:pPr>
        <w:ind w:firstLine="720"/>
        <w:jc w:val="both"/>
      </w:pPr>
      <w:r w:rsidRPr="00584E8C">
        <w:t>6.</w:t>
      </w:r>
      <w:r w:rsidR="005F5E68" w:rsidRPr="00584E8C">
        <w:t>1.</w:t>
      </w:r>
      <w:r w:rsidRPr="00584E8C">
        <w:t>5.</w:t>
      </w:r>
      <w:r w:rsidR="004340C7" w:rsidRPr="00584E8C">
        <w:t xml:space="preserve"> parengtų ir išplatintų visuomenės informavimo sveikatos klausimais priemonių skaičius </w:t>
      </w:r>
      <w:r w:rsidR="00262DC8" w:rsidRPr="00584E8C">
        <w:t>–</w:t>
      </w:r>
      <w:r w:rsidR="002A627F" w:rsidRPr="00584E8C">
        <w:t xml:space="preserve"> </w:t>
      </w:r>
      <w:r w:rsidR="00A56C65" w:rsidRPr="00584E8C">
        <w:t>33957</w:t>
      </w:r>
      <w:r w:rsidR="00A176FE" w:rsidRPr="00584E8C">
        <w:t xml:space="preserve">; </w:t>
      </w:r>
    </w:p>
    <w:p w14:paraId="48EE4620" w14:textId="77777777" w:rsidR="00262DC8" w:rsidRPr="00584E8C" w:rsidRDefault="00915509" w:rsidP="004C6E06">
      <w:pPr>
        <w:ind w:firstLine="720"/>
        <w:jc w:val="both"/>
      </w:pPr>
      <w:r w:rsidRPr="00584E8C">
        <w:t>6.</w:t>
      </w:r>
      <w:r w:rsidR="005F5E68" w:rsidRPr="00584E8C">
        <w:t>1.</w:t>
      </w:r>
      <w:r w:rsidRPr="00584E8C">
        <w:t>6.</w:t>
      </w:r>
      <w:r w:rsidR="00262DC8" w:rsidRPr="00584E8C">
        <w:t xml:space="preserve"> sveikatinimo veiklų trukmė </w:t>
      </w:r>
      <w:r w:rsidR="007B4521" w:rsidRPr="00584E8C">
        <w:t>–</w:t>
      </w:r>
      <w:r w:rsidR="00600CFA" w:rsidRPr="00584E8C">
        <w:t xml:space="preserve"> </w:t>
      </w:r>
      <w:r w:rsidR="00501A07" w:rsidRPr="00584E8C">
        <w:t>5973</w:t>
      </w:r>
      <w:r w:rsidR="00262DC8" w:rsidRPr="00584E8C">
        <w:t xml:space="preserve"> val.;</w:t>
      </w:r>
    </w:p>
    <w:p w14:paraId="780511BD" w14:textId="030ECFEC" w:rsidR="00262DC8" w:rsidRPr="00584E8C" w:rsidRDefault="00915509" w:rsidP="004C6E06">
      <w:pPr>
        <w:ind w:firstLine="720"/>
        <w:jc w:val="both"/>
      </w:pPr>
      <w:r w:rsidRPr="00584E8C">
        <w:t>6.</w:t>
      </w:r>
      <w:r w:rsidR="005F5E68" w:rsidRPr="00584E8C">
        <w:t>1.</w:t>
      </w:r>
      <w:r w:rsidRPr="00584E8C">
        <w:t>7.</w:t>
      </w:r>
      <w:r w:rsidR="00262DC8" w:rsidRPr="00584E8C">
        <w:t xml:space="preserve"> anoniminės emocinės pagalb</w:t>
      </w:r>
      <w:r w:rsidR="00AC616C" w:rsidRPr="00584E8C">
        <w:t xml:space="preserve">os teikimo trukmė – </w:t>
      </w:r>
      <w:r w:rsidR="00071254" w:rsidRPr="00584E8C">
        <w:t>14600</w:t>
      </w:r>
      <w:r w:rsidR="00116DFB" w:rsidRPr="00584E8C">
        <w:t xml:space="preserve"> </w:t>
      </w:r>
      <w:r w:rsidR="00262DC8" w:rsidRPr="00584E8C">
        <w:t>val.</w:t>
      </w:r>
      <w:r w:rsidR="003A7438" w:rsidRPr="00584E8C">
        <w:t>;</w:t>
      </w:r>
    </w:p>
    <w:p w14:paraId="758670E0" w14:textId="77777777" w:rsidR="00711E72" w:rsidRPr="00584E8C" w:rsidRDefault="00915509" w:rsidP="004C6E06">
      <w:pPr>
        <w:ind w:firstLine="720"/>
        <w:jc w:val="both"/>
      </w:pPr>
      <w:r w:rsidRPr="00600CFA">
        <w:rPr>
          <w:lang w:val="en-US"/>
        </w:rPr>
        <w:t>6.</w:t>
      </w:r>
      <w:r w:rsidR="005F5E68" w:rsidRPr="00600CFA">
        <w:rPr>
          <w:lang w:val="en-US"/>
        </w:rPr>
        <w:t>1.</w:t>
      </w:r>
      <w:r w:rsidRPr="00600CFA">
        <w:rPr>
          <w:lang w:val="en-US"/>
        </w:rPr>
        <w:t>8.</w:t>
      </w:r>
      <w:r w:rsidR="007A5BEB" w:rsidRPr="00600CFA">
        <w:rPr>
          <w:lang w:val="en-US"/>
        </w:rPr>
        <w:t xml:space="preserve"> </w:t>
      </w:r>
      <w:r w:rsidR="00711E72" w:rsidRPr="00584E8C">
        <w:t xml:space="preserve">profilaktiškai patikrintų asmenų (pagal tikslines grupes) skaičius – </w:t>
      </w:r>
      <w:r w:rsidR="002C0947" w:rsidRPr="00584E8C">
        <w:t>1093;</w:t>
      </w:r>
    </w:p>
    <w:p w14:paraId="41A52CE6" w14:textId="4AB59AC3" w:rsidR="00711E72" w:rsidRPr="00584E8C" w:rsidRDefault="00F65E60" w:rsidP="004C6E06">
      <w:pPr>
        <w:ind w:firstLine="720"/>
        <w:jc w:val="both"/>
        <w:rPr>
          <w:color w:val="FF0000"/>
        </w:rPr>
      </w:pPr>
      <w:r w:rsidRPr="00584E8C">
        <w:t>6.</w:t>
      </w:r>
      <w:r w:rsidR="005F5E68" w:rsidRPr="00584E8C">
        <w:t>1.</w:t>
      </w:r>
      <w:r w:rsidRPr="00584E8C">
        <w:t xml:space="preserve">9. </w:t>
      </w:r>
      <w:r w:rsidR="00711E72" w:rsidRPr="00584E8C">
        <w:t>asociacijų, dalyvaujančių įgyvendinant sveikatinimo programas</w:t>
      </w:r>
      <w:r w:rsidR="00584E8C">
        <w:t>,</w:t>
      </w:r>
      <w:r w:rsidR="00711E72" w:rsidRPr="00584E8C">
        <w:t xml:space="preserve"> skaičius </w:t>
      </w:r>
      <w:r w:rsidR="00007579" w:rsidRPr="00584E8C">
        <w:t>–</w:t>
      </w:r>
      <w:r w:rsidR="00E14105" w:rsidRPr="00584E8C">
        <w:t xml:space="preserve"> 16</w:t>
      </w:r>
      <w:r w:rsidR="00FD66E7" w:rsidRPr="00584E8C">
        <w:t>;</w:t>
      </w:r>
    </w:p>
    <w:p w14:paraId="78B84034" w14:textId="77777777" w:rsidR="00007579" w:rsidRPr="00584E8C" w:rsidRDefault="00560FAB" w:rsidP="00007579">
      <w:pPr>
        <w:ind w:firstLine="720"/>
        <w:jc w:val="both"/>
      </w:pPr>
      <w:r w:rsidRPr="00584E8C">
        <w:t>6.</w:t>
      </w:r>
      <w:r w:rsidR="005F5E68" w:rsidRPr="00584E8C">
        <w:t>1.</w:t>
      </w:r>
      <w:r w:rsidRPr="00584E8C">
        <w:t>10.</w:t>
      </w:r>
      <w:r w:rsidR="00007579" w:rsidRPr="00584E8C">
        <w:t xml:space="preserve"> atliktų aplinkos kokybės tyrimų skaičius – </w:t>
      </w:r>
      <w:r w:rsidR="00A339CB" w:rsidRPr="00584E8C">
        <w:t>19.</w:t>
      </w:r>
    </w:p>
    <w:p w14:paraId="4F840420" w14:textId="77777777" w:rsidR="004C6E06" w:rsidRPr="004C6E06" w:rsidRDefault="005F5E68" w:rsidP="00A54CA0">
      <w:pPr>
        <w:ind w:firstLine="720"/>
        <w:jc w:val="both"/>
      </w:pPr>
      <w:r>
        <w:t>6</w:t>
      </w:r>
      <w:r w:rsidR="006B0318">
        <w:t>.</w:t>
      </w:r>
      <w:r>
        <w:t>2.</w:t>
      </w:r>
      <w:r w:rsidR="004C6E06" w:rsidRPr="004C6E06">
        <w:t xml:space="preserve"> Rezultato vertinimo kriterij</w:t>
      </w:r>
      <w:r>
        <w:t>ų</w:t>
      </w:r>
      <w:r w:rsidR="004C6E06" w:rsidRPr="004C6E06">
        <w:t>:</w:t>
      </w:r>
    </w:p>
    <w:p w14:paraId="169F1592" w14:textId="77777777" w:rsidR="00AE7FDC" w:rsidRDefault="00826D96" w:rsidP="005F5E68">
      <w:pPr>
        <w:ind w:firstLine="709"/>
        <w:jc w:val="both"/>
      </w:pPr>
      <w:r>
        <w:t xml:space="preserve">6.2.1. </w:t>
      </w:r>
      <w:r w:rsidR="004C6E06" w:rsidRPr="004C6E06">
        <w:t>Klaipėdos miesto gyventojų elgsenos sveikos gyvensenos klausimais pokyčia</w:t>
      </w:r>
      <w:r w:rsidR="004C6E06" w:rsidRPr="008B6B6A">
        <w:t>i:</w:t>
      </w:r>
      <w:r w:rsidR="005F5E68" w:rsidRPr="008B6B6A">
        <w:t xml:space="preserve"> </w:t>
      </w:r>
      <w:bookmarkStart w:id="3" w:name="_Hlk120549269"/>
    </w:p>
    <w:p w14:paraId="700B42A0" w14:textId="572192E0" w:rsidR="00734821" w:rsidRPr="00A21139" w:rsidRDefault="00AE7FDC" w:rsidP="00AE7FDC">
      <w:pPr>
        <w:ind w:firstLine="720"/>
        <w:jc w:val="both"/>
      </w:pPr>
      <w:r w:rsidRPr="00584E8C">
        <w:rPr>
          <w:iCs/>
        </w:rPr>
        <w:t>2012 m.</w:t>
      </w:r>
      <w:r w:rsidRPr="00A21139">
        <w:t xml:space="preserve"> 32,2 proc. respondentų pakeitė mitybos ir kitus įpročius dėl sveikatos</w:t>
      </w:r>
      <w:r w:rsidR="00734821" w:rsidRPr="00A21139">
        <w:t>:</w:t>
      </w:r>
      <w:r w:rsidRPr="00A21139">
        <w:t xml:space="preserve"> </w:t>
      </w:r>
      <w:r w:rsidR="00734821" w:rsidRPr="00A21139">
        <w:t>15,3 proc. respondentų teigė, kad per paskutinius 12 mėn. vartojo mažiau riebalų, 11,3 proc. vartojo mažiau druskos, 3,9 proc. pakeitė riebalų rūšį, 3,5 proc. laikėsi svorį mažinančios dietos, 18,2 proc. vartojo daugiau daržovių,</w:t>
      </w:r>
      <w:r w:rsidR="00A21139" w:rsidRPr="00A21139">
        <w:t xml:space="preserve"> 14,5 proc. vartojo mažiau cukraus. 7,3 proc. padidino fizinį aktyvumą. 5,2 proc. vartojo mažiau alkoholio, 0,1 proc. metė rūkyti</w:t>
      </w:r>
      <w:r w:rsidR="00584E8C">
        <w:t>;</w:t>
      </w:r>
    </w:p>
    <w:p w14:paraId="7B07E3FD" w14:textId="024F4A3F" w:rsidR="00AE7FDC" w:rsidRPr="00A21139" w:rsidRDefault="00AE7FDC" w:rsidP="00AE7FDC">
      <w:pPr>
        <w:ind w:firstLine="720"/>
        <w:jc w:val="both"/>
      </w:pPr>
      <w:r w:rsidRPr="00584E8C">
        <w:rPr>
          <w:iCs/>
        </w:rPr>
        <w:lastRenderedPageBreak/>
        <w:t>2018 m.</w:t>
      </w:r>
      <w:r w:rsidRPr="00A21139">
        <w:t xml:space="preserve"> 43,7 proc. respondentų pakeitė savo gyvenseną dėl sveikatos</w:t>
      </w:r>
      <w:r w:rsidR="00584E8C">
        <w:t>;</w:t>
      </w:r>
    </w:p>
    <w:p w14:paraId="78C26874" w14:textId="4BDC89E6" w:rsidR="004C6E06" w:rsidRPr="00A21139" w:rsidRDefault="004C6E06" w:rsidP="005F5E68">
      <w:pPr>
        <w:ind w:firstLine="709"/>
        <w:jc w:val="both"/>
      </w:pPr>
      <w:r w:rsidRPr="00584E8C">
        <w:rPr>
          <w:iCs/>
        </w:rPr>
        <w:t>2022 m.</w:t>
      </w:r>
      <w:r w:rsidRPr="00A21139">
        <w:t xml:space="preserve"> 33,1 proc. respondentų pradėjo sveikiau maitintis, 29,6 proc. tapo fiziškai aktyvesniais, 11,2 proc. mažiau rūkė arba metė rūkyti, 12,7 proc. vartojo mažiau alkoholio arba metė vartoti</w:t>
      </w:r>
      <w:r w:rsidR="00584E8C">
        <w:t>;</w:t>
      </w:r>
    </w:p>
    <w:bookmarkEnd w:id="3"/>
    <w:p w14:paraId="552E1A9B" w14:textId="1970F46F" w:rsidR="00826D96" w:rsidRPr="00A21139" w:rsidRDefault="00826D96" w:rsidP="00826D96">
      <w:pPr>
        <w:ind w:firstLine="709"/>
        <w:jc w:val="both"/>
      </w:pPr>
      <w:r w:rsidRPr="00A21139">
        <w:t xml:space="preserve">6.2.2. </w:t>
      </w:r>
      <w:r w:rsidR="00584E8C">
        <w:t>r</w:t>
      </w:r>
      <w:r w:rsidR="004C6E06" w:rsidRPr="00A21139">
        <w:t>izikos veiksnių paplitimo sumažėjimo mastas tarp Klaipėdos miesto gyventojų:</w:t>
      </w:r>
    </w:p>
    <w:p w14:paraId="64BF9EDF" w14:textId="3D559054" w:rsidR="00A21139" w:rsidRPr="00A21139" w:rsidRDefault="00451B18" w:rsidP="00826D96">
      <w:pPr>
        <w:ind w:firstLine="709"/>
        <w:jc w:val="both"/>
      </w:pPr>
      <w:r w:rsidRPr="00584E8C">
        <w:rPr>
          <w:iCs/>
        </w:rPr>
        <w:t>2012 m</w:t>
      </w:r>
      <w:r w:rsidRPr="00A21139">
        <w:rPr>
          <w:i/>
        </w:rPr>
        <w:t>.</w:t>
      </w:r>
      <w:r w:rsidRPr="00A21139">
        <w:t xml:space="preserve"> rūkė 31,3 proc. respondentų. 85,2 proc. rūkančiųjų rūkė kiekvieną dieną. Kasdien stipriuosius alkoholinius gėrimus vartojo 0,1 proc., sausą vyną – 0,4 proc., spirituotą vyną – 0,3 proc., lengvuosius alkoholinius gėrimus – 2,1 proc., kitus alkoholinius gėrimus – 1 proc. respondentų. Visiškai alkoholio nevartojo 14,1 proc. respondentų. Per paskutinius 12 mėn. narkotines medžiagas vartojo 1,9 proc. respondentų</w:t>
      </w:r>
      <w:r w:rsidR="00584E8C">
        <w:t>;</w:t>
      </w:r>
      <w:r w:rsidRPr="00A21139">
        <w:t xml:space="preserve"> </w:t>
      </w:r>
    </w:p>
    <w:p w14:paraId="263EC6CD" w14:textId="7E0BAE01" w:rsidR="00451B18" w:rsidRDefault="00A2303F" w:rsidP="00826D96">
      <w:pPr>
        <w:ind w:firstLine="709"/>
        <w:jc w:val="both"/>
      </w:pPr>
      <w:r w:rsidRPr="00584E8C">
        <w:rPr>
          <w:iCs/>
        </w:rPr>
        <w:t>2018 m.</w:t>
      </w:r>
      <w:r w:rsidRPr="00A21139">
        <w:t xml:space="preserve"> per paskutines 30 d. kasdien tabako gaminius rūkė 9 proc., elektronines cigaretes – 1 proc. respondentų. Per paskutines 30 d. kasdien alkoholinius gėrimus vartojusių respondentų nebuvo.  Per paskutinius 12 mėn. bent kartą narkotines medžiagas vartojo 3,2 proc. respondentų</w:t>
      </w:r>
      <w:r w:rsidR="00584E8C">
        <w:t>;</w:t>
      </w:r>
    </w:p>
    <w:p w14:paraId="515D6EA1" w14:textId="77777777" w:rsidR="004C6E06" w:rsidRPr="004C6E06" w:rsidRDefault="004C6E06" w:rsidP="00826D96">
      <w:pPr>
        <w:ind w:firstLine="709"/>
        <w:jc w:val="both"/>
      </w:pPr>
      <w:r w:rsidRPr="00584E8C">
        <w:rPr>
          <w:iCs/>
        </w:rPr>
        <w:t>2022 m.</w:t>
      </w:r>
      <w:r w:rsidRPr="00451B18">
        <w:rPr>
          <w:i/>
        </w:rPr>
        <w:t xml:space="preserve"> </w:t>
      </w:r>
      <w:r w:rsidRPr="004C6E06">
        <w:t xml:space="preserve">per paskutines 30 d. kasdien tabako gaminius rūkė 14,8 proc., elektronines cigaretes – 7,4 proc. respondentų. Per paskutines 30 d. kasdien alkoholinius gėrimus vartojo 0,5 proc. respondentų. Bent kartą per savo gyvenimą 16,5 proc. respondentų vartojo narkotinių ar psichotropinių medžiagų be gydytojo paskyrimo. </w:t>
      </w:r>
    </w:p>
    <w:p w14:paraId="0869ED42" w14:textId="77777777" w:rsidR="004C6E06" w:rsidRDefault="00363813" w:rsidP="004C6E06">
      <w:pPr>
        <w:ind w:firstLine="720"/>
        <w:jc w:val="both"/>
      </w:pPr>
      <w:r>
        <w:t>7</w:t>
      </w:r>
      <w:r w:rsidR="004C6E06" w:rsidRPr="004C6E06">
        <w:t xml:space="preserve">. Klaipėdos mieste gyventojų skaičius didėja. Nuo 2019 metų pradžios iki 2022 m. pradžios gyventojų Klaipėdoje padidėjo 4 345 asmenimis ir 2022 metų pradžioje mieste buvo </w:t>
      </w:r>
      <w:r w:rsidR="004C6E06" w:rsidRPr="004C6E06">
        <w:rPr>
          <w:rFonts w:eastAsia="Calibri"/>
        </w:rPr>
        <w:t>152 237</w:t>
      </w:r>
      <w:r w:rsidR="00E36772">
        <w:t xml:space="preserve"> gyventojai (1 diagrama)</w:t>
      </w:r>
    </w:p>
    <w:p w14:paraId="62BFBD7D" w14:textId="77777777" w:rsidR="00462252" w:rsidRPr="004C6E06" w:rsidRDefault="00462252" w:rsidP="004C6E06">
      <w:pPr>
        <w:ind w:firstLine="720"/>
        <w:jc w:val="both"/>
      </w:pPr>
    </w:p>
    <w:p w14:paraId="4203B4ED" w14:textId="0DFAFF08" w:rsidR="004C6E06" w:rsidRPr="002610EB" w:rsidRDefault="004C6E06" w:rsidP="002610EB">
      <w:pPr>
        <w:ind w:firstLine="720"/>
        <w:jc w:val="both"/>
      </w:pPr>
      <w:r w:rsidRPr="004C6E06">
        <w:rPr>
          <w:rFonts w:ascii="Calibri" w:eastAsia="Calibri" w:hAnsi="Calibri"/>
          <w:noProof/>
          <w:sz w:val="22"/>
          <w:szCs w:val="22"/>
          <w:highlight w:val="red"/>
          <w:lang w:eastAsia="lt-LT"/>
        </w:rPr>
        <w:drawing>
          <wp:inline distT="0" distB="0" distL="0" distR="0" wp14:anchorId="008BCDB9" wp14:editId="0E5FD7E6">
            <wp:extent cx="5343525" cy="2647950"/>
            <wp:effectExtent l="0" t="0" r="9525"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340D139" w14:textId="77777777" w:rsidR="004C6E06" w:rsidRPr="004C6E06" w:rsidRDefault="004C6E06" w:rsidP="004C6E06">
      <w:pPr>
        <w:jc w:val="center"/>
        <w:rPr>
          <w:rFonts w:eastAsia="Calibri"/>
          <w:sz w:val="22"/>
          <w:szCs w:val="22"/>
        </w:rPr>
      </w:pPr>
      <w:r w:rsidRPr="004C6E06">
        <w:rPr>
          <w:rFonts w:eastAsia="Calibri"/>
          <w:sz w:val="22"/>
          <w:szCs w:val="22"/>
        </w:rPr>
        <w:t>1 diagrama</w:t>
      </w:r>
    </w:p>
    <w:p w14:paraId="08A74B7B" w14:textId="77777777" w:rsidR="004C6E06" w:rsidRPr="004C6E06" w:rsidRDefault="004C6E06" w:rsidP="004C6E06">
      <w:pPr>
        <w:jc w:val="center"/>
        <w:rPr>
          <w:rFonts w:eastAsia="Calibri"/>
          <w:i/>
          <w:sz w:val="22"/>
          <w:szCs w:val="22"/>
        </w:rPr>
      </w:pPr>
      <w:r w:rsidRPr="004C6E06">
        <w:rPr>
          <w:rFonts w:eastAsia="Calibri"/>
          <w:sz w:val="22"/>
          <w:szCs w:val="22"/>
        </w:rPr>
        <w:t xml:space="preserve">Šaltinis: </w:t>
      </w:r>
      <w:r w:rsidRPr="004C6E06">
        <w:rPr>
          <w:rFonts w:eastAsia="Calibri"/>
          <w:i/>
          <w:sz w:val="22"/>
          <w:szCs w:val="22"/>
        </w:rPr>
        <w:t xml:space="preserve">Lietuvos statistikos departamentas </w:t>
      </w:r>
    </w:p>
    <w:p w14:paraId="15076402" w14:textId="77777777" w:rsidR="004C6E06" w:rsidRPr="004C6E06" w:rsidRDefault="004C6E06" w:rsidP="004C6E06">
      <w:pPr>
        <w:jc w:val="center"/>
        <w:rPr>
          <w:rFonts w:eastAsia="Calibri"/>
          <w:i/>
          <w:sz w:val="22"/>
          <w:szCs w:val="22"/>
        </w:rPr>
      </w:pPr>
    </w:p>
    <w:p w14:paraId="57946EA7" w14:textId="10ACDE48" w:rsidR="004C6E06" w:rsidRPr="004C6E06" w:rsidRDefault="00363813" w:rsidP="004C6E06">
      <w:pPr>
        <w:ind w:firstLine="720"/>
        <w:jc w:val="both"/>
      </w:pPr>
      <w:r>
        <w:rPr>
          <w:color w:val="000000"/>
          <w:lang w:eastAsia="lt-LT"/>
        </w:rPr>
        <w:t>8</w:t>
      </w:r>
      <w:r w:rsidR="004C6E06" w:rsidRPr="004C6E06">
        <w:rPr>
          <w:color w:val="000000"/>
          <w:lang w:eastAsia="lt-LT"/>
        </w:rPr>
        <w:t xml:space="preserve">. </w:t>
      </w:r>
      <w:r w:rsidR="004C6E06" w:rsidRPr="004C6E06">
        <w:t xml:space="preserve">2019–2021 m. natūrali gyventojų kaita (gimusių ir mirusių asmenų skirtumas) Klaipėdos m. sav. buvo neigiama, t. y. mažėjo gyventojų skaičius. 2019 m. Klaipėdos miesto natūralios gyventojų kaitos rodiklis buvo </w:t>
      </w:r>
      <w:r w:rsidR="00584E8C">
        <w:t>-</w:t>
      </w:r>
      <w:r w:rsidR="004C6E06" w:rsidRPr="004C6E06">
        <w:t xml:space="preserve">370 asmenų, o 2021 m. – jau </w:t>
      </w:r>
      <w:r w:rsidR="00584E8C">
        <w:t>-</w:t>
      </w:r>
      <w:r w:rsidR="004C6E06" w:rsidRPr="004C6E06">
        <w:t>1 093 asmenys (2 diagrama).</w:t>
      </w:r>
    </w:p>
    <w:p w14:paraId="7465D2E8" w14:textId="77777777" w:rsidR="004C6E06" w:rsidRPr="004C6E06" w:rsidRDefault="004C6E06" w:rsidP="004C6E06">
      <w:pPr>
        <w:ind w:firstLine="720"/>
        <w:jc w:val="both"/>
      </w:pPr>
    </w:p>
    <w:p w14:paraId="0159111C" w14:textId="77777777" w:rsidR="004C6E06" w:rsidRPr="004C6E06" w:rsidRDefault="004C6E06" w:rsidP="004C6E06">
      <w:pPr>
        <w:spacing w:after="200" w:line="276" w:lineRule="auto"/>
        <w:jc w:val="center"/>
        <w:rPr>
          <w:rFonts w:eastAsia="Calibri"/>
          <w:i/>
          <w:sz w:val="22"/>
          <w:szCs w:val="22"/>
        </w:rPr>
      </w:pPr>
      <w:r w:rsidRPr="004C6E06">
        <w:rPr>
          <w:rFonts w:ascii="Calibri" w:eastAsia="Calibri" w:hAnsi="Calibri"/>
          <w:noProof/>
          <w:sz w:val="22"/>
          <w:szCs w:val="22"/>
          <w:highlight w:val="red"/>
          <w:lang w:eastAsia="lt-LT"/>
        </w:rPr>
        <w:lastRenderedPageBreak/>
        <w:drawing>
          <wp:inline distT="0" distB="0" distL="0" distR="0" wp14:anchorId="0DEA540C" wp14:editId="71A705E5">
            <wp:extent cx="5762625" cy="2752725"/>
            <wp:effectExtent l="0" t="0" r="9525" b="952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0F21857" w14:textId="77777777" w:rsidR="004C6E06" w:rsidRPr="004C6E06" w:rsidRDefault="004C6E06" w:rsidP="004C6E06">
      <w:pPr>
        <w:jc w:val="center"/>
        <w:rPr>
          <w:rFonts w:eastAsia="Calibri"/>
          <w:sz w:val="22"/>
          <w:szCs w:val="22"/>
        </w:rPr>
      </w:pPr>
      <w:r w:rsidRPr="004C6E06">
        <w:rPr>
          <w:rFonts w:eastAsia="Calibri"/>
          <w:sz w:val="22"/>
          <w:szCs w:val="22"/>
        </w:rPr>
        <w:t>2 diagrama</w:t>
      </w:r>
    </w:p>
    <w:p w14:paraId="729CB225" w14:textId="77777777" w:rsidR="004C6E06" w:rsidRPr="004C6E06" w:rsidRDefault="004C6E06" w:rsidP="004C6E06">
      <w:pPr>
        <w:jc w:val="center"/>
        <w:rPr>
          <w:rFonts w:eastAsia="Calibri"/>
          <w:i/>
          <w:sz w:val="22"/>
          <w:szCs w:val="22"/>
        </w:rPr>
      </w:pPr>
      <w:r w:rsidRPr="004C6E06">
        <w:rPr>
          <w:rFonts w:eastAsia="Calibri"/>
          <w:sz w:val="22"/>
          <w:szCs w:val="22"/>
        </w:rPr>
        <w:t xml:space="preserve">Šaltinis: </w:t>
      </w:r>
      <w:r w:rsidRPr="004C6E06">
        <w:rPr>
          <w:rFonts w:eastAsia="Calibri"/>
          <w:i/>
          <w:sz w:val="22"/>
          <w:szCs w:val="22"/>
        </w:rPr>
        <w:t xml:space="preserve">Lietuvos statistikos departamentas </w:t>
      </w:r>
    </w:p>
    <w:p w14:paraId="006B3A5E" w14:textId="77777777" w:rsidR="004C6E06" w:rsidRPr="004C6E06" w:rsidRDefault="004C6E06" w:rsidP="004C6E06">
      <w:pPr>
        <w:jc w:val="center"/>
        <w:rPr>
          <w:rFonts w:eastAsia="Calibri"/>
          <w:i/>
          <w:sz w:val="22"/>
          <w:szCs w:val="22"/>
        </w:rPr>
      </w:pPr>
    </w:p>
    <w:p w14:paraId="2CAAE49E" w14:textId="77777777" w:rsidR="004C6E06" w:rsidRDefault="004C6E06" w:rsidP="004C6E06">
      <w:pPr>
        <w:ind w:firstLine="851"/>
        <w:jc w:val="both"/>
      </w:pPr>
      <w:r w:rsidRPr="004C6E06">
        <w:t xml:space="preserve"> </w:t>
      </w:r>
      <w:r w:rsidR="00363813">
        <w:t>9</w:t>
      </w:r>
      <w:r w:rsidR="009470B9">
        <w:t>.</w:t>
      </w:r>
      <w:r w:rsidRPr="004C6E06">
        <w:t xml:space="preserve"> Pagrindinės mirtingumo priežastys Klaipėdos mieste 2019–2021 m. išlieka kraujotakos sistemos ligos, piktybiniai navikai, išorinės mirties priežastys bei kvėpavimo sistemos ligos.</w:t>
      </w:r>
      <w:r w:rsidRPr="004C6E06">
        <w:rPr>
          <w:noProof/>
          <w:lang w:eastAsia="lt-LT"/>
        </w:rPr>
        <w:t xml:space="preserve"> Higienos instituto duomenimis,</w:t>
      </w:r>
      <w:r w:rsidRPr="004C6E06">
        <w:t xml:space="preserve"> Klaipėdos gyventojų mirtingumo nuo piktybinių navikų rodikliai 2019–2021 m. viršijo Lietuvos vidurkį, o mirtingumo nuo kraujotakos sistemos ligų rodikliai buvo žemesni už Lietuvos vidurkį (3–5 diagramos).</w:t>
      </w:r>
    </w:p>
    <w:p w14:paraId="33114B48" w14:textId="77777777" w:rsidR="001E5649" w:rsidRPr="004C6E06" w:rsidRDefault="001E5649" w:rsidP="004C6E06">
      <w:pPr>
        <w:ind w:firstLine="851"/>
        <w:jc w:val="both"/>
      </w:pPr>
    </w:p>
    <w:p w14:paraId="3981CBE1" w14:textId="77777777" w:rsidR="004C6E06" w:rsidRDefault="00D92979" w:rsidP="00D92979">
      <w:pPr>
        <w:tabs>
          <w:tab w:val="left" w:pos="3555"/>
          <w:tab w:val="center" w:pos="4819"/>
        </w:tabs>
        <w:jc w:val="center"/>
        <w:rPr>
          <w:rFonts w:eastAsia="Calibri"/>
          <w:sz w:val="22"/>
          <w:szCs w:val="22"/>
        </w:rPr>
      </w:pPr>
      <w:r w:rsidRPr="004C6E06">
        <w:rPr>
          <w:rFonts w:ascii="Calibri" w:eastAsia="Calibri" w:hAnsi="Calibri"/>
          <w:noProof/>
          <w:sz w:val="22"/>
          <w:szCs w:val="22"/>
          <w:highlight w:val="red"/>
          <w:lang w:eastAsia="lt-LT"/>
        </w:rPr>
        <w:drawing>
          <wp:inline distT="0" distB="0" distL="0" distR="0" wp14:anchorId="2F9A06DC" wp14:editId="4305EDEE">
            <wp:extent cx="5581650" cy="2085975"/>
            <wp:effectExtent l="0" t="0" r="0" b="9525"/>
            <wp:docPr id="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3775A35" w14:textId="77777777" w:rsidR="00D92979" w:rsidRDefault="00D92979" w:rsidP="004C6E06">
      <w:pPr>
        <w:tabs>
          <w:tab w:val="left" w:pos="3555"/>
          <w:tab w:val="center" w:pos="4819"/>
        </w:tabs>
        <w:rPr>
          <w:rFonts w:eastAsia="Calibri"/>
          <w:sz w:val="22"/>
          <w:szCs w:val="22"/>
        </w:rPr>
      </w:pPr>
    </w:p>
    <w:p w14:paraId="54CC6EC8" w14:textId="77777777" w:rsidR="00D92979" w:rsidRPr="004C6E06" w:rsidRDefault="00D92979" w:rsidP="00D92979">
      <w:pPr>
        <w:jc w:val="center"/>
        <w:rPr>
          <w:rFonts w:eastAsia="Calibri"/>
          <w:sz w:val="22"/>
          <w:szCs w:val="22"/>
        </w:rPr>
      </w:pPr>
      <w:r w:rsidRPr="004C6E06">
        <w:rPr>
          <w:rFonts w:eastAsia="Calibri"/>
          <w:sz w:val="22"/>
          <w:szCs w:val="22"/>
        </w:rPr>
        <w:t>3 diagrama</w:t>
      </w:r>
    </w:p>
    <w:p w14:paraId="41C2CC18" w14:textId="77777777" w:rsidR="00D92979" w:rsidRPr="004C6E06" w:rsidRDefault="00D92979" w:rsidP="00D92979">
      <w:pPr>
        <w:jc w:val="center"/>
        <w:rPr>
          <w:rFonts w:eastAsia="Calibri"/>
          <w:sz w:val="22"/>
          <w:szCs w:val="22"/>
        </w:rPr>
      </w:pPr>
      <w:r w:rsidRPr="004C6E06">
        <w:rPr>
          <w:rFonts w:eastAsia="Calibri"/>
          <w:sz w:val="22"/>
          <w:szCs w:val="22"/>
        </w:rPr>
        <w:t xml:space="preserve">Šaltinis: </w:t>
      </w:r>
      <w:r w:rsidRPr="004C6E06">
        <w:rPr>
          <w:rFonts w:eastAsia="Calibri"/>
          <w:i/>
          <w:sz w:val="22"/>
          <w:szCs w:val="22"/>
        </w:rPr>
        <w:t>Higienos instituto Sveikatos informacijos centras</w:t>
      </w:r>
    </w:p>
    <w:p w14:paraId="691C7B99" w14:textId="77777777" w:rsidR="00D92979" w:rsidRDefault="00D92979" w:rsidP="004C6E06">
      <w:pPr>
        <w:tabs>
          <w:tab w:val="left" w:pos="3555"/>
          <w:tab w:val="center" w:pos="4819"/>
        </w:tabs>
        <w:rPr>
          <w:rFonts w:eastAsia="Calibri"/>
          <w:sz w:val="22"/>
          <w:szCs w:val="22"/>
        </w:rPr>
      </w:pPr>
    </w:p>
    <w:p w14:paraId="1E9A67D1" w14:textId="72B33C86" w:rsidR="006069A5" w:rsidRDefault="00D92979" w:rsidP="0025068D">
      <w:pPr>
        <w:tabs>
          <w:tab w:val="left" w:pos="3555"/>
          <w:tab w:val="center" w:pos="4819"/>
        </w:tabs>
        <w:jc w:val="center"/>
        <w:rPr>
          <w:rFonts w:eastAsia="Calibri"/>
          <w:sz w:val="22"/>
          <w:szCs w:val="22"/>
        </w:rPr>
      </w:pPr>
      <w:r w:rsidRPr="004C6E06">
        <w:rPr>
          <w:rFonts w:ascii="Calibri" w:eastAsia="Calibri" w:hAnsi="Calibri"/>
          <w:noProof/>
          <w:sz w:val="22"/>
          <w:szCs w:val="22"/>
          <w:highlight w:val="red"/>
          <w:lang w:eastAsia="lt-LT"/>
        </w:rPr>
        <w:drawing>
          <wp:inline distT="0" distB="0" distL="0" distR="0" wp14:anchorId="55858C4A" wp14:editId="7F63E1FF">
            <wp:extent cx="5591175" cy="2266950"/>
            <wp:effectExtent l="0" t="0" r="9525" b="0"/>
            <wp:docPr id="1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48D7918" w14:textId="77777777" w:rsidR="00D92979" w:rsidRPr="004C6E06" w:rsidRDefault="00D92979" w:rsidP="00D92979">
      <w:pPr>
        <w:jc w:val="center"/>
        <w:rPr>
          <w:rFonts w:eastAsia="Calibri"/>
          <w:sz w:val="22"/>
          <w:szCs w:val="22"/>
        </w:rPr>
      </w:pPr>
      <w:r w:rsidRPr="004C6E06">
        <w:rPr>
          <w:rFonts w:eastAsia="Calibri"/>
          <w:sz w:val="22"/>
          <w:szCs w:val="22"/>
        </w:rPr>
        <w:t>4 diagrama</w:t>
      </w:r>
    </w:p>
    <w:p w14:paraId="626B6216" w14:textId="77777777" w:rsidR="00D92979" w:rsidRPr="004C6E06" w:rsidRDefault="00D92979" w:rsidP="00D92979">
      <w:pPr>
        <w:jc w:val="center"/>
        <w:rPr>
          <w:rFonts w:eastAsia="Calibri"/>
          <w:sz w:val="22"/>
          <w:szCs w:val="22"/>
        </w:rPr>
      </w:pPr>
      <w:r w:rsidRPr="004C6E06">
        <w:rPr>
          <w:rFonts w:eastAsia="Calibri"/>
          <w:sz w:val="22"/>
          <w:szCs w:val="22"/>
        </w:rPr>
        <w:t xml:space="preserve">Šaltinis: </w:t>
      </w:r>
      <w:r w:rsidRPr="004C6E06">
        <w:rPr>
          <w:rFonts w:eastAsia="Calibri"/>
          <w:i/>
          <w:sz w:val="22"/>
          <w:szCs w:val="22"/>
        </w:rPr>
        <w:t>Higienos instituto Sveikatos informacijos centras</w:t>
      </w:r>
    </w:p>
    <w:p w14:paraId="4C9ED410" w14:textId="77777777" w:rsidR="00D92979" w:rsidRPr="004C6E06" w:rsidRDefault="00D92979" w:rsidP="004C6E06">
      <w:pPr>
        <w:tabs>
          <w:tab w:val="left" w:pos="3555"/>
          <w:tab w:val="center" w:pos="4819"/>
        </w:tabs>
        <w:rPr>
          <w:rFonts w:eastAsia="Calibri"/>
          <w:sz w:val="22"/>
          <w:szCs w:val="22"/>
        </w:rPr>
      </w:pPr>
    </w:p>
    <w:p w14:paraId="49481A97" w14:textId="6125D2A2" w:rsidR="00D92979" w:rsidRDefault="004C6E06" w:rsidP="0025068D">
      <w:pPr>
        <w:tabs>
          <w:tab w:val="left" w:pos="3555"/>
          <w:tab w:val="center" w:pos="4819"/>
        </w:tabs>
        <w:rPr>
          <w:rFonts w:eastAsia="Calibri"/>
          <w:sz w:val="22"/>
          <w:szCs w:val="22"/>
        </w:rPr>
      </w:pPr>
      <w:r w:rsidRPr="004C6E06">
        <w:rPr>
          <w:rFonts w:ascii="Calibri" w:eastAsia="Calibri" w:hAnsi="Calibri"/>
          <w:noProof/>
          <w:sz w:val="22"/>
          <w:szCs w:val="22"/>
          <w:highlight w:val="red"/>
          <w:lang w:eastAsia="lt-LT"/>
        </w:rPr>
        <w:drawing>
          <wp:inline distT="0" distB="0" distL="0" distR="0" wp14:anchorId="35E20227" wp14:editId="3A79583A">
            <wp:extent cx="6038850" cy="272415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E30F981" w14:textId="77777777" w:rsidR="004C6E06" w:rsidRPr="004C6E06" w:rsidRDefault="004C6E06" w:rsidP="004C6E06">
      <w:pPr>
        <w:jc w:val="center"/>
        <w:rPr>
          <w:rFonts w:eastAsia="Calibri"/>
          <w:sz w:val="22"/>
          <w:szCs w:val="22"/>
        </w:rPr>
      </w:pPr>
      <w:r w:rsidRPr="004C6E06">
        <w:rPr>
          <w:rFonts w:eastAsia="Calibri"/>
          <w:sz w:val="22"/>
          <w:szCs w:val="22"/>
        </w:rPr>
        <w:t>5 diagrama</w:t>
      </w:r>
    </w:p>
    <w:p w14:paraId="67E0C438" w14:textId="77777777" w:rsidR="004C6E06" w:rsidRPr="004C6E06" w:rsidRDefault="004C6E06" w:rsidP="004C6E06">
      <w:pPr>
        <w:jc w:val="center"/>
        <w:rPr>
          <w:rFonts w:eastAsia="Calibri"/>
          <w:sz w:val="22"/>
          <w:szCs w:val="22"/>
        </w:rPr>
      </w:pPr>
      <w:r w:rsidRPr="004C6E06">
        <w:rPr>
          <w:rFonts w:eastAsia="Calibri"/>
          <w:sz w:val="22"/>
          <w:szCs w:val="22"/>
        </w:rPr>
        <w:t xml:space="preserve">Šaltinis: </w:t>
      </w:r>
      <w:r w:rsidRPr="004C6E06">
        <w:rPr>
          <w:rFonts w:eastAsia="Calibri"/>
          <w:i/>
          <w:sz w:val="22"/>
          <w:szCs w:val="22"/>
        </w:rPr>
        <w:t>Higienos instituto Sveikatos informacijos centras</w:t>
      </w:r>
    </w:p>
    <w:p w14:paraId="34D48A03" w14:textId="77777777" w:rsidR="004C6E06" w:rsidRPr="004C6E06" w:rsidRDefault="004C6E06" w:rsidP="004C6E06">
      <w:pPr>
        <w:jc w:val="center"/>
        <w:rPr>
          <w:rFonts w:eastAsia="Calibri"/>
          <w:sz w:val="22"/>
          <w:szCs w:val="22"/>
        </w:rPr>
      </w:pPr>
    </w:p>
    <w:p w14:paraId="58BF5D9F" w14:textId="77777777" w:rsidR="004C6E06" w:rsidRPr="004C6E06" w:rsidRDefault="00363813" w:rsidP="004C6E06">
      <w:pPr>
        <w:ind w:firstLine="720"/>
        <w:jc w:val="both"/>
      </w:pPr>
      <w:r>
        <w:t>10</w:t>
      </w:r>
      <w:r w:rsidR="004C6E06" w:rsidRPr="004C6E06">
        <w:t>. Klaipėdos miesto gyventojų mirtingumo dėl išorinių mirties priežasčių struktūroje dominuoja savižudybės, kurios 2019 m. sudarė 21,7 proc. atvejų. Mirtingumo dėl savižudybių rodiklis Klaipėdoje buvo mažesnis nei Lietuvos ir nuo 2019 m. turi tendenciją mažėti (6 diagrama).</w:t>
      </w:r>
    </w:p>
    <w:p w14:paraId="40777002" w14:textId="77777777" w:rsidR="004C6E06" w:rsidRPr="004C6E06" w:rsidRDefault="004C6E06" w:rsidP="004C6E06">
      <w:pPr>
        <w:ind w:firstLine="720"/>
        <w:jc w:val="both"/>
      </w:pPr>
    </w:p>
    <w:p w14:paraId="4110CF00" w14:textId="77777777" w:rsidR="004C6E06" w:rsidRPr="004C6E06" w:rsidRDefault="004C6E06" w:rsidP="004C6E06">
      <w:pPr>
        <w:spacing w:after="200" w:line="276" w:lineRule="auto"/>
        <w:jc w:val="center"/>
        <w:rPr>
          <w:rFonts w:ascii="Calibri" w:eastAsia="Calibri" w:hAnsi="Calibri"/>
          <w:sz w:val="22"/>
          <w:szCs w:val="22"/>
        </w:rPr>
      </w:pPr>
      <w:r w:rsidRPr="004C6E06">
        <w:rPr>
          <w:rFonts w:ascii="Calibri" w:eastAsia="Calibri" w:hAnsi="Calibri"/>
          <w:noProof/>
          <w:sz w:val="22"/>
          <w:szCs w:val="22"/>
          <w:highlight w:val="red"/>
          <w:lang w:eastAsia="lt-LT"/>
        </w:rPr>
        <w:drawing>
          <wp:inline distT="0" distB="0" distL="0" distR="0" wp14:anchorId="5C3A7C8A" wp14:editId="4AC8A14F">
            <wp:extent cx="5391150" cy="2124075"/>
            <wp:effectExtent l="0" t="0" r="0"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CE1F769" w14:textId="77777777" w:rsidR="004C6E06" w:rsidRPr="004C6E06" w:rsidRDefault="004C6E06" w:rsidP="004C6E06">
      <w:pPr>
        <w:jc w:val="center"/>
        <w:rPr>
          <w:rFonts w:eastAsia="Calibri"/>
          <w:sz w:val="22"/>
          <w:szCs w:val="22"/>
        </w:rPr>
      </w:pPr>
      <w:r w:rsidRPr="004C6E06">
        <w:rPr>
          <w:rFonts w:eastAsia="Calibri"/>
          <w:sz w:val="22"/>
          <w:szCs w:val="22"/>
        </w:rPr>
        <w:t>6 diagrama</w:t>
      </w:r>
    </w:p>
    <w:p w14:paraId="43DD4AC4" w14:textId="77777777" w:rsidR="004C6E06" w:rsidRPr="004C6E06" w:rsidRDefault="004C6E06" w:rsidP="004C6E06">
      <w:pPr>
        <w:jc w:val="center"/>
        <w:rPr>
          <w:rFonts w:eastAsia="Calibri"/>
          <w:i/>
          <w:sz w:val="22"/>
          <w:szCs w:val="22"/>
        </w:rPr>
      </w:pPr>
      <w:r w:rsidRPr="004C6E06">
        <w:rPr>
          <w:rFonts w:eastAsia="Calibri"/>
          <w:sz w:val="22"/>
          <w:szCs w:val="22"/>
        </w:rPr>
        <w:t xml:space="preserve">Šaltinis: </w:t>
      </w:r>
      <w:r w:rsidRPr="004C6E06">
        <w:rPr>
          <w:rFonts w:eastAsia="Calibri"/>
          <w:i/>
          <w:sz w:val="22"/>
          <w:szCs w:val="22"/>
        </w:rPr>
        <w:t>Higienos instituto Sveikatos informacijos centras</w:t>
      </w:r>
    </w:p>
    <w:p w14:paraId="1B8A0FF5" w14:textId="77777777" w:rsidR="004C6E06" w:rsidRPr="004C6E06" w:rsidRDefault="004C6E06" w:rsidP="004C6E06">
      <w:pPr>
        <w:jc w:val="center"/>
        <w:rPr>
          <w:rFonts w:eastAsia="Calibri"/>
          <w:sz w:val="22"/>
          <w:szCs w:val="22"/>
        </w:rPr>
      </w:pPr>
    </w:p>
    <w:p w14:paraId="1A92D9D0" w14:textId="43FE94C6" w:rsidR="004C6E06" w:rsidRPr="004C6E06" w:rsidRDefault="00363813" w:rsidP="004C6E06">
      <w:pPr>
        <w:ind w:firstLine="720"/>
        <w:jc w:val="both"/>
      </w:pPr>
      <w:r>
        <w:rPr>
          <w:color w:val="000000"/>
        </w:rPr>
        <w:t>11</w:t>
      </w:r>
      <w:r w:rsidR="004C6E06" w:rsidRPr="004C6E06">
        <w:rPr>
          <w:color w:val="000000"/>
        </w:rPr>
        <w:t>. Klaipėdos miesto gyventojų bendrojo sergamumo 2019–</w:t>
      </w:r>
      <w:r w:rsidR="004C6E06" w:rsidRPr="00A90B83">
        <w:rPr>
          <w:color w:val="000000"/>
        </w:rPr>
        <w:t>202</w:t>
      </w:r>
      <w:r w:rsidR="00D06878" w:rsidRPr="00A90B83">
        <w:rPr>
          <w:color w:val="000000"/>
        </w:rPr>
        <w:t>1</w:t>
      </w:r>
      <w:r w:rsidR="004C6E06" w:rsidRPr="00A90B83">
        <w:rPr>
          <w:color w:val="000000"/>
        </w:rPr>
        <w:t xml:space="preserve"> m. rodikliai</w:t>
      </w:r>
      <w:r w:rsidR="004C6E06" w:rsidRPr="004C6E06">
        <w:rPr>
          <w:color w:val="000000"/>
        </w:rPr>
        <w:t xml:space="preserve"> pagal organų sistemas rodo, kad didžiausias bendrasis sergamumas mieste buvo </w:t>
      </w:r>
      <w:r w:rsidR="00D06878" w:rsidRPr="004C6E06">
        <w:rPr>
          <w:color w:val="000000"/>
        </w:rPr>
        <w:t>kraujotakos,</w:t>
      </w:r>
      <w:r w:rsidR="00D06878">
        <w:rPr>
          <w:color w:val="000000"/>
        </w:rPr>
        <w:t xml:space="preserve"> </w:t>
      </w:r>
      <w:r w:rsidR="004C6E06" w:rsidRPr="004C6E06">
        <w:rPr>
          <w:color w:val="000000"/>
        </w:rPr>
        <w:t>kvėpavimo, virškinimo sistemos, jungiamojo audinio ir skeleto raumenų sistemos bei endokrininės sistemos ligomis (7 diagrama).</w:t>
      </w:r>
    </w:p>
    <w:p w14:paraId="0EBAAFB2" w14:textId="77777777" w:rsidR="004C6E06" w:rsidRPr="004C6E06" w:rsidRDefault="004C6E06" w:rsidP="004C6E06">
      <w:pPr>
        <w:ind w:firstLine="720"/>
        <w:jc w:val="both"/>
      </w:pPr>
    </w:p>
    <w:p w14:paraId="2AF2FCCF" w14:textId="77777777" w:rsidR="004C6E06" w:rsidRPr="004C6E06" w:rsidRDefault="004C6E06" w:rsidP="004C6E06">
      <w:pPr>
        <w:spacing w:after="200" w:line="276" w:lineRule="auto"/>
        <w:jc w:val="center"/>
        <w:rPr>
          <w:rFonts w:ascii="Calibri" w:eastAsia="Calibri" w:hAnsi="Calibri"/>
          <w:sz w:val="22"/>
          <w:szCs w:val="22"/>
        </w:rPr>
      </w:pPr>
      <w:r w:rsidRPr="004C6E06">
        <w:rPr>
          <w:rFonts w:ascii="Calibri" w:eastAsia="Calibri" w:hAnsi="Calibri"/>
          <w:noProof/>
          <w:sz w:val="22"/>
          <w:szCs w:val="22"/>
          <w:highlight w:val="red"/>
          <w:lang w:eastAsia="lt-LT"/>
        </w:rPr>
        <w:drawing>
          <wp:inline distT="0" distB="0" distL="0" distR="0" wp14:anchorId="0DE1321D" wp14:editId="23147B76">
            <wp:extent cx="5848350" cy="6200775"/>
            <wp:effectExtent l="0" t="0" r="19050"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6D94D11" w14:textId="77777777" w:rsidR="004C6E06" w:rsidRPr="004C6E06" w:rsidRDefault="004C6E06" w:rsidP="004C6E06">
      <w:pPr>
        <w:jc w:val="center"/>
        <w:rPr>
          <w:rFonts w:eastAsia="Calibri"/>
          <w:sz w:val="22"/>
          <w:szCs w:val="22"/>
        </w:rPr>
      </w:pPr>
      <w:r w:rsidRPr="004C6E06">
        <w:rPr>
          <w:rFonts w:eastAsia="Calibri"/>
          <w:sz w:val="22"/>
          <w:szCs w:val="22"/>
        </w:rPr>
        <w:t xml:space="preserve">7 diagrama </w:t>
      </w:r>
    </w:p>
    <w:p w14:paraId="196E640A" w14:textId="77777777" w:rsidR="004C6E06" w:rsidRPr="004C6E06" w:rsidRDefault="004C6E06" w:rsidP="004C6E06">
      <w:pPr>
        <w:jc w:val="center"/>
        <w:rPr>
          <w:rFonts w:eastAsia="Calibri"/>
          <w:sz w:val="22"/>
          <w:szCs w:val="22"/>
        </w:rPr>
      </w:pPr>
      <w:r w:rsidRPr="004C6E06">
        <w:rPr>
          <w:rFonts w:eastAsia="Calibri"/>
          <w:sz w:val="22"/>
          <w:szCs w:val="22"/>
        </w:rPr>
        <w:t xml:space="preserve">Šaltinis: </w:t>
      </w:r>
      <w:r w:rsidRPr="004C6E06">
        <w:rPr>
          <w:rFonts w:eastAsia="Calibri"/>
          <w:i/>
          <w:sz w:val="22"/>
          <w:szCs w:val="22"/>
        </w:rPr>
        <w:t>Higienos instituto Sveikatos informacijos centras</w:t>
      </w:r>
    </w:p>
    <w:p w14:paraId="3B008576" w14:textId="77777777" w:rsidR="004C6E06" w:rsidRPr="004C6E06" w:rsidRDefault="004C6E06" w:rsidP="004C6E06">
      <w:pPr>
        <w:jc w:val="center"/>
        <w:rPr>
          <w:rFonts w:eastAsia="Calibri"/>
          <w:sz w:val="22"/>
          <w:szCs w:val="22"/>
        </w:rPr>
      </w:pPr>
    </w:p>
    <w:p w14:paraId="1E0CD1B1" w14:textId="77777777" w:rsidR="004C6E06" w:rsidRPr="004C6E06" w:rsidRDefault="00363813" w:rsidP="004C6E06">
      <w:pPr>
        <w:tabs>
          <w:tab w:val="left" w:pos="851"/>
        </w:tabs>
        <w:spacing w:after="200"/>
        <w:ind w:firstLine="720"/>
        <w:jc w:val="both"/>
      </w:pPr>
      <w:r>
        <w:t>12</w:t>
      </w:r>
      <w:r w:rsidR="004C6E06" w:rsidRPr="004C6E06">
        <w:t xml:space="preserve">. Didelis antibiotikų suvartojimas skatina antimikrobinio atsparumo vystymąsi ir antibiotikai tampa neveiksmingi sunkioms infekcijoms gydyti. Europos šalių patirtis parodė, kad sumažinus antibiotikų suvartojimą, sumažėja antimikrobinis atsparumas, tačiau pacientų būklė nepablogėja. Tik atsakingu antibiotikų vartojimu galima padėti užkirsti kelią atsparių bakterijų vystymuisi ir išsaugoti antibiotikų veiksmingumą, kad juos galėtų vartoti ateities kartos. Pagal Klaipėdos teritorinės ligonių kasos pateiktus duomenis, Nacionalinio visuomenės sveikatos centro prie Sveikatos apsaugos ministerijos Klaipėdos departamentas atlieka pirminės asmens sveikatos priežiūros įstaigose (toliau – PASPĮ) vaikams išrašytų kompensuojamų antibiotikų analizę. Vertinant pastarųjų 5 metų duomenis yra stebima vaikams (0–18 m.) išrašomų kompensuojamų antibiotikų mažėjimo tendencija (8 diagrama). </w:t>
      </w:r>
      <w:r w:rsidR="004C6E06" w:rsidRPr="004C6E06">
        <w:rPr>
          <w:rFonts w:eastAsia="Calibri"/>
          <w:szCs w:val="22"/>
        </w:rPr>
        <w:t>2020‒2021</w:t>
      </w:r>
      <w:r w:rsidR="004C6E06" w:rsidRPr="004C6E06">
        <w:t xml:space="preserve"> m. </w:t>
      </w:r>
      <w:r w:rsidR="004C6E06" w:rsidRPr="004C6E06">
        <w:rPr>
          <w:rFonts w:eastAsia="Calibri"/>
        </w:rPr>
        <w:t>ženkliai sumažėjusiam vaikų antibiotikų išrašymui įtakos galėjo turėti 2020 m. kilusi COVID-19 ligos (koronaviruso infekcijos) (toliau – COVID-19 liga) pandemijos metu įvestas privalomas asmens apsaugos priemonių dėvėjimas, socialinių kontaktų ribojimas, kuris sumažino ne tik COVID-19 ligos, bet ir kitų oro lašeliniu keliu plintančių infekcijų naujų atvejų skaičių.</w:t>
      </w:r>
    </w:p>
    <w:p w14:paraId="6CD53443" w14:textId="77777777" w:rsidR="004C6E06" w:rsidRPr="004C6E06" w:rsidRDefault="004C6E06" w:rsidP="004C6E06">
      <w:pPr>
        <w:ind w:right="4"/>
        <w:jc w:val="center"/>
        <w:rPr>
          <w:rFonts w:eastAsia="Calibri"/>
          <w:b/>
          <w:highlight w:val="green"/>
        </w:rPr>
      </w:pPr>
      <w:r w:rsidRPr="004C6E06">
        <w:rPr>
          <w:rFonts w:ascii="Calibri" w:eastAsia="Calibri" w:hAnsi="Calibri"/>
          <w:noProof/>
          <w:sz w:val="22"/>
          <w:szCs w:val="22"/>
          <w:highlight w:val="green"/>
          <w:lang w:eastAsia="lt-LT"/>
        </w:rPr>
        <w:drawing>
          <wp:inline distT="0" distB="0" distL="0" distR="0" wp14:anchorId="6CFD6B8E" wp14:editId="51140BAA">
            <wp:extent cx="4610100" cy="2941320"/>
            <wp:effectExtent l="0" t="0" r="0" b="11430"/>
            <wp:docPr id="11" name="Diagrama 11">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AC43D1E0-9ED3-412E-B5C5-E2F1FB813C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A42DAB0" w14:textId="77777777" w:rsidR="004C6E06" w:rsidRPr="004C6E06" w:rsidRDefault="004C6E06" w:rsidP="004C6E06">
      <w:pPr>
        <w:ind w:right="39"/>
        <w:jc w:val="both"/>
        <w:rPr>
          <w:highlight w:val="green"/>
        </w:rPr>
      </w:pPr>
    </w:p>
    <w:p w14:paraId="01CC5E98" w14:textId="77777777" w:rsidR="004C6E06" w:rsidRPr="004C6E06" w:rsidRDefault="004C6E06" w:rsidP="004C6E06">
      <w:pPr>
        <w:jc w:val="center"/>
        <w:rPr>
          <w:rFonts w:eastAsia="Calibri"/>
          <w:sz w:val="22"/>
          <w:szCs w:val="22"/>
        </w:rPr>
      </w:pPr>
      <w:r w:rsidRPr="004C6E06">
        <w:rPr>
          <w:rFonts w:eastAsia="Calibri"/>
          <w:sz w:val="22"/>
          <w:szCs w:val="22"/>
        </w:rPr>
        <w:t>8 diagrama</w:t>
      </w:r>
    </w:p>
    <w:p w14:paraId="185599BB" w14:textId="77777777" w:rsidR="004C6E06" w:rsidRPr="004C6E06" w:rsidRDefault="004C6E06" w:rsidP="004C6E06">
      <w:pPr>
        <w:ind w:firstLine="720"/>
        <w:jc w:val="center"/>
      </w:pPr>
      <w:r w:rsidRPr="004C6E06">
        <w:rPr>
          <w:rFonts w:eastAsia="Calibri"/>
          <w:sz w:val="22"/>
          <w:szCs w:val="22"/>
        </w:rPr>
        <w:t xml:space="preserve">Šaltinis: </w:t>
      </w:r>
      <w:r w:rsidRPr="004C6E06">
        <w:rPr>
          <w:i/>
        </w:rPr>
        <w:t>Klaipėdos teritorinės ligonių kasos</w:t>
      </w:r>
    </w:p>
    <w:p w14:paraId="26F74A5E" w14:textId="77777777" w:rsidR="004C6E06" w:rsidRPr="004C6E06" w:rsidRDefault="004C6E06" w:rsidP="004C6E06">
      <w:pPr>
        <w:ind w:firstLine="720"/>
        <w:jc w:val="both"/>
      </w:pPr>
    </w:p>
    <w:p w14:paraId="77ECC1CD" w14:textId="77777777" w:rsidR="004C6E06" w:rsidRPr="004C6E06" w:rsidRDefault="00363813" w:rsidP="004C6E06">
      <w:pPr>
        <w:ind w:firstLine="720"/>
        <w:jc w:val="both"/>
      </w:pPr>
      <w:r>
        <w:t>13</w:t>
      </w:r>
      <w:r w:rsidR="004C6E06" w:rsidRPr="004C6E06">
        <w:t xml:space="preserve">. Analizuojant sergamumą ŽIV Klaipėdos mieste, stebima sergamumo ŽIV mažėjimo tendencija, tačiau duomenis reikėtų vertinti atsargiai, nes sumažėjusiam naujų ŽIV atvejų skaičiui, įtakos galėjo turėti COVID-19 ligos pandemija (9 diagrama). </w:t>
      </w:r>
      <w:r w:rsidR="004C6E06" w:rsidRPr="004C6E06">
        <w:rPr>
          <w:snapToGrid w:val="0"/>
          <w:szCs w:val="20"/>
        </w:rPr>
        <w:t>2021 m. 50 proc. asmenų, kuriems buvo diagnozuotas ŽIV, nurodė, kad užsikrėtė lytinių santykių metu, 25 proc. – vartojant švirkščiamuosius narkotikus, 25 proc. nežinojo nuo ko užsikrėtė.</w:t>
      </w:r>
    </w:p>
    <w:p w14:paraId="50D3C484" w14:textId="77777777" w:rsidR="004C6E06" w:rsidRPr="004C6E06" w:rsidRDefault="004C6E06" w:rsidP="004C6E06">
      <w:pPr>
        <w:ind w:firstLine="720"/>
        <w:jc w:val="both"/>
        <w:rPr>
          <w:highlight w:val="green"/>
        </w:rPr>
      </w:pPr>
    </w:p>
    <w:p w14:paraId="6726DD48" w14:textId="77777777" w:rsidR="004C6E06" w:rsidRPr="004C6E06" w:rsidRDefault="004C6E06" w:rsidP="004C6E06">
      <w:pPr>
        <w:tabs>
          <w:tab w:val="left" w:pos="1134"/>
        </w:tabs>
        <w:spacing w:after="200" w:line="276" w:lineRule="auto"/>
        <w:jc w:val="center"/>
        <w:rPr>
          <w:rFonts w:eastAsia="Calibri"/>
          <w:highlight w:val="green"/>
        </w:rPr>
      </w:pPr>
      <w:r w:rsidRPr="004C6E06">
        <w:rPr>
          <w:rFonts w:ascii="Calibri" w:eastAsia="Calibri" w:hAnsi="Calibri"/>
          <w:noProof/>
          <w:sz w:val="22"/>
          <w:szCs w:val="22"/>
          <w:highlight w:val="green"/>
          <w:lang w:eastAsia="lt-LT"/>
        </w:rPr>
        <w:drawing>
          <wp:inline distT="0" distB="0" distL="0" distR="0" wp14:anchorId="091053F3" wp14:editId="527146ED">
            <wp:extent cx="5848350" cy="2830195"/>
            <wp:effectExtent l="0" t="0" r="0" b="8255"/>
            <wp:docPr id="12" name="Diagrama 12">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7CCD9B78-732B-4060-B03F-19EF823EF5F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904117C" w14:textId="77777777" w:rsidR="004C6E06" w:rsidRPr="004C6E06" w:rsidRDefault="004C6E06" w:rsidP="004C6E06">
      <w:pPr>
        <w:jc w:val="center"/>
        <w:rPr>
          <w:rFonts w:eastAsia="Calibri"/>
        </w:rPr>
      </w:pPr>
      <w:r w:rsidRPr="004C6E06">
        <w:rPr>
          <w:rFonts w:eastAsia="Calibri"/>
        </w:rPr>
        <w:t>9 diagrama</w:t>
      </w:r>
    </w:p>
    <w:p w14:paraId="0C1FA555" w14:textId="77777777" w:rsidR="004C6E06" w:rsidRPr="004C6E06" w:rsidRDefault="004C6E06" w:rsidP="004C6E06">
      <w:pPr>
        <w:jc w:val="center"/>
        <w:rPr>
          <w:rFonts w:eastAsia="Calibri"/>
          <w:i/>
          <w:sz w:val="22"/>
          <w:szCs w:val="22"/>
        </w:rPr>
      </w:pPr>
      <w:r w:rsidRPr="004C6E06">
        <w:rPr>
          <w:rFonts w:eastAsia="Calibri"/>
          <w:sz w:val="22"/>
          <w:szCs w:val="22"/>
        </w:rPr>
        <w:t>Šaltinis:</w:t>
      </w:r>
      <w:r w:rsidRPr="004C6E06">
        <w:rPr>
          <w:rFonts w:eastAsia="Calibri"/>
          <w:i/>
          <w:sz w:val="22"/>
          <w:szCs w:val="22"/>
        </w:rPr>
        <w:t xml:space="preserve"> Nacionalinis visuomenės sveikatos centras prie Sveikatos apsaugos ministerijos</w:t>
      </w:r>
    </w:p>
    <w:p w14:paraId="351654D8" w14:textId="77777777" w:rsidR="005D6DBF" w:rsidRDefault="005D6DBF" w:rsidP="004C6E06">
      <w:pPr>
        <w:spacing w:after="200"/>
        <w:ind w:firstLine="900"/>
        <w:jc w:val="both"/>
        <w:rPr>
          <w:rFonts w:eastAsia="Calibri"/>
        </w:rPr>
      </w:pPr>
    </w:p>
    <w:p w14:paraId="34C1A754" w14:textId="77777777" w:rsidR="004C6E06" w:rsidRPr="004C6E06" w:rsidRDefault="00363813" w:rsidP="004C6E06">
      <w:pPr>
        <w:spacing w:after="200"/>
        <w:ind w:firstLine="900"/>
        <w:jc w:val="both"/>
        <w:rPr>
          <w:rFonts w:eastAsia="Calibri"/>
        </w:rPr>
      </w:pPr>
      <w:r>
        <w:rPr>
          <w:rFonts w:eastAsia="Calibri"/>
        </w:rPr>
        <w:t>14</w:t>
      </w:r>
      <w:r w:rsidR="004C6E06" w:rsidRPr="004C6E06">
        <w:rPr>
          <w:rFonts w:eastAsia="Calibri"/>
        </w:rPr>
        <w:t>. Iš 10 diagramoje pateiktų duomenų mat</w:t>
      </w:r>
      <w:r w:rsidR="000042EE">
        <w:rPr>
          <w:rFonts w:eastAsia="Calibri"/>
        </w:rPr>
        <w:t>yti</w:t>
      </w:r>
      <w:r w:rsidR="007E70FA">
        <w:rPr>
          <w:rFonts w:eastAsia="Calibri"/>
        </w:rPr>
        <w:t>,</w:t>
      </w:r>
      <w:r w:rsidR="004C6E06" w:rsidRPr="004C6E06">
        <w:rPr>
          <w:rFonts w:eastAsia="Calibri"/>
        </w:rPr>
        <w:t xml:space="preserve"> kad sergamumo tuberkulioze rodiklis </w:t>
      </w:r>
      <w:r w:rsidR="004C6E06" w:rsidRPr="004C6E06">
        <w:rPr>
          <w:noProof/>
          <w:color w:val="000000"/>
          <w:lang w:eastAsia="lt-LT"/>
        </w:rPr>
        <w:t>2021 m. Klaipėdos mieste buvo didesnis už Lietuvos ir Klaipėdos apskrities. 2020</w:t>
      </w:r>
      <w:bookmarkStart w:id="4" w:name="_Hlk110410052"/>
      <w:r w:rsidR="004C6E06" w:rsidRPr="004C6E06">
        <w:rPr>
          <w:noProof/>
          <w:color w:val="000000"/>
          <w:lang w:eastAsia="lt-LT"/>
        </w:rPr>
        <w:t>–</w:t>
      </w:r>
      <w:bookmarkEnd w:id="4"/>
      <w:r w:rsidR="004C6E06" w:rsidRPr="004C6E06">
        <w:rPr>
          <w:noProof/>
          <w:color w:val="000000"/>
          <w:lang w:eastAsia="lt-LT"/>
        </w:rPr>
        <w:t xml:space="preserve">2021 m. staigus naujų tuberkuliozės atvejų sumažėjimas galėjo būti COVID-19 ligos pandemijos pasekmė. Dėl pandemijos buvo sumažėjęs sveikatos priežiūros paslaugų prieinamumas. </w:t>
      </w:r>
      <w:r w:rsidR="004C6E06" w:rsidRPr="004C6E06">
        <w:rPr>
          <w:color w:val="000000"/>
          <w:kern w:val="24"/>
        </w:rPr>
        <w:t>„End TB strategija“ partnerystės studija numatė, jog COVID-19 ligos pandemija gali sukelti tuberkuliozės atvejų šuolius ir 2020</w:t>
      </w:r>
      <w:r w:rsidR="004C6E06" w:rsidRPr="004C6E06">
        <w:rPr>
          <w:noProof/>
          <w:color w:val="000000"/>
          <w:lang w:eastAsia="lt-LT"/>
        </w:rPr>
        <w:t>–</w:t>
      </w:r>
      <w:r w:rsidR="004C6E06" w:rsidRPr="004C6E06">
        <w:rPr>
          <w:color w:val="000000"/>
          <w:kern w:val="24"/>
        </w:rPr>
        <w:t xml:space="preserve">2025 m. padidinti tuberkuliozės atvejų skaičių.   </w:t>
      </w:r>
    </w:p>
    <w:p w14:paraId="043D1896" w14:textId="77777777" w:rsidR="004C6E06" w:rsidRPr="004C6E06" w:rsidRDefault="004C6E06" w:rsidP="004C6E06">
      <w:pPr>
        <w:spacing w:after="200" w:line="276" w:lineRule="auto"/>
        <w:jc w:val="center"/>
        <w:rPr>
          <w:rFonts w:ascii="Calibri" w:eastAsia="Calibri" w:hAnsi="Calibri"/>
          <w:sz w:val="22"/>
          <w:szCs w:val="22"/>
          <w:highlight w:val="lightGray"/>
        </w:rPr>
      </w:pPr>
      <w:r w:rsidRPr="004C6E06">
        <w:rPr>
          <w:rFonts w:ascii="Calibri" w:eastAsia="Calibri" w:hAnsi="Calibri"/>
          <w:noProof/>
          <w:sz w:val="22"/>
          <w:szCs w:val="22"/>
          <w:highlight w:val="lightGray"/>
          <w:lang w:eastAsia="lt-LT"/>
        </w:rPr>
        <w:drawing>
          <wp:inline distT="0" distB="0" distL="0" distR="0" wp14:anchorId="5EBACE08" wp14:editId="3F7F043D">
            <wp:extent cx="4572000" cy="2743200"/>
            <wp:effectExtent l="0" t="0" r="0" b="0"/>
            <wp:docPr id="6" name="Diagrama 6">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5E8ED8A2-AFDF-4AD2-87C1-7A792993D1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6E4E884" w14:textId="77777777" w:rsidR="004C6E06" w:rsidRPr="004C6E06" w:rsidRDefault="004C6E06" w:rsidP="004C6E06">
      <w:pPr>
        <w:jc w:val="center"/>
        <w:rPr>
          <w:rFonts w:eastAsia="Calibri"/>
          <w:sz w:val="22"/>
          <w:szCs w:val="22"/>
        </w:rPr>
      </w:pPr>
      <w:r w:rsidRPr="004C6E06">
        <w:rPr>
          <w:rFonts w:eastAsia="Calibri"/>
          <w:sz w:val="22"/>
          <w:szCs w:val="22"/>
        </w:rPr>
        <w:t>10 diagrama</w:t>
      </w:r>
    </w:p>
    <w:p w14:paraId="06B8E85F" w14:textId="77777777" w:rsidR="004C6E06" w:rsidRPr="004C6E06" w:rsidRDefault="004C6E06" w:rsidP="004C6E06">
      <w:pPr>
        <w:jc w:val="center"/>
        <w:rPr>
          <w:rFonts w:eastAsia="Calibri"/>
          <w:i/>
          <w:sz w:val="22"/>
          <w:szCs w:val="22"/>
        </w:rPr>
      </w:pPr>
      <w:r w:rsidRPr="004C6E06">
        <w:rPr>
          <w:rFonts w:eastAsia="Calibri"/>
          <w:sz w:val="22"/>
          <w:szCs w:val="22"/>
        </w:rPr>
        <w:t xml:space="preserve">Šaltinis: </w:t>
      </w:r>
      <w:r w:rsidRPr="004C6E06">
        <w:rPr>
          <w:rFonts w:eastAsia="Calibri"/>
          <w:i/>
          <w:sz w:val="22"/>
          <w:szCs w:val="22"/>
        </w:rPr>
        <w:t>Nacionalinis visuomenės sveikatos centras prie Sveikatos apsaugos ministerijos</w:t>
      </w:r>
    </w:p>
    <w:p w14:paraId="7EB744DF" w14:textId="77777777" w:rsidR="00481175" w:rsidRDefault="004C6E06" w:rsidP="00481175">
      <w:pPr>
        <w:rPr>
          <w:rFonts w:eastAsia="Calibri"/>
          <w:sz w:val="22"/>
          <w:szCs w:val="22"/>
        </w:rPr>
      </w:pPr>
      <w:r w:rsidRPr="004C6E06">
        <w:rPr>
          <w:rFonts w:eastAsia="Calibri"/>
          <w:sz w:val="22"/>
          <w:szCs w:val="22"/>
        </w:rPr>
        <w:t xml:space="preserve">          </w:t>
      </w:r>
    </w:p>
    <w:p w14:paraId="57DA2056" w14:textId="77777777" w:rsidR="004C6E06" w:rsidRDefault="00363813" w:rsidP="00481175">
      <w:pPr>
        <w:ind w:firstLine="709"/>
        <w:jc w:val="both"/>
        <w:rPr>
          <w:szCs w:val="20"/>
          <w:lang w:eastAsia="lt-LT"/>
        </w:rPr>
      </w:pPr>
      <w:r>
        <w:rPr>
          <w:rFonts w:eastAsia="Calibri"/>
        </w:rPr>
        <w:t>15</w:t>
      </w:r>
      <w:r w:rsidR="004C6E06" w:rsidRPr="004C6E06">
        <w:rPr>
          <w:rFonts w:eastAsia="Calibri"/>
        </w:rPr>
        <w:t xml:space="preserve">. </w:t>
      </w:r>
      <w:r w:rsidR="004C6E06" w:rsidRPr="004C6E06">
        <w:rPr>
          <w:color w:val="000000"/>
          <w:lang w:eastAsia="lt-LT"/>
        </w:rPr>
        <w:t xml:space="preserve">Aplinkos sąlygos, klimato pokyčiai veikia erkių paplitimą ir gausą, o taip pat ir sergamumą jų platinamomis ligomis. Nuo 2006 m. Klaipėdos mieste didėja gyventojų sergamumas erkiniu encefalitu. </w:t>
      </w:r>
      <w:r w:rsidR="004C6E06" w:rsidRPr="004C6E06">
        <w:rPr>
          <w:szCs w:val="20"/>
          <w:lang w:eastAsia="lt-LT"/>
        </w:rPr>
        <w:t>Sergamumo erkiniu encefalitu rodikliai Klaipėdos mieste eilę metų buvo mažesni už Klaipėdos apskrities ir Lietuvos sergamumo rodiklius, išskyrus 2021 m., kai Klaipėdos miesto sergamumo rodiklis buvo didesnis už Klaipėdos apskrities.</w:t>
      </w:r>
    </w:p>
    <w:p w14:paraId="661770DC" w14:textId="77777777" w:rsidR="00BA50A7" w:rsidRPr="00481175" w:rsidRDefault="00BA50A7" w:rsidP="00481175">
      <w:pPr>
        <w:ind w:firstLine="709"/>
        <w:jc w:val="both"/>
        <w:rPr>
          <w:rFonts w:eastAsia="Calibri"/>
          <w:sz w:val="22"/>
          <w:szCs w:val="22"/>
        </w:rPr>
      </w:pPr>
    </w:p>
    <w:p w14:paraId="2C519E29" w14:textId="77777777" w:rsidR="004C6E06" w:rsidRPr="004C6E06" w:rsidRDefault="004C6E06" w:rsidP="007E70FA">
      <w:pPr>
        <w:jc w:val="center"/>
        <w:rPr>
          <w:sz w:val="20"/>
          <w:szCs w:val="20"/>
          <w:lang w:val="en-AU" w:eastAsia="lt-LT"/>
        </w:rPr>
      </w:pPr>
      <w:r w:rsidRPr="004C6E06">
        <w:rPr>
          <w:rFonts w:ascii="Calibri" w:eastAsia="Calibri" w:hAnsi="Calibri"/>
          <w:noProof/>
          <w:sz w:val="22"/>
          <w:szCs w:val="22"/>
          <w:lang w:eastAsia="lt-LT"/>
        </w:rPr>
        <w:drawing>
          <wp:inline distT="0" distB="0" distL="0" distR="0" wp14:anchorId="06D27141" wp14:editId="524F7CF7">
            <wp:extent cx="5629275" cy="2590800"/>
            <wp:effectExtent l="0" t="0" r="9525" b="0"/>
            <wp:docPr id="7" name="Diagrama 7">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DD1A7CE3-81A5-4AC0-BA1D-CCFD53BF70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22D567F" w14:textId="77777777" w:rsidR="004C6E06" w:rsidRPr="004C6E06" w:rsidRDefault="004C6E06" w:rsidP="004C6E06">
      <w:pPr>
        <w:rPr>
          <w:sz w:val="20"/>
          <w:szCs w:val="20"/>
          <w:lang w:val="en-AU" w:eastAsia="lt-LT"/>
        </w:rPr>
      </w:pPr>
    </w:p>
    <w:p w14:paraId="305C2A8B" w14:textId="77777777" w:rsidR="004C6E06" w:rsidRPr="004C6E06" w:rsidRDefault="004C6E06" w:rsidP="004C6E06">
      <w:pPr>
        <w:rPr>
          <w:rFonts w:eastAsia="Calibri"/>
        </w:rPr>
      </w:pPr>
    </w:p>
    <w:p w14:paraId="250B5813" w14:textId="22AA018C" w:rsidR="00606EE5" w:rsidRDefault="00363813" w:rsidP="00A155DC">
      <w:pPr>
        <w:ind w:right="39" w:firstLine="720"/>
        <w:jc w:val="both"/>
      </w:pPr>
      <w:r>
        <w:t>16</w:t>
      </w:r>
      <w:r w:rsidR="004C6E06" w:rsidRPr="004C6E06">
        <w:t>. Mirtingumas pagal lytį Klaipėdos mieste priežasčių struktūroje išsiskyrė tuo, kad daugiau moterų mirė nuo kraujotakos sistemos ligų (665 moterys, arba 50,5 proc.), o vyrai – nuo išorinių mirties priežasčių (73 vyrai, arba 6,2 proc.) (1 lentelė).</w:t>
      </w:r>
    </w:p>
    <w:p w14:paraId="6F0A1E5D" w14:textId="77777777" w:rsidR="00A155DC" w:rsidRPr="00A155DC" w:rsidRDefault="00A155DC" w:rsidP="00A155DC">
      <w:pPr>
        <w:ind w:right="39" w:firstLine="720"/>
        <w:jc w:val="both"/>
      </w:pPr>
    </w:p>
    <w:p w14:paraId="3F3E9ED4" w14:textId="77777777" w:rsidR="004C6E06" w:rsidRPr="004C6E06" w:rsidRDefault="004C6E06" w:rsidP="004C6E06">
      <w:pPr>
        <w:spacing w:after="200" w:line="276" w:lineRule="auto"/>
        <w:jc w:val="center"/>
        <w:rPr>
          <w:rFonts w:eastAsia="Calibri"/>
          <w:b/>
          <w:sz w:val="22"/>
          <w:szCs w:val="22"/>
        </w:rPr>
      </w:pPr>
      <w:r w:rsidRPr="004C6E06">
        <w:rPr>
          <w:rFonts w:eastAsia="Calibri"/>
          <w:i/>
          <w:sz w:val="22"/>
          <w:szCs w:val="22"/>
        </w:rPr>
        <w:t>1 lentelė.</w:t>
      </w:r>
      <w:r w:rsidRPr="004C6E06">
        <w:rPr>
          <w:rFonts w:eastAsia="Calibri"/>
          <w:b/>
          <w:sz w:val="22"/>
          <w:szCs w:val="22"/>
        </w:rPr>
        <w:t xml:space="preserve"> Mirusieji pagal lytį ir priežastį Klaipėdos mieste 2021 m. (abs. sk.)</w:t>
      </w:r>
    </w:p>
    <w:tbl>
      <w:tblPr>
        <w:tblStyle w:val="Lentelstinklelis1"/>
        <w:tblW w:w="0" w:type="auto"/>
        <w:tblLook w:val="04A0" w:firstRow="1" w:lastRow="0" w:firstColumn="1" w:lastColumn="0" w:noHBand="0" w:noVBand="1"/>
      </w:tblPr>
      <w:tblGrid>
        <w:gridCol w:w="1171"/>
        <w:gridCol w:w="1190"/>
        <w:gridCol w:w="1195"/>
        <w:gridCol w:w="1292"/>
        <w:gridCol w:w="1243"/>
        <w:gridCol w:w="1219"/>
        <w:gridCol w:w="1186"/>
        <w:gridCol w:w="1132"/>
      </w:tblGrid>
      <w:tr w:rsidR="004C6E06" w:rsidRPr="004C6E06" w14:paraId="1DFF3113" w14:textId="77777777" w:rsidTr="003E427B">
        <w:tc>
          <w:tcPr>
            <w:tcW w:w="1171" w:type="dxa"/>
            <w:vMerge w:val="restart"/>
          </w:tcPr>
          <w:p w14:paraId="60600142" w14:textId="77777777" w:rsidR="004C6E06" w:rsidRPr="005818DC" w:rsidRDefault="004C6E06" w:rsidP="004C6E06">
            <w:pPr>
              <w:jc w:val="center"/>
              <w:rPr>
                <w:rFonts w:eastAsia="Calibri"/>
                <w:sz w:val="22"/>
                <w:szCs w:val="22"/>
                <w:lang w:val="lt-LT"/>
              </w:rPr>
            </w:pPr>
            <w:r w:rsidRPr="005818DC">
              <w:rPr>
                <w:rFonts w:eastAsia="Calibri"/>
                <w:sz w:val="22"/>
                <w:szCs w:val="22"/>
                <w:lang w:val="lt-LT"/>
              </w:rPr>
              <w:t>Lytis</w:t>
            </w:r>
          </w:p>
        </w:tc>
        <w:tc>
          <w:tcPr>
            <w:tcW w:w="8458" w:type="dxa"/>
            <w:gridSpan w:val="7"/>
          </w:tcPr>
          <w:p w14:paraId="5E1D1D70" w14:textId="77777777" w:rsidR="004C6E06" w:rsidRPr="005818DC" w:rsidRDefault="004C6E06" w:rsidP="004C6E06">
            <w:pPr>
              <w:jc w:val="center"/>
              <w:rPr>
                <w:rFonts w:eastAsia="Calibri"/>
                <w:sz w:val="22"/>
                <w:szCs w:val="22"/>
                <w:lang w:val="lt-LT"/>
              </w:rPr>
            </w:pPr>
            <w:r w:rsidRPr="005818DC">
              <w:rPr>
                <w:rFonts w:eastAsia="Calibri"/>
                <w:sz w:val="22"/>
                <w:szCs w:val="22"/>
                <w:lang w:val="lt-LT"/>
              </w:rPr>
              <w:t>Mirties priežastis</w:t>
            </w:r>
          </w:p>
        </w:tc>
      </w:tr>
      <w:tr w:rsidR="004C6E06" w:rsidRPr="004C6E06" w14:paraId="4CC5B025" w14:textId="77777777" w:rsidTr="003E427B">
        <w:tc>
          <w:tcPr>
            <w:tcW w:w="1171" w:type="dxa"/>
            <w:vMerge/>
          </w:tcPr>
          <w:p w14:paraId="620A6225" w14:textId="77777777" w:rsidR="004C6E06" w:rsidRPr="005818DC" w:rsidRDefault="004C6E06" w:rsidP="004C6E06">
            <w:pPr>
              <w:jc w:val="center"/>
              <w:rPr>
                <w:rFonts w:eastAsia="Calibri"/>
                <w:sz w:val="22"/>
                <w:szCs w:val="22"/>
                <w:lang w:val="lt-LT"/>
              </w:rPr>
            </w:pPr>
          </w:p>
        </w:tc>
        <w:tc>
          <w:tcPr>
            <w:tcW w:w="1190" w:type="dxa"/>
          </w:tcPr>
          <w:p w14:paraId="436400C7" w14:textId="77777777" w:rsidR="004C6E06" w:rsidRPr="005818DC" w:rsidRDefault="004C6E06" w:rsidP="004C6E06">
            <w:pPr>
              <w:jc w:val="center"/>
              <w:rPr>
                <w:rFonts w:eastAsia="Calibri"/>
                <w:sz w:val="22"/>
                <w:szCs w:val="22"/>
                <w:lang w:val="lt-LT"/>
              </w:rPr>
            </w:pPr>
            <w:r w:rsidRPr="005818DC">
              <w:rPr>
                <w:rFonts w:eastAsia="Calibri"/>
                <w:sz w:val="22"/>
                <w:szCs w:val="22"/>
                <w:lang w:val="lt-LT"/>
              </w:rPr>
              <w:t>Infekcinės ligos</w:t>
            </w:r>
          </w:p>
        </w:tc>
        <w:tc>
          <w:tcPr>
            <w:tcW w:w="1195" w:type="dxa"/>
          </w:tcPr>
          <w:p w14:paraId="6E7EBC3D" w14:textId="77777777" w:rsidR="004C6E06" w:rsidRPr="005818DC" w:rsidRDefault="004C6E06" w:rsidP="004C6E06">
            <w:pPr>
              <w:jc w:val="center"/>
              <w:rPr>
                <w:rFonts w:eastAsia="Calibri"/>
                <w:sz w:val="22"/>
                <w:szCs w:val="22"/>
                <w:lang w:val="lt-LT"/>
              </w:rPr>
            </w:pPr>
            <w:r w:rsidRPr="005818DC">
              <w:rPr>
                <w:rFonts w:eastAsia="Calibri"/>
                <w:sz w:val="22"/>
                <w:szCs w:val="22"/>
                <w:lang w:val="lt-LT"/>
              </w:rPr>
              <w:t>Piktybiniai navikai</w:t>
            </w:r>
          </w:p>
        </w:tc>
        <w:tc>
          <w:tcPr>
            <w:tcW w:w="1292" w:type="dxa"/>
          </w:tcPr>
          <w:p w14:paraId="0F086A39" w14:textId="77777777" w:rsidR="004C6E06" w:rsidRPr="005818DC" w:rsidRDefault="004C6E06" w:rsidP="004C6E06">
            <w:pPr>
              <w:jc w:val="center"/>
              <w:rPr>
                <w:rFonts w:eastAsia="Calibri"/>
                <w:sz w:val="22"/>
                <w:szCs w:val="22"/>
                <w:lang w:val="lt-LT"/>
              </w:rPr>
            </w:pPr>
            <w:r w:rsidRPr="005818DC">
              <w:rPr>
                <w:rFonts w:eastAsia="Calibri"/>
                <w:sz w:val="22"/>
                <w:szCs w:val="22"/>
                <w:lang w:val="lt-LT"/>
              </w:rPr>
              <w:t>Kraujotakos sistemos ligos</w:t>
            </w:r>
          </w:p>
        </w:tc>
        <w:tc>
          <w:tcPr>
            <w:tcW w:w="1243" w:type="dxa"/>
          </w:tcPr>
          <w:p w14:paraId="50DFBC23" w14:textId="77777777" w:rsidR="004C6E06" w:rsidRPr="005818DC" w:rsidRDefault="004C6E06" w:rsidP="004C6E06">
            <w:pPr>
              <w:jc w:val="center"/>
              <w:rPr>
                <w:rFonts w:eastAsia="Calibri"/>
                <w:sz w:val="22"/>
                <w:szCs w:val="22"/>
                <w:lang w:val="lt-LT"/>
              </w:rPr>
            </w:pPr>
            <w:r w:rsidRPr="005818DC">
              <w:rPr>
                <w:rFonts w:eastAsia="Calibri"/>
                <w:sz w:val="22"/>
                <w:szCs w:val="22"/>
                <w:lang w:val="lt-LT"/>
              </w:rPr>
              <w:t>Kvėpavimo sistemos ligos</w:t>
            </w:r>
          </w:p>
        </w:tc>
        <w:tc>
          <w:tcPr>
            <w:tcW w:w="1219" w:type="dxa"/>
          </w:tcPr>
          <w:p w14:paraId="324163BB" w14:textId="77777777" w:rsidR="004C6E06" w:rsidRPr="005818DC" w:rsidRDefault="004C6E06" w:rsidP="004C6E06">
            <w:pPr>
              <w:jc w:val="center"/>
              <w:rPr>
                <w:rFonts w:eastAsia="Calibri"/>
                <w:sz w:val="22"/>
                <w:szCs w:val="22"/>
                <w:lang w:val="lt-LT"/>
              </w:rPr>
            </w:pPr>
            <w:r w:rsidRPr="005818DC">
              <w:rPr>
                <w:rFonts w:eastAsia="Calibri"/>
                <w:sz w:val="22"/>
                <w:szCs w:val="22"/>
                <w:lang w:val="lt-LT"/>
              </w:rPr>
              <w:t>Virškinimo sistemos ligos</w:t>
            </w:r>
          </w:p>
        </w:tc>
        <w:tc>
          <w:tcPr>
            <w:tcW w:w="1186" w:type="dxa"/>
          </w:tcPr>
          <w:p w14:paraId="119BCEAF" w14:textId="77777777" w:rsidR="004C6E06" w:rsidRPr="005818DC" w:rsidRDefault="004C6E06" w:rsidP="004C6E06">
            <w:pPr>
              <w:jc w:val="center"/>
              <w:rPr>
                <w:rFonts w:eastAsia="Calibri"/>
                <w:sz w:val="22"/>
                <w:szCs w:val="22"/>
                <w:lang w:val="lt-LT"/>
              </w:rPr>
            </w:pPr>
            <w:r w:rsidRPr="005818DC">
              <w:rPr>
                <w:rFonts w:eastAsia="Calibri"/>
                <w:sz w:val="22"/>
                <w:szCs w:val="22"/>
                <w:lang w:val="lt-LT"/>
              </w:rPr>
              <w:t>Išorinės mirties priežastys</w:t>
            </w:r>
          </w:p>
        </w:tc>
        <w:tc>
          <w:tcPr>
            <w:tcW w:w="1133" w:type="dxa"/>
          </w:tcPr>
          <w:p w14:paraId="2154C992" w14:textId="77777777" w:rsidR="004C6E06" w:rsidRPr="004C6E06" w:rsidRDefault="004C6E06" w:rsidP="004C6E06">
            <w:pPr>
              <w:jc w:val="center"/>
              <w:rPr>
                <w:rFonts w:eastAsia="Calibri"/>
                <w:sz w:val="22"/>
                <w:szCs w:val="22"/>
              </w:rPr>
            </w:pPr>
            <w:r w:rsidRPr="004C6E06">
              <w:rPr>
                <w:rFonts w:eastAsia="Calibri"/>
                <w:sz w:val="22"/>
                <w:szCs w:val="22"/>
              </w:rPr>
              <w:t>Kita</w:t>
            </w:r>
          </w:p>
        </w:tc>
      </w:tr>
      <w:tr w:rsidR="004C6E06" w:rsidRPr="004C6E06" w14:paraId="6AB7E1B3" w14:textId="77777777" w:rsidTr="003E427B">
        <w:tc>
          <w:tcPr>
            <w:tcW w:w="1171" w:type="dxa"/>
          </w:tcPr>
          <w:p w14:paraId="57034791" w14:textId="77777777" w:rsidR="004C6E06" w:rsidRPr="005818DC" w:rsidRDefault="004C6E06" w:rsidP="004C6E06">
            <w:pPr>
              <w:jc w:val="center"/>
              <w:rPr>
                <w:rFonts w:eastAsia="Calibri"/>
                <w:sz w:val="22"/>
                <w:szCs w:val="22"/>
                <w:lang w:val="lt-LT"/>
              </w:rPr>
            </w:pPr>
            <w:r w:rsidRPr="005818DC">
              <w:rPr>
                <w:rFonts w:eastAsia="Calibri"/>
                <w:sz w:val="22"/>
                <w:szCs w:val="22"/>
                <w:lang w:val="lt-LT"/>
              </w:rPr>
              <w:t>Vyrai</w:t>
            </w:r>
          </w:p>
        </w:tc>
        <w:tc>
          <w:tcPr>
            <w:tcW w:w="1190" w:type="dxa"/>
          </w:tcPr>
          <w:p w14:paraId="33DD747F" w14:textId="77777777" w:rsidR="004C6E06" w:rsidRPr="004C6E06" w:rsidRDefault="004C6E06" w:rsidP="004C6E06">
            <w:pPr>
              <w:jc w:val="center"/>
              <w:rPr>
                <w:rFonts w:eastAsia="Calibri"/>
                <w:sz w:val="22"/>
                <w:szCs w:val="22"/>
              </w:rPr>
            </w:pPr>
            <w:r w:rsidRPr="004C6E06">
              <w:rPr>
                <w:rFonts w:eastAsia="Calibri"/>
                <w:sz w:val="22"/>
                <w:szCs w:val="22"/>
              </w:rPr>
              <w:t>18</w:t>
            </w:r>
          </w:p>
        </w:tc>
        <w:tc>
          <w:tcPr>
            <w:tcW w:w="1195" w:type="dxa"/>
          </w:tcPr>
          <w:p w14:paraId="51CAF86A" w14:textId="77777777" w:rsidR="004C6E06" w:rsidRPr="004C6E06" w:rsidRDefault="004C6E06" w:rsidP="004C6E06">
            <w:pPr>
              <w:jc w:val="center"/>
              <w:rPr>
                <w:rFonts w:eastAsia="Calibri"/>
                <w:sz w:val="22"/>
                <w:szCs w:val="22"/>
              </w:rPr>
            </w:pPr>
            <w:r w:rsidRPr="004C6E06">
              <w:rPr>
                <w:rFonts w:eastAsia="Calibri"/>
                <w:sz w:val="22"/>
                <w:szCs w:val="22"/>
              </w:rPr>
              <w:t>207</w:t>
            </w:r>
          </w:p>
        </w:tc>
        <w:tc>
          <w:tcPr>
            <w:tcW w:w="1292" w:type="dxa"/>
          </w:tcPr>
          <w:p w14:paraId="72A8D0E6" w14:textId="77777777" w:rsidR="004C6E06" w:rsidRPr="004C6E06" w:rsidRDefault="004C6E06" w:rsidP="004C6E06">
            <w:pPr>
              <w:jc w:val="center"/>
              <w:rPr>
                <w:rFonts w:eastAsia="Calibri"/>
                <w:sz w:val="22"/>
                <w:szCs w:val="22"/>
              </w:rPr>
            </w:pPr>
            <w:r w:rsidRPr="004C6E06">
              <w:rPr>
                <w:rFonts w:eastAsia="Calibri"/>
                <w:sz w:val="22"/>
                <w:szCs w:val="22"/>
              </w:rPr>
              <w:t>481</w:t>
            </w:r>
          </w:p>
        </w:tc>
        <w:tc>
          <w:tcPr>
            <w:tcW w:w="1243" w:type="dxa"/>
          </w:tcPr>
          <w:p w14:paraId="5162F1F4" w14:textId="77777777" w:rsidR="004C6E06" w:rsidRPr="004C6E06" w:rsidRDefault="004C6E06" w:rsidP="004C6E06">
            <w:pPr>
              <w:jc w:val="center"/>
              <w:rPr>
                <w:rFonts w:eastAsia="Calibri"/>
                <w:sz w:val="22"/>
                <w:szCs w:val="22"/>
              </w:rPr>
            </w:pPr>
            <w:r w:rsidRPr="004C6E06">
              <w:rPr>
                <w:rFonts w:eastAsia="Calibri"/>
                <w:sz w:val="22"/>
                <w:szCs w:val="22"/>
              </w:rPr>
              <w:t>38</w:t>
            </w:r>
          </w:p>
        </w:tc>
        <w:tc>
          <w:tcPr>
            <w:tcW w:w="1219" w:type="dxa"/>
          </w:tcPr>
          <w:p w14:paraId="5BE8F4C8" w14:textId="77777777" w:rsidR="004C6E06" w:rsidRPr="004C6E06" w:rsidRDefault="004C6E06" w:rsidP="004C6E06">
            <w:pPr>
              <w:jc w:val="center"/>
              <w:rPr>
                <w:rFonts w:eastAsia="Calibri"/>
                <w:sz w:val="22"/>
                <w:szCs w:val="22"/>
              </w:rPr>
            </w:pPr>
            <w:r w:rsidRPr="004C6E06">
              <w:rPr>
                <w:rFonts w:eastAsia="Calibri"/>
                <w:sz w:val="22"/>
                <w:szCs w:val="22"/>
              </w:rPr>
              <w:t>53</w:t>
            </w:r>
          </w:p>
        </w:tc>
        <w:tc>
          <w:tcPr>
            <w:tcW w:w="1186" w:type="dxa"/>
          </w:tcPr>
          <w:p w14:paraId="13038004" w14:textId="77777777" w:rsidR="004C6E06" w:rsidRPr="004C6E06" w:rsidRDefault="004C6E06" w:rsidP="004C6E06">
            <w:pPr>
              <w:jc w:val="center"/>
              <w:rPr>
                <w:rFonts w:eastAsia="Calibri"/>
                <w:sz w:val="22"/>
                <w:szCs w:val="22"/>
              </w:rPr>
            </w:pPr>
            <w:r w:rsidRPr="004C6E06">
              <w:rPr>
                <w:rFonts w:eastAsia="Calibri"/>
                <w:sz w:val="22"/>
                <w:szCs w:val="22"/>
              </w:rPr>
              <w:t>73</w:t>
            </w:r>
          </w:p>
        </w:tc>
        <w:tc>
          <w:tcPr>
            <w:tcW w:w="1133" w:type="dxa"/>
          </w:tcPr>
          <w:p w14:paraId="0852C763" w14:textId="77777777" w:rsidR="004C6E06" w:rsidRPr="004C6E06" w:rsidRDefault="004C6E06" w:rsidP="004C6E06">
            <w:pPr>
              <w:jc w:val="center"/>
              <w:rPr>
                <w:rFonts w:eastAsia="Calibri"/>
                <w:sz w:val="22"/>
                <w:szCs w:val="22"/>
              </w:rPr>
            </w:pPr>
            <w:r w:rsidRPr="004C6E06">
              <w:rPr>
                <w:rFonts w:eastAsia="Calibri"/>
                <w:sz w:val="22"/>
                <w:szCs w:val="22"/>
              </w:rPr>
              <w:t>315</w:t>
            </w:r>
          </w:p>
        </w:tc>
      </w:tr>
      <w:tr w:rsidR="004C6E06" w:rsidRPr="004C6E06" w14:paraId="599A67DE" w14:textId="77777777" w:rsidTr="003E427B">
        <w:tc>
          <w:tcPr>
            <w:tcW w:w="1171" w:type="dxa"/>
          </w:tcPr>
          <w:p w14:paraId="2B5A8DD5" w14:textId="77777777" w:rsidR="004C6E06" w:rsidRPr="005818DC" w:rsidRDefault="004C6E06" w:rsidP="004C6E06">
            <w:pPr>
              <w:jc w:val="center"/>
              <w:rPr>
                <w:rFonts w:eastAsia="Calibri"/>
                <w:sz w:val="22"/>
                <w:szCs w:val="22"/>
                <w:lang w:val="lt-LT"/>
              </w:rPr>
            </w:pPr>
            <w:r w:rsidRPr="005818DC">
              <w:rPr>
                <w:rFonts w:eastAsia="Calibri"/>
                <w:sz w:val="22"/>
                <w:szCs w:val="22"/>
                <w:lang w:val="lt-LT"/>
              </w:rPr>
              <w:t>Moterys</w:t>
            </w:r>
          </w:p>
        </w:tc>
        <w:tc>
          <w:tcPr>
            <w:tcW w:w="1190" w:type="dxa"/>
          </w:tcPr>
          <w:p w14:paraId="4BFFFD3E" w14:textId="77777777" w:rsidR="004C6E06" w:rsidRPr="004C6E06" w:rsidRDefault="004C6E06" w:rsidP="004C6E06">
            <w:pPr>
              <w:jc w:val="center"/>
              <w:rPr>
                <w:rFonts w:eastAsia="Calibri"/>
                <w:sz w:val="22"/>
                <w:szCs w:val="22"/>
              </w:rPr>
            </w:pPr>
            <w:r w:rsidRPr="004C6E06">
              <w:rPr>
                <w:rFonts w:eastAsia="Calibri"/>
                <w:sz w:val="22"/>
                <w:szCs w:val="22"/>
              </w:rPr>
              <w:t>20</w:t>
            </w:r>
          </w:p>
        </w:tc>
        <w:tc>
          <w:tcPr>
            <w:tcW w:w="1195" w:type="dxa"/>
          </w:tcPr>
          <w:p w14:paraId="36A31DB3" w14:textId="77777777" w:rsidR="004C6E06" w:rsidRPr="004C6E06" w:rsidRDefault="004C6E06" w:rsidP="004C6E06">
            <w:pPr>
              <w:jc w:val="center"/>
              <w:rPr>
                <w:rFonts w:eastAsia="Calibri"/>
                <w:sz w:val="22"/>
                <w:szCs w:val="22"/>
              </w:rPr>
            </w:pPr>
            <w:r w:rsidRPr="004C6E06">
              <w:rPr>
                <w:rFonts w:eastAsia="Calibri"/>
                <w:sz w:val="22"/>
                <w:szCs w:val="22"/>
              </w:rPr>
              <w:t>223</w:t>
            </w:r>
          </w:p>
        </w:tc>
        <w:tc>
          <w:tcPr>
            <w:tcW w:w="1292" w:type="dxa"/>
          </w:tcPr>
          <w:p w14:paraId="2AB71E44" w14:textId="77777777" w:rsidR="004C6E06" w:rsidRPr="004C6E06" w:rsidRDefault="004C6E06" w:rsidP="004C6E06">
            <w:pPr>
              <w:jc w:val="center"/>
              <w:rPr>
                <w:rFonts w:eastAsia="Calibri"/>
                <w:sz w:val="22"/>
                <w:szCs w:val="22"/>
              </w:rPr>
            </w:pPr>
            <w:r w:rsidRPr="004C6E06">
              <w:rPr>
                <w:rFonts w:eastAsia="Calibri"/>
                <w:sz w:val="22"/>
                <w:szCs w:val="22"/>
              </w:rPr>
              <w:t>665</w:t>
            </w:r>
          </w:p>
        </w:tc>
        <w:tc>
          <w:tcPr>
            <w:tcW w:w="1243" w:type="dxa"/>
          </w:tcPr>
          <w:p w14:paraId="4E10E00F" w14:textId="77777777" w:rsidR="004C6E06" w:rsidRPr="004C6E06" w:rsidRDefault="004C6E06" w:rsidP="004C6E06">
            <w:pPr>
              <w:jc w:val="center"/>
              <w:rPr>
                <w:rFonts w:eastAsia="Calibri"/>
                <w:sz w:val="22"/>
                <w:szCs w:val="22"/>
              </w:rPr>
            </w:pPr>
            <w:r w:rsidRPr="004C6E06">
              <w:rPr>
                <w:rFonts w:eastAsia="Calibri"/>
                <w:sz w:val="22"/>
                <w:szCs w:val="22"/>
              </w:rPr>
              <w:t>14</w:t>
            </w:r>
          </w:p>
        </w:tc>
        <w:tc>
          <w:tcPr>
            <w:tcW w:w="1219" w:type="dxa"/>
          </w:tcPr>
          <w:p w14:paraId="7870729E" w14:textId="77777777" w:rsidR="004C6E06" w:rsidRPr="004C6E06" w:rsidRDefault="004C6E06" w:rsidP="004C6E06">
            <w:pPr>
              <w:jc w:val="center"/>
              <w:rPr>
                <w:rFonts w:eastAsia="Calibri"/>
                <w:sz w:val="22"/>
                <w:szCs w:val="22"/>
              </w:rPr>
            </w:pPr>
            <w:r w:rsidRPr="004C6E06">
              <w:rPr>
                <w:rFonts w:eastAsia="Calibri"/>
                <w:sz w:val="22"/>
                <w:szCs w:val="22"/>
              </w:rPr>
              <w:t>54</w:t>
            </w:r>
          </w:p>
        </w:tc>
        <w:tc>
          <w:tcPr>
            <w:tcW w:w="1186" w:type="dxa"/>
          </w:tcPr>
          <w:p w14:paraId="0CEA0911" w14:textId="77777777" w:rsidR="004C6E06" w:rsidRPr="004C6E06" w:rsidRDefault="004C6E06" w:rsidP="004C6E06">
            <w:pPr>
              <w:jc w:val="center"/>
              <w:rPr>
                <w:rFonts w:eastAsia="Calibri"/>
                <w:sz w:val="22"/>
                <w:szCs w:val="22"/>
              </w:rPr>
            </w:pPr>
            <w:r w:rsidRPr="004C6E06">
              <w:rPr>
                <w:rFonts w:eastAsia="Calibri"/>
                <w:sz w:val="22"/>
                <w:szCs w:val="22"/>
              </w:rPr>
              <w:t>24</w:t>
            </w:r>
          </w:p>
        </w:tc>
        <w:tc>
          <w:tcPr>
            <w:tcW w:w="1133" w:type="dxa"/>
          </w:tcPr>
          <w:p w14:paraId="096A99C9" w14:textId="77777777" w:rsidR="004C6E06" w:rsidRPr="004C6E06" w:rsidRDefault="004C6E06" w:rsidP="004C6E06">
            <w:pPr>
              <w:jc w:val="center"/>
              <w:rPr>
                <w:rFonts w:eastAsia="Calibri"/>
                <w:sz w:val="22"/>
                <w:szCs w:val="22"/>
              </w:rPr>
            </w:pPr>
            <w:r w:rsidRPr="004C6E06">
              <w:rPr>
                <w:rFonts w:eastAsia="Calibri"/>
                <w:sz w:val="22"/>
                <w:szCs w:val="22"/>
              </w:rPr>
              <w:t>316</w:t>
            </w:r>
          </w:p>
        </w:tc>
      </w:tr>
      <w:tr w:rsidR="004C6E06" w:rsidRPr="004C6E06" w14:paraId="27F64411" w14:textId="77777777" w:rsidTr="003E427B">
        <w:tc>
          <w:tcPr>
            <w:tcW w:w="1171" w:type="dxa"/>
          </w:tcPr>
          <w:p w14:paraId="138FA42A" w14:textId="77777777" w:rsidR="004C6E06" w:rsidRPr="004C6E06" w:rsidRDefault="004C6E06" w:rsidP="004C6E06">
            <w:pPr>
              <w:jc w:val="center"/>
              <w:rPr>
                <w:rFonts w:eastAsia="Calibri"/>
                <w:sz w:val="22"/>
                <w:szCs w:val="22"/>
              </w:rPr>
            </w:pPr>
            <w:r w:rsidRPr="004C6E06">
              <w:rPr>
                <w:rFonts w:eastAsia="Calibri"/>
                <w:sz w:val="22"/>
                <w:szCs w:val="22"/>
              </w:rPr>
              <w:t>Iš viso</w:t>
            </w:r>
          </w:p>
        </w:tc>
        <w:tc>
          <w:tcPr>
            <w:tcW w:w="1190" w:type="dxa"/>
          </w:tcPr>
          <w:p w14:paraId="0899A40C" w14:textId="77777777" w:rsidR="004C6E06" w:rsidRPr="004C6E06" w:rsidRDefault="004C6E06" w:rsidP="004C6E06">
            <w:pPr>
              <w:jc w:val="center"/>
              <w:rPr>
                <w:rFonts w:eastAsia="Calibri"/>
                <w:sz w:val="22"/>
                <w:szCs w:val="22"/>
              </w:rPr>
            </w:pPr>
            <w:r w:rsidRPr="004C6E06">
              <w:rPr>
                <w:rFonts w:eastAsia="Calibri"/>
                <w:sz w:val="22"/>
                <w:szCs w:val="22"/>
              </w:rPr>
              <w:t>38</w:t>
            </w:r>
          </w:p>
        </w:tc>
        <w:tc>
          <w:tcPr>
            <w:tcW w:w="1195" w:type="dxa"/>
          </w:tcPr>
          <w:p w14:paraId="09370A19" w14:textId="77777777" w:rsidR="004C6E06" w:rsidRPr="004C6E06" w:rsidRDefault="004C6E06" w:rsidP="004C6E06">
            <w:pPr>
              <w:jc w:val="center"/>
              <w:rPr>
                <w:rFonts w:eastAsia="Calibri"/>
                <w:sz w:val="22"/>
                <w:szCs w:val="22"/>
              </w:rPr>
            </w:pPr>
            <w:r w:rsidRPr="004C6E06">
              <w:rPr>
                <w:rFonts w:eastAsia="Calibri"/>
                <w:sz w:val="22"/>
                <w:szCs w:val="22"/>
              </w:rPr>
              <w:t>430</w:t>
            </w:r>
          </w:p>
        </w:tc>
        <w:tc>
          <w:tcPr>
            <w:tcW w:w="1292" w:type="dxa"/>
          </w:tcPr>
          <w:p w14:paraId="1F8B1B3B" w14:textId="77777777" w:rsidR="004C6E06" w:rsidRPr="004C6E06" w:rsidRDefault="004C6E06" w:rsidP="004C6E06">
            <w:pPr>
              <w:jc w:val="center"/>
              <w:rPr>
                <w:rFonts w:eastAsia="Calibri"/>
                <w:sz w:val="22"/>
                <w:szCs w:val="22"/>
              </w:rPr>
            </w:pPr>
            <w:r w:rsidRPr="004C6E06">
              <w:rPr>
                <w:rFonts w:eastAsia="Calibri"/>
                <w:sz w:val="22"/>
                <w:szCs w:val="22"/>
              </w:rPr>
              <w:t>1146</w:t>
            </w:r>
          </w:p>
        </w:tc>
        <w:tc>
          <w:tcPr>
            <w:tcW w:w="1243" w:type="dxa"/>
          </w:tcPr>
          <w:p w14:paraId="36A0581D" w14:textId="77777777" w:rsidR="004C6E06" w:rsidRPr="004C6E06" w:rsidRDefault="004C6E06" w:rsidP="004C6E06">
            <w:pPr>
              <w:jc w:val="center"/>
              <w:rPr>
                <w:rFonts w:eastAsia="Calibri"/>
                <w:sz w:val="22"/>
                <w:szCs w:val="22"/>
              </w:rPr>
            </w:pPr>
            <w:r w:rsidRPr="004C6E06">
              <w:rPr>
                <w:rFonts w:eastAsia="Calibri"/>
                <w:sz w:val="22"/>
                <w:szCs w:val="22"/>
              </w:rPr>
              <w:t>52</w:t>
            </w:r>
          </w:p>
        </w:tc>
        <w:tc>
          <w:tcPr>
            <w:tcW w:w="1219" w:type="dxa"/>
          </w:tcPr>
          <w:p w14:paraId="4061146C" w14:textId="77777777" w:rsidR="004C6E06" w:rsidRPr="004C6E06" w:rsidRDefault="004C6E06" w:rsidP="004C6E06">
            <w:pPr>
              <w:jc w:val="center"/>
              <w:rPr>
                <w:rFonts w:eastAsia="Calibri"/>
                <w:sz w:val="22"/>
                <w:szCs w:val="22"/>
              </w:rPr>
            </w:pPr>
            <w:r w:rsidRPr="004C6E06">
              <w:rPr>
                <w:rFonts w:eastAsia="Calibri"/>
                <w:sz w:val="22"/>
                <w:szCs w:val="22"/>
              </w:rPr>
              <w:t>107</w:t>
            </w:r>
          </w:p>
        </w:tc>
        <w:tc>
          <w:tcPr>
            <w:tcW w:w="1186" w:type="dxa"/>
          </w:tcPr>
          <w:p w14:paraId="67593C70" w14:textId="77777777" w:rsidR="004C6E06" w:rsidRPr="004C6E06" w:rsidRDefault="004C6E06" w:rsidP="004C6E06">
            <w:pPr>
              <w:jc w:val="center"/>
              <w:rPr>
                <w:rFonts w:eastAsia="Calibri"/>
                <w:sz w:val="22"/>
                <w:szCs w:val="22"/>
              </w:rPr>
            </w:pPr>
            <w:r w:rsidRPr="004C6E06">
              <w:rPr>
                <w:rFonts w:eastAsia="Calibri"/>
                <w:sz w:val="22"/>
                <w:szCs w:val="22"/>
              </w:rPr>
              <w:t>97</w:t>
            </w:r>
          </w:p>
        </w:tc>
        <w:tc>
          <w:tcPr>
            <w:tcW w:w="1133" w:type="dxa"/>
          </w:tcPr>
          <w:p w14:paraId="65708048" w14:textId="77777777" w:rsidR="004C6E06" w:rsidRPr="004C6E06" w:rsidRDefault="004C6E06" w:rsidP="004C6E06">
            <w:pPr>
              <w:jc w:val="center"/>
              <w:rPr>
                <w:rFonts w:eastAsia="Calibri"/>
                <w:sz w:val="22"/>
                <w:szCs w:val="22"/>
              </w:rPr>
            </w:pPr>
            <w:r w:rsidRPr="004C6E06">
              <w:rPr>
                <w:rFonts w:eastAsia="Calibri"/>
                <w:sz w:val="22"/>
                <w:szCs w:val="22"/>
              </w:rPr>
              <w:t>631</w:t>
            </w:r>
          </w:p>
        </w:tc>
      </w:tr>
    </w:tbl>
    <w:p w14:paraId="2D9E07F5" w14:textId="77777777" w:rsidR="004C6E06" w:rsidRPr="004C6E06" w:rsidRDefault="004C6E06" w:rsidP="004C6E06">
      <w:pPr>
        <w:spacing w:line="360" w:lineRule="auto"/>
        <w:jc w:val="center"/>
        <w:rPr>
          <w:rFonts w:eastAsia="Calibri"/>
          <w:i/>
          <w:sz w:val="22"/>
          <w:szCs w:val="22"/>
        </w:rPr>
      </w:pPr>
      <w:r w:rsidRPr="004C6E06">
        <w:rPr>
          <w:rFonts w:eastAsia="Calibri"/>
          <w:sz w:val="22"/>
          <w:szCs w:val="22"/>
        </w:rPr>
        <w:t xml:space="preserve">Šaltinis: </w:t>
      </w:r>
      <w:r w:rsidRPr="004C6E06">
        <w:rPr>
          <w:rFonts w:eastAsia="Calibri"/>
          <w:i/>
          <w:sz w:val="22"/>
          <w:szCs w:val="22"/>
        </w:rPr>
        <w:t>Higienos instituto Sveikatos informacijos centras</w:t>
      </w:r>
    </w:p>
    <w:p w14:paraId="22A41C4B" w14:textId="77777777" w:rsidR="004C6E06" w:rsidRPr="004C6E06" w:rsidRDefault="00363813" w:rsidP="004C6E06">
      <w:pPr>
        <w:ind w:right="39" w:firstLine="720"/>
        <w:jc w:val="both"/>
      </w:pPr>
      <w:r>
        <w:t>17</w:t>
      </w:r>
      <w:r w:rsidR="004C6E06" w:rsidRPr="004C6E06">
        <w:t xml:space="preserve">. 2021 m. daugiausia mirties atvejų dėl onkologinių ligų sudarė trachėjos, skrandžio ir krūties navikai, 2019 ir 2020 m. – trachėjos, skrandžio, krūtų ir priešinės liaukos navikai (2 lentelė). </w:t>
      </w:r>
    </w:p>
    <w:p w14:paraId="0CDE3E5E" w14:textId="77777777" w:rsidR="004C6E06" w:rsidRPr="004C6E06" w:rsidRDefault="004C6E06" w:rsidP="004C6E06">
      <w:pPr>
        <w:ind w:right="39" w:firstLine="720"/>
        <w:jc w:val="both"/>
      </w:pPr>
      <w:r w:rsidRPr="004C6E06">
        <w:t>Didesnę riziką susirgti onkologinėmis ligomis turi asmenys, kurie rūko, neracionaliai maitinasi, nesaikingai vartoja alkoholį, yra fiziškai pasyvūs, yra veikiami nuolatinės aplinkos taršos (oras, vanduo ir maistas), ultravioletinės ir jonizuojančios spinduliuotės.</w:t>
      </w:r>
    </w:p>
    <w:p w14:paraId="450B5CD0" w14:textId="77777777" w:rsidR="004C6E06" w:rsidRPr="004C6E06" w:rsidRDefault="004C6E06" w:rsidP="004C6E06">
      <w:pPr>
        <w:ind w:right="39" w:firstLine="720"/>
        <w:jc w:val="both"/>
      </w:pPr>
    </w:p>
    <w:p w14:paraId="5FF46809" w14:textId="77777777" w:rsidR="004C6E06" w:rsidRPr="004C6E06" w:rsidRDefault="004C6E06" w:rsidP="004C6E06">
      <w:pPr>
        <w:autoSpaceDE w:val="0"/>
        <w:autoSpaceDN w:val="0"/>
        <w:adjustRightInd w:val="0"/>
        <w:spacing w:after="200" w:line="276" w:lineRule="auto"/>
        <w:jc w:val="center"/>
        <w:rPr>
          <w:rFonts w:ascii="TimesNewRomanPSMT" w:eastAsia="Calibri" w:hAnsi="TimesNewRomanPSMT" w:cs="TimesNewRomanPSMT"/>
          <w:b/>
          <w:sz w:val="22"/>
          <w:szCs w:val="22"/>
          <w:lang w:eastAsia="lt-LT"/>
        </w:rPr>
      </w:pPr>
      <w:r w:rsidRPr="004C6E06">
        <w:rPr>
          <w:rFonts w:ascii="TimesNewRomanPSMT" w:eastAsia="Calibri" w:hAnsi="TimesNewRomanPSMT" w:cs="TimesNewRomanPSMT"/>
          <w:i/>
          <w:sz w:val="22"/>
          <w:szCs w:val="22"/>
          <w:lang w:eastAsia="lt-LT"/>
        </w:rPr>
        <w:t>2 lentelė.</w:t>
      </w:r>
      <w:r w:rsidRPr="004C6E06">
        <w:rPr>
          <w:rFonts w:ascii="TimesNewRomanPSMT" w:eastAsia="Calibri" w:hAnsi="TimesNewRomanPSMT" w:cs="TimesNewRomanPSMT"/>
          <w:b/>
          <w:sz w:val="22"/>
          <w:szCs w:val="22"/>
          <w:lang w:eastAsia="lt-LT"/>
        </w:rPr>
        <w:t xml:space="preserve"> Mirusieji pagal navikų lokalizaciją Klaipėdos mieste 2019</w:t>
      </w:r>
      <w:r w:rsidRPr="004C6E06">
        <w:rPr>
          <w:rFonts w:ascii="Calibri" w:eastAsia="Calibri" w:hAnsi="Calibri" w:cs="TimesNewRomanPSMT"/>
          <w:b/>
          <w:sz w:val="22"/>
          <w:szCs w:val="22"/>
          <w:lang w:eastAsia="lt-LT"/>
        </w:rPr>
        <w:t>−</w:t>
      </w:r>
      <w:r w:rsidRPr="004C6E06">
        <w:rPr>
          <w:rFonts w:ascii="TimesNewRomanPSMT" w:eastAsia="Calibri" w:hAnsi="TimesNewRomanPSMT" w:cs="TimesNewRomanPSMT"/>
          <w:b/>
          <w:sz w:val="22"/>
          <w:szCs w:val="22"/>
          <w:lang w:eastAsia="lt-LT"/>
        </w:rPr>
        <w:t>2021 m. (abs. sk.)</w:t>
      </w:r>
    </w:p>
    <w:tbl>
      <w:tblPr>
        <w:tblW w:w="9710" w:type="dxa"/>
        <w:jc w:val="center"/>
        <w:tblLayout w:type="fixed"/>
        <w:tblLook w:val="04A0" w:firstRow="1" w:lastRow="0" w:firstColumn="1" w:lastColumn="0" w:noHBand="0" w:noVBand="1"/>
      </w:tblPr>
      <w:tblGrid>
        <w:gridCol w:w="960"/>
        <w:gridCol w:w="865"/>
        <w:gridCol w:w="847"/>
        <w:gridCol w:w="975"/>
        <w:gridCol w:w="776"/>
        <w:gridCol w:w="732"/>
        <w:gridCol w:w="688"/>
        <w:gridCol w:w="794"/>
        <w:gridCol w:w="785"/>
        <w:gridCol w:w="673"/>
        <w:gridCol w:w="1052"/>
        <w:gridCol w:w="563"/>
      </w:tblGrid>
      <w:tr w:rsidR="004C6E06" w:rsidRPr="004C6E06" w14:paraId="5E2DC144" w14:textId="77777777" w:rsidTr="003E427B">
        <w:trPr>
          <w:trHeight w:val="79"/>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47FE42" w14:textId="77777777" w:rsidR="004C6E06" w:rsidRPr="004C6E06" w:rsidRDefault="004C6E06" w:rsidP="004C6E06">
            <w:pPr>
              <w:jc w:val="center"/>
              <w:rPr>
                <w:bCs/>
                <w:lang w:eastAsia="lt-LT"/>
              </w:rPr>
            </w:pPr>
            <w:r w:rsidRPr="004C6E06">
              <w:rPr>
                <w:bCs/>
                <w:lang w:eastAsia="lt-LT"/>
              </w:rPr>
              <w:t>Metai</w:t>
            </w:r>
          </w:p>
        </w:tc>
        <w:tc>
          <w:tcPr>
            <w:tcW w:w="8750" w:type="dxa"/>
            <w:gridSpan w:val="11"/>
            <w:tcBorders>
              <w:top w:val="single" w:sz="4" w:space="0" w:color="auto"/>
              <w:left w:val="nil"/>
              <w:bottom w:val="single" w:sz="4" w:space="0" w:color="auto"/>
              <w:right w:val="single" w:sz="4" w:space="0" w:color="auto"/>
            </w:tcBorders>
            <w:shd w:val="clear" w:color="auto" w:fill="auto"/>
            <w:noWrap/>
            <w:vAlign w:val="center"/>
            <w:hideMark/>
          </w:tcPr>
          <w:p w14:paraId="6AF1ED69" w14:textId="77777777" w:rsidR="004C6E06" w:rsidRPr="004C6E06" w:rsidRDefault="004C6E06" w:rsidP="004C6E06">
            <w:pPr>
              <w:jc w:val="center"/>
              <w:rPr>
                <w:bCs/>
                <w:lang w:eastAsia="lt-LT"/>
              </w:rPr>
            </w:pPr>
            <w:r w:rsidRPr="004C6E06">
              <w:rPr>
                <w:bCs/>
                <w:lang w:eastAsia="lt-LT"/>
              </w:rPr>
              <w:t>Lokalizacija</w:t>
            </w:r>
          </w:p>
        </w:tc>
      </w:tr>
      <w:tr w:rsidR="004C6E06" w:rsidRPr="004C6E06" w14:paraId="2538A4F9" w14:textId="77777777" w:rsidTr="003E427B">
        <w:trPr>
          <w:trHeight w:val="79"/>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1C5C2BBE" w14:textId="77777777" w:rsidR="004C6E06" w:rsidRPr="004C6E06" w:rsidRDefault="004C6E06" w:rsidP="004C6E06">
            <w:pPr>
              <w:rPr>
                <w:b/>
                <w:bCs/>
                <w:sz w:val="22"/>
                <w:szCs w:val="22"/>
                <w:lang w:eastAsia="lt-LT"/>
              </w:rPr>
            </w:pPr>
          </w:p>
        </w:tc>
        <w:tc>
          <w:tcPr>
            <w:tcW w:w="865" w:type="dxa"/>
            <w:tcBorders>
              <w:top w:val="nil"/>
              <w:left w:val="nil"/>
              <w:bottom w:val="single" w:sz="4" w:space="0" w:color="auto"/>
              <w:right w:val="single" w:sz="4" w:space="0" w:color="auto"/>
            </w:tcBorders>
            <w:shd w:val="clear" w:color="auto" w:fill="auto"/>
            <w:vAlign w:val="center"/>
            <w:hideMark/>
          </w:tcPr>
          <w:p w14:paraId="1706C9EE" w14:textId="77777777" w:rsidR="004C6E06" w:rsidRPr="004C6E06" w:rsidRDefault="004C6E06" w:rsidP="004C6E06">
            <w:pPr>
              <w:jc w:val="center"/>
              <w:rPr>
                <w:sz w:val="16"/>
                <w:szCs w:val="16"/>
                <w:lang w:eastAsia="lt-LT"/>
              </w:rPr>
            </w:pPr>
            <w:r w:rsidRPr="004C6E06">
              <w:rPr>
                <w:sz w:val="16"/>
                <w:szCs w:val="16"/>
                <w:lang w:eastAsia="lt-LT"/>
              </w:rPr>
              <w:t>Skrandžio</w:t>
            </w:r>
          </w:p>
        </w:tc>
        <w:tc>
          <w:tcPr>
            <w:tcW w:w="847" w:type="dxa"/>
            <w:tcBorders>
              <w:top w:val="nil"/>
              <w:left w:val="nil"/>
              <w:bottom w:val="single" w:sz="4" w:space="0" w:color="auto"/>
              <w:right w:val="single" w:sz="4" w:space="0" w:color="auto"/>
            </w:tcBorders>
            <w:shd w:val="clear" w:color="auto" w:fill="auto"/>
            <w:vAlign w:val="center"/>
            <w:hideMark/>
          </w:tcPr>
          <w:p w14:paraId="7A7D61E2" w14:textId="11A6DFBB" w:rsidR="004C6E06" w:rsidRPr="004C6E06" w:rsidRDefault="004C6E06" w:rsidP="004C6E06">
            <w:pPr>
              <w:jc w:val="center"/>
              <w:rPr>
                <w:sz w:val="16"/>
                <w:szCs w:val="16"/>
                <w:lang w:eastAsia="lt-LT"/>
              </w:rPr>
            </w:pPr>
            <w:r w:rsidRPr="004C6E06">
              <w:rPr>
                <w:sz w:val="16"/>
                <w:szCs w:val="16"/>
                <w:lang w:eastAsia="lt-LT"/>
              </w:rPr>
              <w:t>Trachėjos</w:t>
            </w:r>
            <w:r w:rsidR="005818DC">
              <w:rPr>
                <w:sz w:val="16"/>
                <w:szCs w:val="16"/>
                <w:lang w:eastAsia="lt-LT"/>
              </w:rPr>
              <w:t>-</w:t>
            </w:r>
            <w:r w:rsidRPr="004C6E06">
              <w:rPr>
                <w:sz w:val="16"/>
                <w:szCs w:val="16"/>
                <w:lang w:eastAsia="lt-LT"/>
              </w:rPr>
              <w:t>plaučių</w:t>
            </w:r>
          </w:p>
        </w:tc>
        <w:tc>
          <w:tcPr>
            <w:tcW w:w="975" w:type="dxa"/>
            <w:tcBorders>
              <w:top w:val="nil"/>
              <w:left w:val="nil"/>
              <w:bottom w:val="single" w:sz="4" w:space="0" w:color="auto"/>
              <w:right w:val="single" w:sz="4" w:space="0" w:color="auto"/>
            </w:tcBorders>
            <w:shd w:val="clear" w:color="auto" w:fill="auto"/>
            <w:vAlign w:val="center"/>
            <w:hideMark/>
          </w:tcPr>
          <w:p w14:paraId="372124AC" w14:textId="77777777" w:rsidR="004C6E06" w:rsidRPr="004C6E06" w:rsidRDefault="004C6E06" w:rsidP="004C6E06">
            <w:pPr>
              <w:jc w:val="center"/>
              <w:rPr>
                <w:sz w:val="16"/>
                <w:szCs w:val="16"/>
                <w:lang w:eastAsia="lt-LT"/>
              </w:rPr>
            </w:pPr>
            <w:r w:rsidRPr="004C6E06">
              <w:rPr>
                <w:sz w:val="16"/>
                <w:szCs w:val="16"/>
                <w:lang w:eastAsia="lt-LT"/>
              </w:rPr>
              <w:t>Melanomos ir kt. odos</w:t>
            </w:r>
          </w:p>
        </w:tc>
        <w:tc>
          <w:tcPr>
            <w:tcW w:w="776" w:type="dxa"/>
            <w:tcBorders>
              <w:top w:val="nil"/>
              <w:left w:val="nil"/>
              <w:bottom w:val="single" w:sz="4" w:space="0" w:color="auto"/>
              <w:right w:val="single" w:sz="4" w:space="0" w:color="auto"/>
            </w:tcBorders>
            <w:shd w:val="clear" w:color="auto" w:fill="auto"/>
            <w:vAlign w:val="center"/>
            <w:hideMark/>
          </w:tcPr>
          <w:p w14:paraId="0D88A0D8" w14:textId="77777777" w:rsidR="004C6E06" w:rsidRPr="004C6E06" w:rsidRDefault="004C6E06" w:rsidP="004C6E06">
            <w:pPr>
              <w:jc w:val="center"/>
              <w:rPr>
                <w:sz w:val="16"/>
                <w:szCs w:val="16"/>
                <w:lang w:eastAsia="lt-LT"/>
              </w:rPr>
            </w:pPr>
            <w:r w:rsidRPr="004C6E06">
              <w:rPr>
                <w:sz w:val="16"/>
                <w:szCs w:val="16"/>
                <w:lang w:eastAsia="lt-LT"/>
              </w:rPr>
              <w:t>Krūties (moterų)</w:t>
            </w:r>
          </w:p>
        </w:tc>
        <w:tc>
          <w:tcPr>
            <w:tcW w:w="732" w:type="dxa"/>
            <w:tcBorders>
              <w:top w:val="nil"/>
              <w:left w:val="nil"/>
              <w:bottom w:val="single" w:sz="4" w:space="0" w:color="auto"/>
              <w:right w:val="single" w:sz="4" w:space="0" w:color="auto"/>
            </w:tcBorders>
            <w:shd w:val="clear" w:color="auto" w:fill="auto"/>
            <w:vAlign w:val="center"/>
            <w:hideMark/>
          </w:tcPr>
          <w:p w14:paraId="4D8F4773" w14:textId="77777777" w:rsidR="004C6E06" w:rsidRPr="004C6E06" w:rsidRDefault="004C6E06" w:rsidP="004C6E06">
            <w:pPr>
              <w:jc w:val="center"/>
              <w:rPr>
                <w:sz w:val="16"/>
                <w:szCs w:val="16"/>
                <w:lang w:eastAsia="lt-LT"/>
              </w:rPr>
            </w:pPr>
            <w:r w:rsidRPr="004C6E06">
              <w:rPr>
                <w:sz w:val="16"/>
                <w:szCs w:val="16"/>
                <w:lang w:eastAsia="lt-LT"/>
              </w:rPr>
              <w:t>Gimdos kaklelio</w:t>
            </w:r>
          </w:p>
        </w:tc>
        <w:tc>
          <w:tcPr>
            <w:tcW w:w="688" w:type="dxa"/>
            <w:tcBorders>
              <w:top w:val="nil"/>
              <w:left w:val="nil"/>
              <w:bottom w:val="single" w:sz="4" w:space="0" w:color="auto"/>
              <w:right w:val="single" w:sz="4" w:space="0" w:color="auto"/>
            </w:tcBorders>
            <w:shd w:val="clear" w:color="auto" w:fill="auto"/>
            <w:vAlign w:val="center"/>
            <w:hideMark/>
          </w:tcPr>
          <w:p w14:paraId="0CB4DD79" w14:textId="77777777" w:rsidR="004C6E06" w:rsidRPr="004C6E06" w:rsidRDefault="004C6E06" w:rsidP="004C6E06">
            <w:pPr>
              <w:jc w:val="center"/>
              <w:rPr>
                <w:sz w:val="16"/>
                <w:szCs w:val="16"/>
                <w:lang w:eastAsia="lt-LT"/>
              </w:rPr>
            </w:pPr>
            <w:r w:rsidRPr="004C6E06">
              <w:rPr>
                <w:sz w:val="16"/>
                <w:szCs w:val="16"/>
                <w:lang w:eastAsia="lt-LT"/>
              </w:rPr>
              <w:t>Kiti gimdos</w:t>
            </w:r>
          </w:p>
        </w:tc>
        <w:tc>
          <w:tcPr>
            <w:tcW w:w="794" w:type="dxa"/>
            <w:tcBorders>
              <w:top w:val="nil"/>
              <w:left w:val="nil"/>
              <w:bottom w:val="single" w:sz="4" w:space="0" w:color="auto"/>
              <w:right w:val="single" w:sz="4" w:space="0" w:color="auto"/>
            </w:tcBorders>
            <w:shd w:val="clear" w:color="auto" w:fill="auto"/>
            <w:vAlign w:val="center"/>
            <w:hideMark/>
          </w:tcPr>
          <w:p w14:paraId="11A12481" w14:textId="77777777" w:rsidR="004C6E06" w:rsidRPr="004C6E06" w:rsidRDefault="004C6E06" w:rsidP="004C6E06">
            <w:pPr>
              <w:jc w:val="center"/>
              <w:rPr>
                <w:sz w:val="16"/>
                <w:szCs w:val="16"/>
                <w:lang w:eastAsia="lt-LT"/>
              </w:rPr>
            </w:pPr>
            <w:r w:rsidRPr="004C6E06">
              <w:rPr>
                <w:sz w:val="16"/>
                <w:szCs w:val="16"/>
                <w:lang w:eastAsia="lt-LT"/>
              </w:rPr>
              <w:t>Priešinės liaukos</w:t>
            </w:r>
          </w:p>
        </w:tc>
        <w:tc>
          <w:tcPr>
            <w:tcW w:w="785" w:type="dxa"/>
            <w:tcBorders>
              <w:top w:val="nil"/>
              <w:left w:val="nil"/>
              <w:bottom w:val="single" w:sz="4" w:space="0" w:color="auto"/>
              <w:right w:val="single" w:sz="4" w:space="0" w:color="auto"/>
            </w:tcBorders>
            <w:shd w:val="clear" w:color="auto" w:fill="auto"/>
            <w:vAlign w:val="center"/>
            <w:hideMark/>
          </w:tcPr>
          <w:p w14:paraId="6E022F85" w14:textId="77777777" w:rsidR="004C6E06" w:rsidRPr="004C6E06" w:rsidRDefault="004C6E06" w:rsidP="004C6E06">
            <w:pPr>
              <w:jc w:val="center"/>
              <w:rPr>
                <w:sz w:val="16"/>
                <w:szCs w:val="16"/>
                <w:lang w:eastAsia="lt-LT"/>
              </w:rPr>
            </w:pPr>
            <w:r w:rsidRPr="004C6E06">
              <w:rPr>
                <w:sz w:val="16"/>
                <w:szCs w:val="16"/>
                <w:lang w:eastAsia="lt-LT"/>
              </w:rPr>
              <w:t>Inkstų (be geldelių)</w:t>
            </w:r>
          </w:p>
        </w:tc>
        <w:tc>
          <w:tcPr>
            <w:tcW w:w="673" w:type="dxa"/>
            <w:tcBorders>
              <w:top w:val="nil"/>
              <w:left w:val="nil"/>
              <w:bottom w:val="single" w:sz="4" w:space="0" w:color="auto"/>
              <w:right w:val="single" w:sz="4" w:space="0" w:color="auto"/>
            </w:tcBorders>
            <w:shd w:val="clear" w:color="auto" w:fill="auto"/>
            <w:vAlign w:val="center"/>
            <w:hideMark/>
          </w:tcPr>
          <w:p w14:paraId="64E5E62B" w14:textId="77777777" w:rsidR="004C6E06" w:rsidRPr="004C6E06" w:rsidRDefault="004C6E06" w:rsidP="004C6E06">
            <w:pPr>
              <w:jc w:val="center"/>
              <w:rPr>
                <w:sz w:val="16"/>
                <w:szCs w:val="16"/>
                <w:lang w:eastAsia="lt-LT"/>
              </w:rPr>
            </w:pPr>
            <w:r w:rsidRPr="004C6E06">
              <w:rPr>
                <w:sz w:val="16"/>
                <w:szCs w:val="16"/>
                <w:lang w:eastAsia="lt-LT"/>
              </w:rPr>
              <w:t>Šlapi-mo pūslės</w:t>
            </w:r>
          </w:p>
        </w:tc>
        <w:tc>
          <w:tcPr>
            <w:tcW w:w="1052" w:type="dxa"/>
            <w:tcBorders>
              <w:top w:val="nil"/>
              <w:left w:val="nil"/>
              <w:bottom w:val="single" w:sz="4" w:space="0" w:color="auto"/>
              <w:right w:val="single" w:sz="4" w:space="0" w:color="auto"/>
            </w:tcBorders>
            <w:shd w:val="clear" w:color="auto" w:fill="auto"/>
            <w:vAlign w:val="center"/>
            <w:hideMark/>
          </w:tcPr>
          <w:p w14:paraId="62BBEC57" w14:textId="77777777" w:rsidR="004C6E06" w:rsidRPr="004C6E06" w:rsidRDefault="004C6E06" w:rsidP="004C6E06">
            <w:pPr>
              <w:jc w:val="center"/>
              <w:rPr>
                <w:sz w:val="16"/>
                <w:szCs w:val="16"/>
                <w:lang w:eastAsia="lt-LT"/>
              </w:rPr>
            </w:pPr>
            <w:r w:rsidRPr="004C6E06">
              <w:rPr>
                <w:sz w:val="16"/>
                <w:szCs w:val="16"/>
                <w:lang w:eastAsia="lt-LT"/>
              </w:rPr>
              <w:t>Mieloidinė leukemija</w:t>
            </w:r>
          </w:p>
        </w:tc>
        <w:tc>
          <w:tcPr>
            <w:tcW w:w="563" w:type="dxa"/>
            <w:tcBorders>
              <w:top w:val="nil"/>
              <w:left w:val="nil"/>
              <w:bottom w:val="single" w:sz="4" w:space="0" w:color="auto"/>
              <w:right w:val="single" w:sz="4" w:space="0" w:color="auto"/>
            </w:tcBorders>
            <w:shd w:val="clear" w:color="auto" w:fill="auto"/>
            <w:vAlign w:val="center"/>
            <w:hideMark/>
          </w:tcPr>
          <w:p w14:paraId="5E66B4F3" w14:textId="77777777" w:rsidR="004C6E06" w:rsidRPr="004C6E06" w:rsidRDefault="004C6E06" w:rsidP="004C6E06">
            <w:pPr>
              <w:jc w:val="center"/>
              <w:rPr>
                <w:sz w:val="16"/>
                <w:szCs w:val="16"/>
                <w:lang w:eastAsia="lt-LT"/>
              </w:rPr>
            </w:pPr>
            <w:r w:rsidRPr="004C6E06">
              <w:rPr>
                <w:sz w:val="16"/>
                <w:szCs w:val="16"/>
                <w:lang w:eastAsia="lt-LT"/>
              </w:rPr>
              <w:t>Kitos</w:t>
            </w:r>
          </w:p>
        </w:tc>
      </w:tr>
      <w:tr w:rsidR="004C6E06" w:rsidRPr="004C6E06" w14:paraId="56585289" w14:textId="77777777" w:rsidTr="003E427B">
        <w:trPr>
          <w:trHeight w:val="79"/>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91D9E01" w14:textId="77777777" w:rsidR="004C6E06" w:rsidRPr="004C6E06" w:rsidRDefault="004C6E06" w:rsidP="004C6E06">
            <w:pPr>
              <w:jc w:val="center"/>
              <w:rPr>
                <w:sz w:val="22"/>
                <w:szCs w:val="22"/>
                <w:lang w:eastAsia="lt-LT"/>
              </w:rPr>
            </w:pPr>
            <w:r w:rsidRPr="004C6E06">
              <w:rPr>
                <w:sz w:val="22"/>
                <w:szCs w:val="22"/>
                <w:lang w:eastAsia="lt-LT"/>
              </w:rPr>
              <w:t>2019 m.</w:t>
            </w:r>
          </w:p>
        </w:tc>
        <w:tc>
          <w:tcPr>
            <w:tcW w:w="865" w:type="dxa"/>
            <w:tcBorders>
              <w:top w:val="nil"/>
              <w:left w:val="nil"/>
              <w:bottom w:val="single" w:sz="4" w:space="0" w:color="auto"/>
              <w:right w:val="single" w:sz="4" w:space="0" w:color="auto"/>
            </w:tcBorders>
            <w:shd w:val="clear" w:color="auto" w:fill="auto"/>
            <w:vAlign w:val="center"/>
          </w:tcPr>
          <w:p w14:paraId="50435305" w14:textId="77777777" w:rsidR="004C6E06" w:rsidRPr="004C6E06" w:rsidRDefault="004C6E06" w:rsidP="004C6E06">
            <w:pPr>
              <w:jc w:val="center"/>
              <w:rPr>
                <w:sz w:val="22"/>
                <w:szCs w:val="22"/>
                <w:lang w:eastAsia="lt-LT"/>
              </w:rPr>
            </w:pPr>
            <w:r w:rsidRPr="004C6E06">
              <w:rPr>
                <w:sz w:val="22"/>
                <w:szCs w:val="22"/>
                <w:lang w:eastAsia="lt-LT"/>
              </w:rPr>
              <w:t>27</w:t>
            </w:r>
          </w:p>
        </w:tc>
        <w:tc>
          <w:tcPr>
            <w:tcW w:w="847" w:type="dxa"/>
            <w:tcBorders>
              <w:top w:val="nil"/>
              <w:left w:val="nil"/>
              <w:bottom w:val="single" w:sz="4" w:space="0" w:color="auto"/>
              <w:right w:val="single" w:sz="4" w:space="0" w:color="auto"/>
            </w:tcBorders>
            <w:shd w:val="clear" w:color="auto" w:fill="auto"/>
            <w:vAlign w:val="center"/>
          </w:tcPr>
          <w:p w14:paraId="41D4CBAC" w14:textId="77777777" w:rsidR="004C6E06" w:rsidRPr="004C6E06" w:rsidRDefault="004C6E06" w:rsidP="004C6E06">
            <w:pPr>
              <w:jc w:val="center"/>
              <w:rPr>
                <w:sz w:val="22"/>
                <w:szCs w:val="22"/>
                <w:lang w:eastAsia="lt-LT"/>
              </w:rPr>
            </w:pPr>
            <w:r w:rsidRPr="004C6E06">
              <w:rPr>
                <w:sz w:val="22"/>
                <w:szCs w:val="22"/>
                <w:lang w:eastAsia="lt-LT"/>
              </w:rPr>
              <w:t>64</w:t>
            </w:r>
          </w:p>
        </w:tc>
        <w:tc>
          <w:tcPr>
            <w:tcW w:w="975" w:type="dxa"/>
            <w:tcBorders>
              <w:top w:val="nil"/>
              <w:left w:val="nil"/>
              <w:bottom w:val="single" w:sz="4" w:space="0" w:color="auto"/>
              <w:right w:val="single" w:sz="4" w:space="0" w:color="auto"/>
            </w:tcBorders>
            <w:shd w:val="clear" w:color="auto" w:fill="auto"/>
            <w:vAlign w:val="center"/>
          </w:tcPr>
          <w:p w14:paraId="1B964BB2" w14:textId="77777777" w:rsidR="004C6E06" w:rsidRPr="004C6E06" w:rsidRDefault="004C6E06" w:rsidP="004C6E06">
            <w:pPr>
              <w:jc w:val="center"/>
              <w:rPr>
                <w:sz w:val="22"/>
                <w:szCs w:val="22"/>
                <w:lang w:eastAsia="lt-LT"/>
              </w:rPr>
            </w:pPr>
            <w:r w:rsidRPr="004C6E06">
              <w:rPr>
                <w:sz w:val="22"/>
                <w:szCs w:val="22"/>
                <w:lang w:eastAsia="lt-LT"/>
              </w:rPr>
              <w:t>11</w:t>
            </w:r>
          </w:p>
        </w:tc>
        <w:tc>
          <w:tcPr>
            <w:tcW w:w="776" w:type="dxa"/>
            <w:tcBorders>
              <w:top w:val="nil"/>
              <w:left w:val="nil"/>
              <w:bottom w:val="single" w:sz="4" w:space="0" w:color="auto"/>
              <w:right w:val="single" w:sz="4" w:space="0" w:color="auto"/>
            </w:tcBorders>
            <w:shd w:val="clear" w:color="auto" w:fill="auto"/>
            <w:vAlign w:val="center"/>
          </w:tcPr>
          <w:p w14:paraId="6FE2A6B4" w14:textId="77777777" w:rsidR="004C6E06" w:rsidRPr="004C6E06" w:rsidRDefault="004C6E06" w:rsidP="004C6E06">
            <w:pPr>
              <w:jc w:val="center"/>
              <w:rPr>
                <w:sz w:val="22"/>
                <w:szCs w:val="22"/>
                <w:lang w:eastAsia="lt-LT"/>
              </w:rPr>
            </w:pPr>
            <w:r w:rsidRPr="004C6E06">
              <w:rPr>
                <w:sz w:val="22"/>
                <w:szCs w:val="22"/>
                <w:lang w:eastAsia="lt-LT"/>
              </w:rPr>
              <w:t>38</w:t>
            </w:r>
          </w:p>
        </w:tc>
        <w:tc>
          <w:tcPr>
            <w:tcW w:w="732" w:type="dxa"/>
            <w:tcBorders>
              <w:top w:val="nil"/>
              <w:left w:val="nil"/>
              <w:bottom w:val="single" w:sz="4" w:space="0" w:color="auto"/>
              <w:right w:val="single" w:sz="4" w:space="0" w:color="auto"/>
            </w:tcBorders>
            <w:shd w:val="clear" w:color="auto" w:fill="auto"/>
            <w:vAlign w:val="center"/>
          </w:tcPr>
          <w:p w14:paraId="65224CB0" w14:textId="77777777" w:rsidR="004C6E06" w:rsidRPr="004C6E06" w:rsidRDefault="004C6E06" w:rsidP="004C6E06">
            <w:pPr>
              <w:jc w:val="center"/>
              <w:rPr>
                <w:sz w:val="22"/>
                <w:szCs w:val="22"/>
                <w:lang w:eastAsia="lt-LT"/>
              </w:rPr>
            </w:pPr>
            <w:r w:rsidRPr="004C6E06">
              <w:rPr>
                <w:sz w:val="22"/>
                <w:szCs w:val="22"/>
                <w:lang w:eastAsia="lt-LT"/>
              </w:rPr>
              <w:t>11</w:t>
            </w:r>
          </w:p>
        </w:tc>
        <w:tc>
          <w:tcPr>
            <w:tcW w:w="688" w:type="dxa"/>
            <w:tcBorders>
              <w:top w:val="nil"/>
              <w:left w:val="nil"/>
              <w:bottom w:val="single" w:sz="4" w:space="0" w:color="auto"/>
              <w:right w:val="single" w:sz="4" w:space="0" w:color="auto"/>
            </w:tcBorders>
            <w:shd w:val="clear" w:color="auto" w:fill="auto"/>
            <w:vAlign w:val="center"/>
          </w:tcPr>
          <w:p w14:paraId="6FE4DB2B" w14:textId="77777777" w:rsidR="004C6E06" w:rsidRPr="004C6E06" w:rsidRDefault="004C6E06" w:rsidP="004C6E06">
            <w:pPr>
              <w:jc w:val="center"/>
              <w:rPr>
                <w:sz w:val="22"/>
                <w:szCs w:val="22"/>
                <w:lang w:eastAsia="lt-LT"/>
              </w:rPr>
            </w:pPr>
            <w:r w:rsidRPr="004C6E06">
              <w:rPr>
                <w:sz w:val="22"/>
                <w:szCs w:val="22"/>
                <w:lang w:eastAsia="lt-LT"/>
              </w:rPr>
              <w:t>7</w:t>
            </w:r>
          </w:p>
        </w:tc>
        <w:tc>
          <w:tcPr>
            <w:tcW w:w="794" w:type="dxa"/>
            <w:tcBorders>
              <w:top w:val="nil"/>
              <w:left w:val="nil"/>
              <w:bottom w:val="single" w:sz="4" w:space="0" w:color="auto"/>
              <w:right w:val="single" w:sz="4" w:space="0" w:color="auto"/>
            </w:tcBorders>
            <w:shd w:val="clear" w:color="auto" w:fill="auto"/>
            <w:vAlign w:val="center"/>
          </w:tcPr>
          <w:p w14:paraId="39B8FBA7" w14:textId="77777777" w:rsidR="004C6E06" w:rsidRPr="004C6E06" w:rsidRDefault="004C6E06" w:rsidP="004C6E06">
            <w:pPr>
              <w:jc w:val="center"/>
              <w:rPr>
                <w:sz w:val="22"/>
                <w:szCs w:val="22"/>
                <w:lang w:eastAsia="lt-LT"/>
              </w:rPr>
            </w:pPr>
            <w:r w:rsidRPr="004C6E06">
              <w:rPr>
                <w:sz w:val="22"/>
                <w:szCs w:val="22"/>
                <w:lang w:eastAsia="lt-LT"/>
              </w:rPr>
              <w:t>35</w:t>
            </w:r>
          </w:p>
        </w:tc>
        <w:tc>
          <w:tcPr>
            <w:tcW w:w="785" w:type="dxa"/>
            <w:tcBorders>
              <w:top w:val="nil"/>
              <w:left w:val="nil"/>
              <w:bottom w:val="single" w:sz="4" w:space="0" w:color="auto"/>
              <w:right w:val="single" w:sz="4" w:space="0" w:color="auto"/>
            </w:tcBorders>
            <w:shd w:val="clear" w:color="auto" w:fill="auto"/>
            <w:vAlign w:val="center"/>
          </w:tcPr>
          <w:p w14:paraId="089B1967" w14:textId="77777777" w:rsidR="004C6E06" w:rsidRPr="004C6E06" w:rsidRDefault="004C6E06" w:rsidP="004C6E06">
            <w:pPr>
              <w:jc w:val="center"/>
              <w:rPr>
                <w:sz w:val="22"/>
                <w:szCs w:val="22"/>
                <w:lang w:eastAsia="lt-LT"/>
              </w:rPr>
            </w:pPr>
            <w:r w:rsidRPr="004C6E06">
              <w:rPr>
                <w:sz w:val="22"/>
                <w:szCs w:val="22"/>
                <w:lang w:eastAsia="lt-LT"/>
              </w:rPr>
              <w:t>13</w:t>
            </w:r>
          </w:p>
        </w:tc>
        <w:tc>
          <w:tcPr>
            <w:tcW w:w="673" w:type="dxa"/>
            <w:tcBorders>
              <w:top w:val="nil"/>
              <w:left w:val="nil"/>
              <w:bottom w:val="single" w:sz="4" w:space="0" w:color="auto"/>
              <w:right w:val="single" w:sz="4" w:space="0" w:color="auto"/>
            </w:tcBorders>
            <w:shd w:val="clear" w:color="auto" w:fill="auto"/>
            <w:vAlign w:val="center"/>
          </w:tcPr>
          <w:p w14:paraId="412A2ED4" w14:textId="77777777" w:rsidR="004C6E06" w:rsidRPr="004C6E06" w:rsidRDefault="004C6E06" w:rsidP="004C6E06">
            <w:pPr>
              <w:jc w:val="center"/>
              <w:rPr>
                <w:sz w:val="22"/>
                <w:szCs w:val="22"/>
                <w:lang w:eastAsia="lt-LT"/>
              </w:rPr>
            </w:pPr>
            <w:r w:rsidRPr="004C6E06">
              <w:rPr>
                <w:sz w:val="22"/>
                <w:szCs w:val="22"/>
                <w:lang w:eastAsia="lt-LT"/>
              </w:rPr>
              <w:t>19</w:t>
            </w:r>
          </w:p>
        </w:tc>
        <w:tc>
          <w:tcPr>
            <w:tcW w:w="1052" w:type="dxa"/>
            <w:tcBorders>
              <w:top w:val="nil"/>
              <w:left w:val="nil"/>
              <w:bottom w:val="single" w:sz="4" w:space="0" w:color="auto"/>
              <w:right w:val="single" w:sz="4" w:space="0" w:color="auto"/>
            </w:tcBorders>
            <w:shd w:val="clear" w:color="auto" w:fill="auto"/>
            <w:vAlign w:val="center"/>
          </w:tcPr>
          <w:p w14:paraId="0A534D84" w14:textId="77777777" w:rsidR="004C6E06" w:rsidRPr="004C6E06" w:rsidRDefault="004C6E06" w:rsidP="004C6E06">
            <w:pPr>
              <w:jc w:val="center"/>
              <w:rPr>
                <w:sz w:val="22"/>
                <w:szCs w:val="22"/>
                <w:lang w:eastAsia="lt-LT"/>
              </w:rPr>
            </w:pPr>
            <w:r w:rsidRPr="004C6E06">
              <w:rPr>
                <w:sz w:val="22"/>
                <w:szCs w:val="22"/>
                <w:lang w:eastAsia="lt-LT"/>
              </w:rPr>
              <w:t>7</w:t>
            </w:r>
          </w:p>
        </w:tc>
        <w:tc>
          <w:tcPr>
            <w:tcW w:w="563" w:type="dxa"/>
            <w:tcBorders>
              <w:top w:val="nil"/>
              <w:left w:val="nil"/>
              <w:bottom w:val="single" w:sz="4" w:space="0" w:color="auto"/>
              <w:right w:val="single" w:sz="4" w:space="0" w:color="auto"/>
            </w:tcBorders>
            <w:shd w:val="clear" w:color="auto" w:fill="auto"/>
            <w:vAlign w:val="center"/>
          </w:tcPr>
          <w:p w14:paraId="38D173E8" w14:textId="77777777" w:rsidR="004C6E06" w:rsidRPr="004C6E06" w:rsidRDefault="004C6E06" w:rsidP="004C6E06">
            <w:pPr>
              <w:jc w:val="center"/>
              <w:rPr>
                <w:sz w:val="22"/>
                <w:szCs w:val="22"/>
                <w:lang w:eastAsia="lt-LT"/>
              </w:rPr>
            </w:pPr>
            <w:r w:rsidRPr="004C6E06">
              <w:rPr>
                <w:sz w:val="22"/>
                <w:szCs w:val="22"/>
                <w:lang w:eastAsia="lt-LT"/>
              </w:rPr>
              <w:t>266</w:t>
            </w:r>
          </w:p>
        </w:tc>
      </w:tr>
      <w:tr w:rsidR="004C6E06" w:rsidRPr="004C6E06" w14:paraId="0E980708" w14:textId="77777777" w:rsidTr="003E427B">
        <w:trPr>
          <w:trHeight w:val="79"/>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5634802" w14:textId="77777777" w:rsidR="004C6E06" w:rsidRPr="004C6E06" w:rsidRDefault="004C6E06" w:rsidP="004C6E06">
            <w:pPr>
              <w:jc w:val="center"/>
              <w:rPr>
                <w:sz w:val="22"/>
                <w:szCs w:val="22"/>
                <w:lang w:eastAsia="lt-LT"/>
              </w:rPr>
            </w:pPr>
            <w:r w:rsidRPr="004C6E06">
              <w:rPr>
                <w:sz w:val="22"/>
                <w:szCs w:val="22"/>
                <w:lang w:eastAsia="lt-LT"/>
              </w:rPr>
              <w:t>2020 m.</w:t>
            </w:r>
          </w:p>
        </w:tc>
        <w:tc>
          <w:tcPr>
            <w:tcW w:w="865" w:type="dxa"/>
            <w:tcBorders>
              <w:top w:val="nil"/>
              <w:left w:val="nil"/>
              <w:bottom w:val="single" w:sz="4" w:space="0" w:color="auto"/>
              <w:right w:val="single" w:sz="4" w:space="0" w:color="auto"/>
            </w:tcBorders>
            <w:shd w:val="clear" w:color="auto" w:fill="auto"/>
            <w:noWrap/>
            <w:vAlign w:val="center"/>
          </w:tcPr>
          <w:p w14:paraId="1CCE4055" w14:textId="77777777" w:rsidR="004C6E06" w:rsidRPr="004C6E06" w:rsidRDefault="004C6E06" w:rsidP="004C6E06">
            <w:pPr>
              <w:jc w:val="center"/>
              <w:rPr>
                <w:sz w:val="22"/>
                <w:szCs w:val="22"/>
                <w:lang w:eastAsia="lt-LT"/>
              </w:rPr>
            </w:pPr>
            <w:r w:rsidRPr="004C6E06">
              <w:rPr>
                <w:sz w:val="22"/>
                <w:szCs w:val="22"/>
                <w:lang w:eastAsia="lt-LT"/>
              </w:rPr>
              <w:t>50</w:t>
            </w:r>
          </w:p>
        </w:tc>
        <w:tc>
          <w:tcPr>
            <w:tcW w:w="847" w:type="dxa"/>
            <w:tcBorders>
              <w:top w:val="nil"/>
              <w:left w:val="nil"/>
              <w:bottom w:val="single" w:sz="4" w:space="0" w:color="auto"/>
              <w:right w:val="single" w:sz="4" w:space="0" w:color="auto"/>
            </w:tcBorders>
            <w:shd w:val="clear" w:color="auto" w:fill="auto"/>
            <w:noWrap/>
            <w:vAlign w:val="center"/>
          </w:tcPr>
          <w:p w14:paraId="2F86BAEC" w14:textId="77777777" w:rsidR="004C6E06" w:rsidRPr="004C6E06" w:rsidRDefault="004C6E06" w:rsidP="004C6E06">
            <w:pPr>
              <w:jc w:val="center"/>
              <w:rPr>
                <w:sz w:val="22"/>
                <w:szCs w:val="22"/>
                <w:lang w:eastAsia="lt-LT"/>
              </w:rPr>
            </w:pPr>
            <w:r w:rsidRPr="004C6E06">
              <w:rPr>
                <w:sz w:val="22"/>
                <w:szCs w:val="22"/>
                <w:lang w:eastAsia="lt-LT"/>
              </w:rPr>
              <w:t>81</w:t>
            </w:r>
          </w:p>
        </w:tc>
        <w:tc>
          <w:tcPr>
            <w:tcW w:w="975" w:type="dxa"/>
            <w:tcBorders>
              <w:top w:val="nil"/>
              <w:left w:val="nil"/>
              <w:bottom w:val="single" w:sz="4" w:space="0" w:color="auto"/>
              <w:right w:val="single" w:sz="4" w:space="0" w:color="auto"/>
            </w:tcBorders>
            <w:shd w:val="clear" w:color="auto" w:fill="auto"/>
            <w:noWrap/>
            <w:vAlign w:val="center"/>
          </w:tcPr>
          <w:p w14:paraId="5EBDB27E" w14:textId="77777777" w:rsidR="004C6E06" w:rsidRPr="004C6E06" w:rsidRDefault="004C6E06" w:rsidP="004C6E06">
            <w:pPr>
              <w:jc w:val="center"/>
              <w:rPr>
                <w:sz w:val="22"/>
                <w:szCs w:val="22"/>
                <w:lang w:eastAsia="lt-LT"/>
              </w:rPr>
            </w:pPr>
            <w:r w:rsidRPr="004C6E06">
              <w:rPr>
                <w:sz w:val="22"/>
                <w:szCs w:val="22"/>
                <w:lang w:eastAsia="lt-LT"/>
              </w:rPr>
              <w:t>15</w:t>
            </w:r>
          </w:p>
        </w:tc>
        <w:tc>
          <w:tcPr>
            <w:tcW w:w="776" w:type="dxa"/>
            <w:tcBorders>
              <w:top w:val="nil"/>
              <w:left w:val="nil"/>
              <w:bottom w:val="single" w:sz="4" w:space="0" w:color="auto"/>
              <w:right w:val="single" w:sz="4" w:space="0" w:color="auto"/>
            </w:tcBorders>
            <w:shd w:val="clear" w:color="auto" w:fill="auto"/>
            <w:noWrap/>
            <w:vAlign w:val="center"/>
          </w:tcPr>
          <w:p w14:paraId="2E7585E8" w14:textId="77777777" w:rsidR="004C6E06" w:rsidRPr="004C6E06" w:rsidRDefault="004C6E06" w:rsidP="004C6E06">
            <w:pPr>
              <w:jc w:val="center"/>
              <w:rPr>
                <w:sz w:val="22"/>
                <w:szCs w:val="22"/>
                <w:lang w:eastAsia="lt-LT"/>
              </w:rPr>
            </w:pPr>
            <w:r w:rsidRPr="004C6E06">
              <w:rPr>
                <w:sz w:val="22"/>
                <w:szCs w:val="22"/>
                <w:lang w:eastAsia="lt-LT"/>
              </w:rPr>
              <w:t>36</w:t>
            </w:r>
          </w:p>
        </w:tc>
        <w:tc>
          <w:tcPr>
            <w:tcW w:w="732" w:type="dxa"/>
            <w:tcBorders>
              <w:top w:val="nil"/>
              <w:left w:val="nil"/>
              <w:bottom w:val="single" w:sz="4" w:space="0" w:color="auto"/>
              <w:right w:val="single" w:sz="4" w:space="0" w:color="auto"/>
            </w:tcBorders>
            <w:shd w:val="clear" w:color="auto" w:fill="auto"/>
            <w:noWrap/>
            <w:vAlign w:val="center"/>
          </w:tcPr>
          <w:p w14:paraId="6D9EF1F7" w14:textId="77777777" w:rsidR="004C6E06" w:rsidRPr="004C6E06" w:rsidRDefault="004C6E06" w:rsidP="004C6E06">
            <w:pPr>
              <w:jc w:val="center"/>
              <w:rPr>
                <w:sz w:val="22"/>
                <w:szCs w:val="22"/>
                <w:lang w:eastAsia="lt-LT"/>
              </w:rPr>
            </w:pPr>
            <w:r w:rsidRPr="004C6E06">
              <w:rPr>
                <w:sz w:val="22"/>
                <w:szCs w:val="22"/>
                <w:lang w:eastAsia="lt-LT"/>
              </w:rPr>
              <w:t>8</w:t>
            </w:r>
          </w:p>
        </w:tc>
        <w:tc>
          <w:tcPr>
            <w:tcW w:w="688" w:type="dxa"/>
            <w:tcBorders>
              <w:top w:val="nil"/>
              <w:left w:val="nil"/>
              <w:bottom w:val="single" w:sz="4" w:space="0" w:color="auto"/>
              <w:right w:val="single" w:sz="4" w:space="0" w:color="auto"/>
            </w:tcBorders>
            <w:shd w:val="clear" w:color="auto" w:fill="auto"/>
            <w:noWrap/>
            <w:vAlign w:val="center"/>
          </w:tcPr>
          <w:p w14:paraId="05B58506" w14:textId="77777777" w:rsidR="004C6E06" w:rsidRPr="004C6E06" w:rsidRDefault="004C6E06" w:rsidP="004C6E06">
            <w:pPr>
              <w:jc w:val="center"/>
              <w:rPr>
                <w:sz w:val="22"/>
                <w:szCs w:val="22"/>
                <w:lang w:eastAsia="lt-LT"/>
              </w:rPr>
            </w:pPr>
            <w:r w:rsidRPr="004C6E06">
              <w:rPr>
                <w:sz w:val="22"/>
                <w:szCs w:val="22"/>
                <w:lang w:eastAsia="lt-LT"/>
              </w:rPr>
              <w:t>10</w:t>
            </w:r>
          </w:p>
        </w:tc>
        <w:tc>
          <w:tcPr>
            <w:tcW w:w="794" w:type="dxa"/>
            <w:tcBorders>
              <w:top w:val="nil"/>
              <w:left w:val="nil"/>
              <w:bottom w:val="single" w:sz="4" w:space="0" w:color="auto"/>
              <w:right w:val="single" w:sz="4" w:space="0" w:color="auto"/>
            </w:tcBorders>
            <w:shd w:val="clear" w:color="auto" w:fill="auto"/>
            <w:noWrap/>
            <w:vAlign w:val="center"/>
          </w:tcPr>
          <w:p w14:paraId="1FBCE710" w14:textId="77777777" w:rsidR="004C6E06" w:rsidRPr="004C6E06" w:rsidRDefault="004C6E06" w:rsidP="004C6E06">
            <w:pPr>
              <w:jc w:val="center"/>
              <w:rPr>
                <w:sz w:val="22"/>
                <w:szCs w:val="22"/>
                <w:lang w:eastAsia="lt-LT"/>
              </w:rPr>
            </w:pPr>
            <w:r w:rsidRPr="004C6E06">
              <w:rPr>
                <w:sz w:val="22"/>
                <w:szCs w:val="22"/>
                <w:lang w:eastAsia="lt-LT"/>
              </w:rPr>
              <w:t>32</w:t>
            </w:r>
          </w:p>
        </w:tc>
        <w:tc>
          <w:tcPr>
            <w:tcW w:w="785" w:type="dxa"/>
            <w:tcBorders>
              <w:top w:val="nil"/>
              <w:left w:val="nil"/>
              <w:bottom w:val="single" w:sz="4" w:space="0" w:color="auto"/>
              <w:right w:val="single" w:sz="4" w:space="0" w:color="auto"/>
            </w:tcBorders>
            <w:shd w:val="clear" w:color="auto" w:fill="auto"/>
            <w:noWrap/>
            <w:vAlign w:val="center"/>
          </w:tcPr>
          <w:p w14:paraId="2CF906EA" w14:textId="77777777" w:rsidR="004C6E06" w:rsidRPr="004C6E06" w:rsidRDefault="004C6E06" w:rsidP="004C6E06">
            <w:pPr>
              <w:jc w:val="center"/>
              <w:rPr>
                <w:sz w:val="22"/>
                <w:szCs w:val="22"/>
                <w:lang w:eastAsia="lt-LT"/>
              </w:rPr>
            </w:pPr>
            <w:r w:rsidRPr="004C6E06">
              <w:rPr>
                <w:sz w:val="22"/>
                <w:szCs w:val="22"/>
                <w:lang w:eastAsia="lt-LT"/>
              </w:rPr>
              <w:t>10</w:t>
            </w:r>
          </w:p>
        </w:tc>
        <w:tc>
          <w:tcPr>
            <w:tcW w:w="673" w:type="dxa"/>
            <w:tcBorders>
              <w:top w:val="nil"/>
              <w:left w:val="nil"/>
              <w:bottom w:val="single" w:sz="4" w:space="0" w:color="auto"/>
              <w:right w:val="single" w:sz="4" w:space="0" w:color="auto"/>
            </w:tcBorders>
            <w:shd w:val="clear" w:color="auto" w:fill="auto"/>
            <w:noWrap/>
            <w:vAlign w:val="center"/>
          </w:tcPr>
          <w:p w14:paraId="688AF807" w14:textId="77777777" w:rsidR="004C6E06" w:rsidRPr="004C6E06" w:rsidRDefault="004C6E06" w:rsidP="004C6E06">
            <w:pPr>
              <w:jc w:val="center"/>
              <w:rPr>
                <w:sz w:val="22"/>
                <w:szCs w:val="22"/>
                <w:lang w:eastAsia="lt-LT"/>
              </w:rPr>
            </w:pPr>
            <w:r w:rsidRPr="004C6E06">
              <w:rPr>
                <w:sz w:val="22"/>
                <w:szCs w:val="22"/>
                <w:lang w:eastAsia="lt-LT"/>
              </w:rPr>
              <w:t>18</w:t>
            </w:r>
          </w:p>
        </w:tc>
        <w:tc>
          <w:tcPr>
            <w:tcW w:w="1052" w:type="dxa"/>
            <w:tcBorders>
              <w:top w:val="nil"/>
              <w:left w:val="nil"/>
              <w:bottom w:val="single" w:sz="4" w:space="0" w:color="auto"/>
              <w:right w:val="single" w:sz="4" w:space="0" w:color="auto"/>
            </w:tcBorders>
            <w:shd w:val="clear" w:color="auto" w:fill="auto"/>
            <w:noWrap/>
            <w:vAlign w:val="center"/>
          </w:tcPr>
          <w:p w14:paraId="365A0726" w14:textId="77777777" w:rsidR="004C6E06" w:rsidRPr="004C6E06" w:rsidRDefault="004C6E06" w:rsidP="004C6E06">
            <w:pPr>
              <w:jc w:val="center"/>
              <w:rPr>
                <w:sz w:val="22"/>
                <w:szCs w:val="22"/>
                <w:lang w:eastAsia="lt-LT"/>
              </w:rPr>
            </w:pPr>
            <w:r w:rsidRPr="004C6E06">
              <w:rPr>
                <w:sz w:val="22"/>
                <w:szCs w:val="22"/>
                <w:lang w:eastAsia="lt-LT"/>
              </w:rPr>
              <w:t>8</w:t>
            </w:r>
          </w:p>
        </w:tc>
        <w:tc>
          <w:tcPr>
            <w:tcW w:w="563" w:type="dxa"/>
            <w:tcBorders>
              <w:top w:val="nil"/>
              <w:left w:val="nil"/>
              <w:bottom w:val="single" w:sz="4" w:space="0" w:color="auto"/>
              <w:right w:val="single" w:sz="4" w:space="0" w:color="auto"/>
            </w:tcBorders>
            <w:shd w:val="clear" w:color="auto" w:fill="auto"/>
            <w:noWrap/>
            <w:vAlign w:val="center"/>
          </w:tcPr>
          <w:p w14:paraId="36D11825" w14:textId="77777777" w:rsidR="004C6E06" w:rsidRPr="004C6E06" w:rsidRDefault="004C6E06" w:rsidP="004C6E06">
            <w:pPr>
              <w:jc w:val="center"/>
              <w:rPr>
                <w:sz w:val="22"/>
                <w:szCs w:val="22"/>
                <w:lang w:eastAsia="lt-LT"/>
              </w:rPr>
            </w:pPr>
            <w:r w:rsidRPr="004C6E06">
              <w:rPr>
                <w:sz w:val="22"/>
                <w:szCs w:val="22"/>
                <w:lang w:eastAsia="lt-LT"/>
              </w:rPr>
              <w:t>253</w:t>
            </w:r>
          </w:p>
        </w:tc>
      </w:tr>
      <w:tr w:rsidR="004C6E06" w:rsidRPr="004C6E06" w14:paraId="0785CED0" w14:textId="77777777" w:rsidTr="003E427B">
        <w:trPr>
          <w:trHeight w:val="79"/>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526B3C" w14:textId="77777777" w:rsidR="004C6E06" w:rsidRPr="004C6E06" w:rsidRDefault="004C6E06" w:rsidP="004C6E06">
            <w:pPr>
              <w:rPr>
                <w:sz w:val="22"/>
                <w:szCs w:val="22"/>
                <w:lang w:eastAsia="lt-LT"/>
              </w:rPr>
            </w:pPr>
            <w:r w:rsidRPr="004C6E06">
              <w:rPr>
                <w:sz w:val="22"/>
                <w:szCs w:val="22"/>
                <w:lang w:eastAsia="lt-LT"/>
              </w:rPr>
              <w:t>2021 m.</w:t>
            </w:r>
          </w:p>
        </w:tc>
        <w:tc>
          <w:tcPr>
            <w:tcW w:w="865" w:type="dxa"/>
            <w:tcBorders>
              <w:top w:val="single" w:sz="4" w:space="0" w:color="auto"/>
              <w:left w:val="nil"/>
              <w:bottom w:val="single" w:sz="4" w:space="0" w:color="auto"/>
              <w:right w:val="single" w:sz="4" w:space="0" w:color="auto"/>
            </w:tcBorders>
            <w:shd w:val="clear" w:color="auto" w:fill="auto"/>
            <w:noWrap/>
            <w:vAlign w:val="center"/>
          </w:tcPr>
          <w:p w14:paraId="69E8D8E0" w14:textId="77777777" w:rsidR="004C6E06" w:rsidRPr="004C6E06" w:rsidRDefault="004C6E06" w:rsidP="004C6E06">
            <w:pPr>
              <w:jc w:val="center"/>
              <w:rPr>
                <w:sz w:val="22"/>
                <w:szCs w:val="22"/>
                <w:lang w:eastAsia="lt-LT"/>
              </w:rPr>
            </w:pPr>
            <w:r w:rsidRPr="004C6E06">
              <w:rPr>
                <w:sz w:val="22"/>
                <w:szCs w:val="22"/>
                <w:lang w:eastAsia="lt-LT"/>
              </w:rPr>
              <w:t>41</w:t>
            </w:r>
          </w:p>
        </w:tc>
        <w:tc>
          <w:tcPr>
            <w:tcW w:w="847" w:type="dxa"/>
            <w:tcBorders>
              <w:top w:val="single" w:sz="4" w:space="0" w:color="auto"/>
              <w:left w:val="nil"/>
              <w:bottom w:val="single" w:sz="4" w:space="0" w:color="auto"/>
              <w:right w:val="single" w:sz="4" w:space="0" w:color="auto"/>
            </w:tcBorders>
            <w:shd w:val="clear" w:color="auto" w:fill="auto"/>
            <w:noWrap/>
            <w:vAlign w:val="center"/>
          </w:tcPr>
          <w:p w14:paraId="24D501C9" w14:textId="77777777" w:rsidR="004C6E06" w:rsidRPr="004C6E06" w:rsidRDefault="004C6E06" w:rsidP="004C6E06">
            <w:pPr>
              <w:jc w:val="center"/>
              <w:rPr>
                <w:sz w:val="22"/>
                <w:szCs w:val="22"/>
                <w:lang w:eastAsia="lt-LT"/>
              </w:rPr>
            </w:pPr>
            <w:r w:rsidRPr="004C6E06">
              <w:rPr>
                <w:sz w:val="22"/>
                <w:szCs w:val="22"/>
                <w:lang w:eastAsia="lt-LT"/>
              </w:rPr>
              <w:t>49</w:t>
            </w:r>
          </w:p>
        </w:tc>
        <w:tc>
          <w:tcPr>
            <w:tcW w:w="975" w:type="dxa"/>
            <w:tcBorders>
              <w:top w:val="single" w:sz="4" w:space="0" w:color="auto"/>
              <w:left w:val="nil"/>
              <w:bottom w:val="single" w:sz="4" w:space="0" w:color="auto"/>
              <w:right w:val="single" w:sz="4" w:space="0" w:color="auto"/>
            </w:tcBorders>
            <w:shd w:val="clear" w:color="auto" w:fill="auto"/>
            <w:noWrap/>
            <w:vAlign w:val="center"/>
          </w:tcPr>
          <w:p w14:paraId="1AB251E4" w14:textId="77777777" w:rsidR="004C6E06" w:rsidRPr="004C6E06" w:rsidRDefault="004C6E06" w:rsidP="004C6E06">
            <w:pPr>
              <w:jc w:val="center"/>
              <w:rPr>
                <w:sz w:val="22"/>
                <w:szCs w:val="22"/>
                <w:lang w:eastAsia="lt-LT"/>
              </w:rPr>
            </w:pPr>
            <w:r w:rsidRPr="004C6E06">
              <w:rPr>
                <w:sz w:val="22"/>
                <w:szCs w:val="22"/>
                <w:lang w:eastAsia="lt-LT"/>
              </w:rPr>
              <w:t>4</w:t>
            </w:r>
          </w:p>
        </w:tc>
        <w:tc>
          <w:tcPr>
            <w:tcW w:w="776" w:type="dxa"/>
            <w:tcBorders>
              <w:top w:val="single" w:sz="4" w:space="0" w:color="auto"/>
              <w:left w:val="nil"/>
              <w:bottom w:val="single" w:sz="4" w:space="0" w:color="auto"/>
              <w:right w:val="single" w:sz="4" w:space="0" w:color="auto"/>
            </w:tcBorders>
            <w:shd w:val="clear" w:color="auto" w:fill="auto"/>
            <w:noWrap/>
            <w:vAlign w:val="center"/>
          </w:tcPr>
          <w:p w14:paraId="45FC5173" w14:textId="77777777" w:rsidR="004C6E06" w:rsidRPr="004C6E06" w:rsidRDefault="004C6E06" w:rsidP="004C6E06">
            <w:pPr>
              <w:jc w:val="center"/>
              <w:rPr>
                <w:sz w:val="22"/>
                <w:szCs w:val="22"/>
                <w:lang w:eastAsia="lt-LT"/>
              </w:rPr>
            </w:pPr>
            <w:r w:rsidRPr="004C6E06">
              <w:rPr>
                <w:sz w:val="22"/>
                <w:szCs w:val="22"/>
                <w:lang w:eastAsia="lt-LT"/>
              </w:rPr>
              <w:t>37</w:t>
            </w:r>
          </w:p>
        </w:tc>
        <w:tc>
          <w:tcPr>
            <w:tcW w:w="732" w:type="dxa"/>
            <w:tcBorders>
              <w:top w:val="single" w:sz="4" w:space="0" w:color="auto"/>
              <w:left w:val="nil"/>
              <w:bottom w:val="single" w:sz="4" w:space="0" w:color="auto"/>
              <w:right w:val="single" w:sz="4" w:space="0" w:color="auto"/>
            </w:tcBorders>
            <w:shd w:val="clear" w:color="auto" w:fill="auto"/>
            <w:noWrap/>
            <w:vAlign w:val="center"/>
          </w:tcPr>
          <w:p w14:paraId="7BCD7666" w14:textId="77777777" w:rsidR="004C6E06" w:rsidRPr="004C6E06" w:rsidRDefault="004C6E06" w:rsidP="004C6E06">
            <w:pPr>
              <w:jc w:val="center"/>
              <w:rPr>
                <w:sz w:val="22"/>
                <w:szCs w:val="22"/>
                <w:lang w:eastAsia="lt-LT"/>
              </w:rPr>
            </w:pPr>
            <w:r w:rsidRPr="004C6E06">
              <w:rPr>
                <w:sz w:val="22"/>
                <w:szCs w:val="22"/>
                <w:lang w:eastAsia="lt-LT"/>
              </w:rPr>
              <w:t>11</w:t>
            </w:r>
          </w:p>
        </w:tc>
        <w:tc>
          <w:tcPr>
            <w:tcW w:w="688" w:type="dxa"/>
            <w:tcBorders>
              <w:top w:val="single" w:sz="4" w:space="0" w:color="auto"/>
              <w:left w:val="nil"/>
              <w:bottom w:val="single" w:sz="4" w:space="0" w:color="auto"/>
              <w:right w:val="single" w:sz="4" w:space="0" w:color="auto"/>
            </w:tcBorders>
            <w:shd w:val="clear" w:color="auto" w:fill="auto"/>
            <w:noWrap/>
            <w:vAlign w:val="center"/>
          </w:tcPr>
          <w:p w14:paraId="14442E27" w14:textId="77777777" w:rsidR="004C6E06" w:rsidRPr="004C6E06" w:rsidRDefault="004C6E06" w:rsidP="004C6E06">
            <w:pPr>
              <w:jc w:val="center"/>
              <w:rPr>
                <w:sz w:val="22"/>
                <w:szCs w:val="22"/>
                <w:lang w:eastAsia="lt-LT"/>
              </w:rPr>
            </w:pPr>
            <w:r w:rsidRPr="004C6E06">
              <w:rPr>
                <w:sz w:val="22"/>
                <w:szCs w:val="22"/>
                <w:lang w:eastAsia="lt-LT"/>
              </w:rPr>
              <w:t>13</w:t>
            </w:r>
          </w:p>
        </w:tc>
        <w:tc>
          <w:tcPr>
            <w:tcW w:w="794" w:type="dxa"/>
            <w:tcBorders>
              <w:top w:val="single" w:sz="4" w:space="0" w:color="auto"/>
              <w:left w:val="nil"/>
              <w:bottom w:val="single" w:sz="4" w:space="0" w:color="auto"/>
              <w:right w:val="single" w:sz="4" w:space="0" w:color="auto"/>
            </w:tcBorders>
            <w:shd w:val="clear" w:color="auto" w:fill="auto"/>
            <w:noWrap/>
            <w:vAlign w:val="center"/>
          </w:tcPr>
          <w:p w14:paraId="16AB54D4" w14:textId="77777777" w:rsidR="004C6E06" w:rsidRPr="004C6E06" w:rsidRDefault="004C6E06" w:rsidP="004C6E06">
            <w:pPr>
              <w:jc w:val="center"/>
              <w:rPr>
                <w:sz w:val="22"/>
                <w:szCs w:val="22"/>
                <w:lang w:eastAsia="lt-LT"/>
              </w:rPr>
            </w:pPr>
            <w:r w:rsidRPr="004C6E06">
              <w:rPr>
                <w:sz w:val="22"/>
                <w:szCs w:val="22"/>
                <w:lang w:eastAsia="lt-LT"/>
              </w:rPr>
              <w:t>21</w:t>
            </w:r>
          </w:p>
        </w:tc>
        <w:tc>
          <w:tcPr>
            <w:tcW w:w="785" w:type="dxa"/>
            <w:tcBorders>
              <w:top w:val="single" w:sz="4" w:space="0" w:color="auto"/>
              <w:left w:val="nil"/>
              <w:bottom w:val="single" w:sz="4" w:space="0" w:color="auto"/>
              <w:right w:val="single" w:sz="4" w:space="0" w:color="auto"/>
            </w:tcBorders>
            <w:shd w:val="clear" w:color="auto" w:fill="auto"/>
            <w:noWrap/>
            <w:vAlign w:val="center"/>
          </w:tcPr>
          <w:p w14:paraId="45E20781" w14:textId="77777777" w:rsidR="004C6E06" w:rsidRPr="004C6E06" w:rsidRDefault="004C6E06" w:rsidP="004C6E06">
            <w:pPr>
              <w:jc w:val="center"/>
              <w:rPr>
                <w:sz w:val="22"/>
                <w:szCs w:val="22"/>
                <w:lang w:eastAsia="lt-LT"/>
              </w:rPr>
            </w:pPr>
            <w:r w:rsidRPr="004C6E06">
              <w:rPr>
                <w:sz w:val="22"/>
                <w:szCs w:val="22"/>
                <w:lang w:eastAsia="lt-LT"/>
              </w:rPr>
              <w:t>17</w:t>
            </w:r>
          </w:p>
        </w:tc>
        <w:tc>
          <w:tcPr>
            <w:tcW w:w="673" w:type="dxa"/>
            <w:tcBorders>
              <w:top w:val="single" w:sz="4" w:space="0" w:color="auto"/>
              <w:left w:val="nil"/>
              <w:bottom w:val="single" w:sz="4" w:space="0" w:color="auto"/>
              <w:right w:val="single" w:sz="4" w:space="0" w:color="auto"/>
            </w:tcBorders>
            <w:shd w:val="clear" w:color="auto" w:fill="auto"/>
            <w:noWrap/>
            <w:vAlign w:val="center"/>
          </w:tcPr>
          <w:p w14:paraId="0B46CC70" w14:textId="77777777" w:rsidR="004C6E06" w:rsidRPr="004C6E06" w:rsidRDefault="004C6E06" w:rsidP="004C6E06">
            <w:pPr>
              <w:jc w:val="center"/>
              <w:rPr>
                <w:sz w:val="22"/>
                <w:szCs w:val="22"/>
                <w:lang w:eastAsia="lt-LT"/>
              </w:rPr>
            </w:pPr>
            <w:r w:rsidRPr="004C6E06">
              <w:rPr>
                <w:sz w:val="22"/>
                <w:szCs w:val="22"/>
                <w:lang w:eastAsia="lt-LT"/>
              </w:rPr>
              <w:t>9</w:t>
            </w:r>
          </w:p>
        </w:tc>
        <w:tc>
          <w:tcPr>
            <w:tcW w:w="1052" w:type="dxa"/>
            <w:tcBorders>
              <w:top w:val="single" w:sz="4" w:space="0" w:color="auto"/>
              <w:left w:val="nil"/>
              <w:bottom w:val="single" w:sz="4" w:space="0" w:color="auto"/>
              <w:right w:val="single" w:sz="4" w:space="0" w:color="auto"/>
            </w:tcBorders>
            <w:shd w:val="clear" w:color="auto" w:fill="auto"/>
            <w:noWrap/>
            <w:vAlign w:val="center"/>
          </w:tcPr>
          <w:p w14:paraId="361D9FBB" w14:textId="77777777" w:rsidR="004C6E06" w:rsidRPr="004C6E06" w:rsidRDefault="004C6E06" w:rsidP="004C6E06">
            <w:pPr>
              <w:jc w:val="center"/>
              <w:rPr>
                <w:sz w:val="22"/>
                <w:szCs w:val="22"/>
                <w:lang w:eastAsia="lt-LT"/>
              </w:rPr>
            </w:pPr>
            <w:r w:rsidRPr="004C6E06">
              <w:rPr>
                <w:sz w:val="22"/>
                <w:szCs w:val="22"/>
                <w:lang w:eastAsia="lt-LT"/>
              </w:rPr>
              <w:t>7</w:t>
            </w:r>
          </w:p>
        </w:tc>
        <w:tc>
          <w:tcPr>
            <w:tcW w:w="563" w:type="dxa"/>
            <w:tcBorders>
              <w:top w:val="single" w:sz="4" w:space="0" w:color="auto"/>
              <w:left w:val="nil"/>
              <w:bottom w:val="single" w:sz="4" w:space="0" w:color="auto"/>
              <w:right w:val="single" w:sz="4" w:space="0" w:color="auto"/>
            </w:tcBorders>
            <w:shd w:val="clear" w:color="auto" w:fill="auto"/>
            <w:noWrap/>
            <w:vAlign w:val="center"/>
          </w:tcPr>
          <w:p w14:paraId="2985A7DF" w14:textId="77777777" w:rsidR="004C6E06" w:rsidRPr="004C6E06" w:rsidRDefault="004C6E06" w:rsidP="004C6E06">
            <w:pPr>
              <w:jc w:val="center"/>
              <w:rPr>
                <w:sz w:val="22"/>
                <w:szCs w:val="22"/>
                <w:lang w:eastAsia="lt-LT"/>
              </w:rPr>
            </w:pPr>
            <w:r w:rsidRPr="004C6E06">
              <w:rPr>
                <w:sz w:val="22"/>
                <w:szCs w:val="22"/>
                <w:lang w:eastAsia="lt-LT"/>
              </w:rPr>
              <w:t>232</w:t>
            </w:r>
          </w:p>
        </w:tc>
      </w:tr>
    </w:tbl>
    <w:p w14:paraId="335BA8E7" w14:textId="77777777" w:rsidR="004C6E06" w:rsidRPr="004C6E06" w:rsidRDefault="004C6E06" w:rsidP="004C6E06">
      <w:pPr>
        <w:jc w:val="center"/>
        <w:rPr>
          <w:sz w:val="22"/>
          <w:szCs w:val="22"/>
        </w:rPr>
      </w:pPr>
    </w:p>
    <w:p w14:paraId="5E6B6741" w14:textId="77777777" w:rsidR="004C6E06" w:rsidRPr="004C6E06" w:rsidRDefault="004C6E06" w:rsidP="004C6E06">
      <w:pPr>
        <w:jc w:val="center"/>
        <w:rPr>
          <w:i/>
          <w:noProof/>
          <w:sz w:val="22"/>
          <w:szCs w:val="22"/>
          <w:lang w:eastAsia="lt-LT"/>
        </w:rPr>
      </w:pPr>
      <w:r w:rsidRPr="004C6E06">
        <w:rPr>
          <w:sz w:val="22"/>
          <w:szCs w:val="22"/>
        </w:rPr>
        <w:t xml:space="preserve">Šaltinis: </w:t>
      </w:r>
      <w:r w:rsidRPr="004C6E06">
        <w:rPr>
          <w:i/>
          <w:noProof/>
          <w:sz w:val="22"/>
          <w:szCs w:val="22"/>
          <w:lang w:eastAsia="lt-LT"/>
        </w:rPr>
        <w:t>Higienos instituto Sveikatos informacijos centras</w:t>
      </w:r>
    </w:p>
    <w:p w14:paraId="59651170" w14:textId="77777777" w:rsidR="004C6E06" w:rsidRPr="004C6E06" w:rsidRDefault="004C6E06" w:rsidP="004C6E06">
      <w:pPr>
        <w:ind w:right="39"/>
        <w:jc w:val="both"/>
      </w:pPr>
    </w:p>
    <w:p w14:paraId="155AD3F3" w14:textId="77777777" w:rsidR="004C6E06" w:rsidRPr="004C6E06" w:rsidRDefault="00363813" w:rsidP="004C6E06">
      <w:pPr>
        <w:ind w:right="39" w:firstLine="720"/>
        <w:jc w:val="both"/>
      </w:pPr>
      <w:r>
        <w:t>18</w:t>
      </w:r>
      <w:r w:rsidR="004C6E06" w:rsidRPr="004C6E06">
        <w:t>. Sveikos gyvensenos tyrimai:</w:t>
      </w:r>
    </w:p>
    <w:p w14:paraId="5881D815" w14:textId="77777777" w:rsidR="004C6E06" w:rsidRPr="004C6E06" w:rsidRDefault="00363813" w:rsidP="004C6E06">
      <w:pPr>
        <w:ind w:firstLine="720"/>
        <w:jc w:val="both"/>
        <w:rPr>
          <w:bCs/>
        </w:rPr>
      </w:pPr>
      <w:r>
        <w:t>18</w:t>
      </w:r>
      <w:r w:rsidR="004C6E06" w:rsidRPr="004C6E06">
        <w:t xml:space="preserve">.1. Mokiniai kasmet iki rugsėjo 15 dienos profilaktiškai privalo pasitikrinti sveikatą. Mokinio sveikatos pažymėjimų (forma Nr. E027-1) duomenys naudojami mokinių sveikatos stebėsenai ir analizei. 2021 m. profilaktiškai sveikatą pasitikrino 15 728, arba 70,9 proc. Savivaldybės mokinių (profilaktiškai sveikatą pasitikrinti turi mokiniai iki 18 metų, o sulaukę 18 metų ir daugiau to daryti neprivalo). Higienos instituto Vaikų sveikatos informacinėje sistemoje sveikatos rodikliai yra skaičiuojami 0–17 metų amžiaus grupei. </w:t>
      </w:r>
      <w:r w:rsidR="004C6E06" w:rsidRPr="004C6E06">
        <w:rPr>
          <w:rFonts w:eastAsia="Calibri"/>
          <w:bCs/>
        </w:rPr>
        <w:t>89,5 proc. Klaipėdos miesto mokinių dalyvavo ugdymo veikloje be jokių apribojimų.</w:t>
      </w:r>
      <w:r w:rsidR="004C6E06" w:rsidRPr="004C6E06">
        <w:rPr>
          <w:bCs/>
        </w:rPr>
        <w:t xml:space="preserve"> 2021 m. 17 proc. mokinių turėjo antsvorio problemų, 7,3 proc. buvo nutukę, per mažą svorį turėjo 11,9 proc. mokinių.</w:t>
      </w:r>
    </w:p>
    <w:p w14:paraId="084B906C" w14:textId="77777777" w:rsidR="004C6E06" w:rsidRPr="004C6E06" w:rsidRDefault="00B763B1" w:rsidP="004C6E06">
      <w:pPr>
        <w:ind w:firstLine="709"/>
        <w:jc w:val="both"/>
      </w:pPr>
      <w:r>
        <w:t>18</w:t>
      </w:r>
      <w:r w:rsidR="004C6E06" w:rsidRPr="004C6E06">
        <w:t xml:space="preserve">.2. Klaipėdos miestas nuo </w:t>
      </w:r>
      <w:smartTag w:uri="urn:schemas-microsoft-com:office:smarttags" w:element="metricconverter">
        <w:smartTagPr>
          <w:attr w:name="ProductID" w:val="2006 m"/>
        </w:smartTagPr>
        <w:r w:rsidR="004C6E06" w:rsidRPr="004C6E06">
          <w:t>2006 m</w:t>
        </w:r>
      </w:smartTag>
      <w:r w:rsidR="004C6E06" w:rsidRPr="004C6E06">
        <w:t xml:space="preserve">. dalyvauja tarptautinėje programoje „Jaunimo planeta  – narkomanijos prevencijos programa“ (metodinis tyrimo vadovas – Islandijos socialinių tyrimų centras (ICSRA)), kurios metu </w:t>
      </w:r>
      <w:smartTag w:uri="urn:schemas-microsoft-com:office:smarttags" w:element="metricconverter">
        <w:smartTagPr>
          <w:attr w:name="ProductID" w:val="2006 m"/>
        </w:smartTagPr>
        <w:r w:rsidR="004C6E06" w:rsidRPr="004C6E06">
          <w:t>2006 m</w:t>
        </w:r>
      </w:smartTag>
      <w:r w:rsidR="004C6E06" w:rsidRPr="004C6E06">
        <w:t xml:space="preserve">., </w:t>
      </w:r>
      <w:smartTag w:uri="urn:schemas-microsoft-com:office:smarttags" w:element="metricconverter">
        <w:smartTagPr>
          <w:attr w:name="ProductID" w:val="2008 m"/>
        </w:smartTagPr>
        <w:r w:rsidR="004C6E06" w:rsidRPr="004C6E06">
          <w:t>2008 m</w:t>
        </w:r>
      </w:smartTag>
      <w:r w:rsidR="004C6E06" w:rsidRPr="004C6E06">
        <w:t>., 2012 m., 2014 m., 2016 m., 2019 m. ir 2022 m. atlikti 10 klasių mokinių tyrimai, siekiant išsiaiškinti narkotinių medžiagų paplitimą tarp Klaipėdos miesto mokinių. Nuo 2006 iki 2022 metų sumažėjo reguliariai rūkančių paauglių dalis (nuo 43,1 iki 9 proc.), sumažėjo bent kartą gyvenime buvusių apsvaigusių nuo alkoholio (nuo 68,2 iki 27,5 proc.), sumažėjo bent kartą gyvenime narkotinių medžiagų vartojusių paauglių dalis: kanapių – nuo 30 iki 11,7 proc., amfetamino – nuo 11,2 iki 1,9 proc., ekstazio – nuo 5,1 iki 1,9 proc., uostomųjų medžiagų – nuo 6,25 iki 3,8 proc.</w:t>
      </w:r>
    </w:p>
    <w:p w14:paraId="55F03D33" w14:textId="77777777" w:rsidR="004C6E06" w:rsidRPr="004C6E06" w:rsidRDefault="00B763B1" w:rsidP="004C6E06">
      <w:pPr>
        <w:ind w:firstLine="567"/>
        <w:jc w:val="both"/>
        <w:rPr>
          <w:color w:val="000000"/>
        </w:rPr>
      </w:pPr>
      <w:r>
        <w:rPr>
          <w:color w:val="000000"/>
        </w:rPr>
        <w:t>18</w:t>
      </w:r>
      <w:r w:rsidR="004C6E06" w:rsidRPr="004C6E06">
        <w:rPr>
          <w:color w:val="000000"/>
        </w:rPr>
        <w:t>.3. 2020 m. atlikto Klaipėdos miesto mokyklinio amžiaus vaikų gyvensenos tyrimo rezultatai rodo, jog didžioji dalis (68,1 proc.) mokinių mano, kad yra pakankamai arba labai laimingi, 77,8 proc. savo sveikatos būklę vertina kaip labai gerą arba gerą. Daugiau berniukų nei mergaičių apibūdino savo sveikatą kaip labai gerą ar gerą. Klaipėdoje, kaip ir visoje Lietuvoje, geriausiai savo sveikatą vertino 5 klasių mokiniai. Kas aštuntas tyrime dalyvavęs Klaipėdos miesto mokinys prisipažino per paskutinius 12 mėn. bent kartą rūkęs tabako gaminius, kas penktas – elektronines cigaretes. Rūkymas labiausiai paplitęs tarp 9 kl. mokinių. Per paskutinį mėnesį bent kartą alkoholinių gėrimų vartojo 8,6 proc. mokinių, kas šeštas devintokas vartojo alkoholinius gėrimus (16,8 proc.). Bent kartą gyvenime marihuaną ar hašišą vartojo 4,4 proc. (iš jų daugiausiai – 9 klasių mokiniai), kitus narkotikus – 1,9 proc. mokinių.</w:t>
      </w:r>
      <w:r w:rsidR="004C6E06" w:rsidRPr="004C6E06">
        <w:rPr>
          <w:rFonts w:ascii="Calibri" w:eastAsia="Calibri" w:hAnsi="Calibri"/>
          <w:sz w:val="22"/>
          <w:szCs w:val="22"/>
        </w:rPr>
        <w:t xml:space="preserve"> </w:t>
      </w:r>
      <w:r w:rsidR="004C6E06" w:rsidRPr="004C6E06">
        <w:rPr>
          <w:color w:val="000000"/>
        </w:rPr>
        <w:t>Didesnė Klaipėdos miesto mokinių dalis, kuri gyvena tik su vienu iš tėvų, per paskutinius 12 mėn. rūkė tabako gaminius ir elektronines cigaretes lyginant su vaikais, kurie gyvena su abiem tėvais (tabako gaminius rūkė 11,2 proc. vaikų, turinčių abu tėvus, ir 14,8 proc. vaikų, turinčių vieną iš tėvų, elektronines cigaretes – 19,8 proc. vaikų, turinčių abu tėvus, ir 27,2 proc. vaikų, turinčių vieną iš tėvų). Klaipėdoje fiziškai aktyvių mokinių yra 16,3 proc., iš jų daugiausia mokosi 5 klasėse. Ypač pasyviai laisvalaikį (4 ir daugiau valandų per dieną žiūri televizorių, žaidžia kompiuteriu) leidžia kas penktas mokinys (21,8 proc.), didžiausia tokių vaikų dalis 9 klasėse.</w:t>
      </w:r>
    </w:p>
    <w:p w14:paraId="7C68AFAE" w14:textId="77777777" w:rsidR="004C6E06" w:rsidRPr="004C6E06" w:rsidRDefault="00B763B1" w:rsidP="004C6E06">
      <w:pPr>
        <w:ind w:firstLine="720"/>
        <w:jc w:val="both"/>
        <w:rPr>
          <w:noProof/>
          <w:szCs w:val="20"/>
        </w:rPr>
      </w:pPr>
      <w:r>
        <w:rPr>
          <w:szCs w:val="20"/>
        </w:rPr>
        <w:t>19</w:t>
      </w:r>
      <w:r w:rsidR="004C6E06" w:rsidRPr="004C6E06">
        <w:rPr>
          <w:szCs w:val="20"/>
        </w:rPr>
        <w:t xml:space="preserve">. </w:t>
      </w:r>
      <w:r w:rsidR="004C6E06" w:rsidRPr="004C6E06">
        <w:rPr>
          <w:noProof/>
          <w:szCs w:val="20"/>
        </w:rPr>
        <w:t>Tarybos 2010 m. liepos 2 d. sprendimu Nr. T2-162</w:t>
      </w:r>
      <w:r w:rsidR="004C6E06" w:rsidRPr="004C6E06">
        <w:rPr>
          <w:szCs w:val="20"/>
        </w:rPr>
        <w:t xml:space="preserve"> „Dėl Klaipėdos miesto savivaldybės stojimo į PSO Europos nacionalinį sveikų miestų tinklą“ </w:t>
      </w:r>
      <w:r w:rsidR="004C6E06" w:rsidRPr="004C6E06">
        <w:rPr>
          <w:noProof/>
          <w:szCs w:val="20"/>
        </w:rPr>
        <w:t xml:space="preserve">Klaipėdos miestas įstojo į PSO Europos nacionalinį sveikų miestų tinklą. 2021 m. buvo patvirtinta Klaipėdos miesto narystė Sveikų miestų VII fazėje. Dalyvauta </w:t>
      </w:r>
      <w:r w:rsidR="004C6E06" w:rsidRPr="004C6E06">
        <w:t>tarptautiniuose projektuose:</w:t>
      </w:r>
    </w:p>
    <w:p w14:paraId="5728A477" w14:textId="77777777" w:rsidR="004C6E06" w:rsidRPr="004C6E06" w:rsidRDefault="004C6E06" w:rsidP="004C6E06">
      <w:pPr>
        <w:ind w:firstLine="720"/>
        <w:jc w:val="both"/>
      </w:pPr>
      <w:r w:rsidRPr="004C6E06">
        <w:t>- 2018-09-01–2021-08-31 programos „Erasmus+“ projekte „Skaitmeninė lytiškumo ugdymo programa vidurinėse mokyklose“ (angl. A Digital Program for Sexual Education in Secondary Schools), akronimas – EDDIS, 16 540,00 Eur;</w:t>
      </w:r>
    </w:p>
    <w:p w14:paraId="4D3A459E" w14:textId="77777777" w:rsidR="004C6E06" w:rsidRPr="004C6E06" w:rsidRDefault="004C6E06" w:rsidP="004C6E06">
      <w:pPr>
        <w:ind w:firstLine="720"/>
        <w:jc w:val="both"/>
      </w:pPr>
      <w:r w:rsidRPr="004C6E06">
        <w:t>- 2018-04-04–2020-12-04 programos URBACT III projekte „Žaidimai ir miestas: inovatyvi socialinės įtraukties, tvarumo ir vietos kūrimo paradigma“ (angl. „Play and the City: an innovative paradigm for social inclusion, sustainability and place-making“), akronimas – „Žaidimų paradigma“ (angl. „The Playful Paradigm“), I etapas (2018-04-04–2018-10-04) ir II etapas (2018-12-04–2020</w:t>
      </w:r>
      <w:r w:rsidRPr="004C6E06">
        <w:noBreakHyphen/>
        <w:t>12- 04), 56 831 Eur;</w:t>
      </w:r>
    </w:p>
    <w:p w14:paraId="4F8D96D0" w14:textId="77777777" w:rsidR="004C6E06" w:rsidRDefault="004C6E06" w:rsidP="004C6E06">
      <w:pPr>
        <w:ind w:firstLine="720"/>
        <w:jc w:val="both"/>
      </w:pPr>
      <w:r w:rsidRPr="004C6E06">
        <w:t>- 2019-01-01-2021-12-31 programos Interreg Baltijos jūros regiono projektas Nr. R085 „Sveikatos plėtra – miesto laboratorijos siekiant geresnės sveikatos visiems Baltijos jūros regione – tarpsektorinio bendradarbiavimo sveikatos srityje gerinimas“ (angl. Healthy Boost – Urban Labs for Better Health for All in the Baltic Sea Region – boosting cross-sectoral cooperation for health and wellbeing in the cities), 123 250,00 Eur;</w:t>
      </w:r>
    </w:p>
    <w:p w14:paraId="05DF904B" w14:textId="77777777" w:rsidR="00FF75DD" w:rsidRPr="004C6E06" w:rsidRDefault="00E8024B" w:rsidP="00E8024B">
      <w:pPr>
        <w:ind w:firstLine="720"/>
        <w:jc w:val="both"/>
      </w:pPr>
      <w:r w:rsidRPr="004C6E06">
        <w:t>- 2020-09-01-2023-08-31 programos Erasmus+“ projektas „Seksualinio priekabiavimo prevencija vidurinėse mokyklose“ (angl. Prevention of Sexual Harassment in Secondary Schools), akronimas – SHEHAP, 28 333,00 Eur;</w:t>
      </w:r>
    </w:p>
    <w:p w14:paraId="6CAF41D8" w14:textId="49E1BD29" w:rsidR="004C6E06" w:rsidRPr="004C6E06" w:rsidRDefault="004C6E06" w:rsidP="004C6E06">
      <w:pPr>
        <w:ind w:firstLine="720"/>
        <w:jc w:val="both"/>
      </w:pPr>
      <w:r w:rsidRPr="004C6E06">
        <w:t>2021-03-14-2023-03-14 2014–2021 m. Europos ekonominės erdvės finansinio mechanizmo projektas Nr. LT03-1-SAM-K01-001 „Adaptuoto ir išplėsto jaunimui palankių sveikatos priežiūros paslaugų (JPSPP) teikimo modelio įdiegimas Klaipėdos miesto savivaldybėje“ (angl. Implementation of an Adapted and Expanded Model of Provision of Youth-Friendly Health Care Services (YFHCS) in Klaipeda City Municipality), 154 195,63 Eur</w:t>
      </w:r>
      <w:r w:rsidR="005818DC">
        <w:t>.</w:t>
      </w:r>
    </w:p>
    <w:p w14:paraId="1A7DE8F1" w14:textId="1651E0A4" w:rsidR="004C6E06" w:rsidRPr="004C6E06" w:rsidRDefault="004C6E06" w:rsidP="00C07E8B">
      <w:pPr>
        <w:ind w:firstLine="720"/>
        <w:jc w:val="both"/>
        <w:rPr>
          <w:rFonts w:eastAsia="Calibri"/>
        </w:rPr>
      </w:pPr>
      <w:r w:rsidRPr="004C6E06">
        <w:t>Dalyvauta tarptautinėse konferencijose ir (ar) pristatytos Klaipėdos miesto veiklos:</w:t>
      </w:r>
      <w:r w:rsidR="00C07E8B">
        <w:t xml:space="preserve"> </w:t>
      </w:r>
      <w:r w:rsidRPr="004C6E06">
        <w:rPr>
          <w:rFonts w:eastAsia="Calibri"/>
        </w:rPr>
        <w:t>2020 m. gruodis – metinė Sveikų miestų tinklo metinė konferencija nuotoli</w:t>
      </w:r>
      <w:r w:rsidR="00C07E8B">
        <w:rPr>
          <w:rFonts w:eastAsia="Calibri"/>
        </w:rPr>
        <w:t xml:space="preserve">niu būdu; </w:t>
      </w:r>
      <w:r w:rsidRPr="004C6E06">
        <w:rPr>
          <w:rFonts w:eastAsia="Calibri"/>
        </w:rPr>
        <w:t>2021 m. gruodis – metinė Sveikų miestų tinklo metinė konferencija nuotoliniu būd</w:t>
      </w:r>
      <w:r w:rsidR="00C1328C">
        <w:rPr>
          <w:rFonts w:eastAsia="Calibri"/>
        </w:rPr>
        <w:t xml:space="preserve">u; 2022 m. lapkritis </w:t>
      </w:r>
      <w:r w:rsidR="00D30B6F">
        <w:rPr>
          <w:rFonts w:eastAsia="Calibri"/>
        </w:rPr>
        <w:t>–</w:t>
      </w:r>
      <w:r w:rsidR="00C1328C">
        <w:rPr>
          <w:rFonts w:eastAsia="Calibri"/>
        </w:rPr>
        <w:t xml:space="preserve"> </w:t>
      </w:r>
      <w:r w:rsidR="00C1328C" w:rsidRPr="00C1328C">
        <w:rPr>
          <w:rFonts w:eastAsia="Calibri"/>
        </w:rPr>
        <w:t>metinė Sveikų miestų tinklo metinė konferencija nuotoliniu būdu</w:t>
      </w:r>
      <w:r w:rsidR="00C1328C">
        <w:rPr>
          <w:rFonts w:eastAsia="Calibri"/>
        </w:rPr>
        <w:t>.</w:t>
      </w:r>
    </w:p>
    <w:p w14:paraId="6B5E278F" w14:textId="77777777" w:rsidR="004C6E06" w:rsidRPr="004C6E06" w:rsidRDefault="00B763B1" w:rsidP="004C6E06">
      <w:pPr>
        <w:ind w:firstLine="720"/>
        <w:jc w:val="both"/>
        <w:rPr>
          <w:color w:val="000000"/>
          <w:lang w:eastAsia="lt-LT"/>
        </w:rPr>
      </w:pPr>
      <w:r>
        <w:t>20</w:t>
      </w:r>
      <w:r w:rsidR="004C6E06" w:rsidRPr="004C6E06">
        <w:t xml:space="preserve">. </w:t>
      </w:r>
      <w:r w:rsidR="004C6E06" w:rsidRPr="004C6E06">
        <w:rPr>
          <w:rFonts w:eastAsia="MS Mincho"/>
          <w:lang w:eastAsia="ja-JP"/>
        </w:rPr>
        <w:t>Moksliniais tyrimais įrodyta ir ES bei tarptautiniuose strateginiuose dokumentuose konstatuojama, kad nesveika gyvensena, t. y. nesubalansuota mityba, mažas fizinis aktyvumas, nutukimas, nuolatinė nervinė įtampa, rūkymas, piktnaudžiavimas alkoholiniais gėrimais ir kt., yra pagrindiniai lėtinių neinfekcinių ligų (toliau – LNL), tokių kaip kraujotakos sistemos ligos, piktybiniai navikai, cukrinis diabetas, sudarančių didžiausią Lietuvos gyventojų mirtingumo dalį, rizikos veiksniai.</w:t>
      </w:r>
      <w:r w:rsidR="004C6E06" w:rsidRPr="004C6E06">
        <w:rPr>
          <w:color w:val="000000"/>
          <w:lang w:eastAsia="lt-LT"/>
        </w:rPr>
        <w:t xml:space="preserve"> Profilaktinėmis priemonėmis, šalinant su mityba ir gyvenimo būdu susijusius rizikos veiksnius (mažinant hipertenzijos, hipercholesterolemijos, rūkymo, netinkamos mitybos, piktnaudžiavimo alkoholiu, antsvorio ir fizinės veiklos stokos paplitimą), galima išvengti 80 proc. širdies ir kraujagyslių ligų bei 1/3 onkologinių susirgimų.</w:t>
      </w:r>
    </w:p>
    <w:p w14:paraId="16209A21" w14:textId="77777777" w:rsidR="004C6E06" w:rsidRPr="004C6E06" w:rsidRDefault="00B763B1" w:rsidP="004C6E06">
      <w:pPr>
        <w:ind w:firstLine="720"/>
        <w:contextualSpacing/>
        <w:jc w:val="both"/>
        <w:rPr>
          <w:rFonts w:eastAsia="Calibri"/>
          <w:b/>
        </w:rPr>
      </w:pPr>
      <w:r>
        <w:rPr>
          <w:rFonts w:eastAsia="Calibri"/>
          <w:lang w:eastAsia="lt-LT"/>
        </w:rPr>
        <w:t>21</w:t>
      </w:r>
      <w:r w:rsidR="004C6E06" w:rsidRPr="004C6E06">
        <w:rPr>
          <w:rFonts w:eastAsia="Calibri"/>
          <w:lang w:eastAsia="lt-LT"/>
        </w:rPr>
        <w:t xml:space="preserve">. Užtikrinant Savivaldybėje pirminę visuomenės sveikatos priežiūrą, veikia Savivaldybės </w:t>
      </w:r>
      <w:r w:rsidR="004C6E06" w:rsidRPr="004C6E06">
        <w:rPr>
          <w:rFonts w:eastAsia="Calibri"/>
          <w:bCs/>
        </w:rPr>
        <w:t xml:space="preserve">biudžetinė įstaiga Klaipėdos visuomenės sveikatos biuras. </w:t>
      </w:r>
      <w:r w:rsidR="004C6E06" w:rsidRPr="004C6E06">
        <w:rPr>
          <w:rFonts w:eastAsia="Calibri"/>
        </w:rPr>
        <w:t>Nuo 2014 m. sausio 1 d. BĮ Klaipėdos miesto visuomenės sveikatos biuras vykdo ir valstybines (valstybės perduotas savivaldybėms) funkcijas – visuomenės sveikatos priežiūrą savivaldybės teritorijoje esančiose ikimokyk</w:t>
      </w:r>
      <w:r w:rsidR="00D979D0">
        <w:rPr>
          <w:rFonts w:eastAsia="Calibri"/>
        </w:rPr>
        <w:t>linio ugdymo, bendrojo lavinimo</w:t>
      </w:r>
      <w:r w:rsidR="004C6E06" w:rsidRPr="004C6E06">
        <w:rPr>
          <w:rFonts w:eastAsia="Calibri"/>
        </w:rPr>
        <w:t xml:space="preserve"> mokyklose ir profesinio mokymo įstaigose ugdomų mokinių pagal ikimokyklinio, priešmokyklinio, pradinio, pagrindinio ir vidurinio ugdymo programas, visuomenės sveikatos stiprinimą. Taip pat BĮ Klaipėdos visuomenės sveikatos biuras yra atsakingas už visuomenės sveikatos stebėsenos vykdymą pagal Lietuvos Respublikos visuomenės sveikatos stebėsenos (monitoringo) įstatymą, kuris numato nuolat tikslingai stebėti, analizuoti ir vertinti visuomenės sveikatos būklę ir ją veikiančius sveikatos rizikos veiksnius, įgyvendinimą. </w:t>
      </w:r>
    </w:p>
    <w:p w14:paraId="7BC59D28" w14:textId="77777777" w:rsidR="004C6E06" w:rsidRPr="004C6E06" w:rsidRDefault="004C6E06" w:rsidP="004C6E06">
      <w:pPr>
        <w:ind w:firstLine="709"/>
        <w:jc w:val="both"/>
        <w:rPr>
          <w:rFonts w:ascii="Arial" w:hAnsi="Arial" w:cs="Arial"/>
          <w:color w:val="000000"/>
          <w:sz w:val="18"/>
          <w:szCs w:val="18"/>
        </w:rPr>
      </w:pPr>
    </w:p>
    <w:p w14:paraId="672AF812" w14:textId="77777777" w:rsidR="00F34483" w:rsidRPr="004C6E06" w:rsidRDefault="00F34483" w:rsidP="00F34483">
      <w:pPr>
        <w:tabs>
          <w:tab w:val="left" w:pos="2250"/>
        </w:tabs>
        <w:spacing w:line="276" w:lineRule="auto"/>
        <w:jc w:val="center"/>
        <w:rPr>
          <w:b/>
        </w:rPr>
      </w:pPr>
      <w:r>
        <w:rPr>
          <w:b/>
        </w:rPr>
        <w:t>III</w:t>
      </w:r>
      <w:r w:rsidRPr="004C6E06">
        <w:rPr>
          <w:b/>
        </w:rPr>
        <w:t xml:space="preserve"> SKYRIUS</w:t>
      </w:r>
    </w:p>
    <w:p w14:paraId="767BC425" w14:textId="6E422338" w:rsidR="00F34483" w:rsidRPr="004C6E06" w:rsidRDefault="00F34483" w:rsidP="00F34483">
      <w:pPr>
        <w:jc w:val="center"/>
        <w:rPr>
          <w:b/>
        </w:rPr>
      </w:pPr>
      <w:r>
        <w:rPr>
          <w:b/>
        </w:rPr>
        <w:t>2023</w:t>
      </w:r>
      <w:r w:rsidR="005818DC">
        <w:rPr>
          <w:b/>
        </w:rPr>
        <w:t>–</w:t>
      </w:r>
      <w:r>
        <w:rPr>
          <w:b/>
        </w:rPr>
        <w:t xml:space="preserve">2026 METŲ </w:t>
      </w:r>
      <w:r w:rsidRPr="004C6E06">
        <w:rPr>
          <w:b/>
        </w:rPr>
        <w:t>PROGRAMOS TIKSLAS IR UŽDAVINIAI</w:t>
      </w:r>
    </w:p>
    <w:p w14:paraId="0520B814" w14:textId="77777777" w:rsidR="00F34483" w:rsidRPr="004C6E06" w:rsidRDefault="00F34483" w:rsidP="00F34483">
      <w:pPr>
        <w:ind w:firstLine="720"/>
        <w:jc w:val="both"/>
      </w:pPr>
    </w:p>
    <w:p w14:paraId="53429BD3" w14:textId="77777777" w:rsidR="00524947" w:rsidRDefault="00B763B1" w:rsidP="00F34483">
      <w:pPr>
        <w:ind w:firstLine="720"/>
        <w:jc w:val="both"/>
      </w:pPr>
      <w:r>
        <w:t>22</w:t>
      </w:r>
      <w:r w:rsidR="00F34483" w:rsidRPr="004C6E06">
        <w:t>.</w:t>
      </w:r>
      <w:r w:rsidR="00F34483" w:rsidRPr="004C6E06">
        <w:rPr>
          <w:b/>
        </w:rPr>
        <w:t xml:space="preserve"> </w:t>
      </w:r>
      <w:r w:rsidR="00F34483" w:rsidRPr="004C6E06">
        <w:t>Tikslas</w:t>
      </w:r>
      <w:r w:rsidR="00F34483" w:rsidRPr="004C6E06">
        <w:rPr>
          <w:b/>
        </w:rPr>
        <w:t xml:space="preserve"> </w:t>
      </w:r>
      <w:r w:rsidR="00F34483" w:rsidRPr="004C6E06">
        <w:t xml:space="preserve">– įgyvendinant </w:t>
      </w:r>
      <w:r w:rsidR="00B96272">
        <w:t xml:space="preserve">Klaipėdos </w:t>
      </w:r>
      <w:r w:rsidR="00F34483" w:rsidRPr="004C6E06">
        <w:t xml:space="preserve">sveiko miesto siekius, formuoti </w:t>
      </w:r>
      <w:r w:rsidR="00451ADC">
        <w:t xml:space="preserve">Klaipėdos miesto </w:t>
      </w:r>
      <w:r w:rsidR="00F34483" w:rsidRPr="004C6E06">
        <w:t>gyventojų visuminį sveikatos supratimą, skatinant laikytis sveikos gyvensenos principų</w:t>
      </w:r>
      <w:r w:rsidR="00524947">
        <w:t xml:space="preserve">, </w:t>
      </w:r>
      <w:bookmarkStart w:id="5" w:name="_Hlk120542480"/>
      <w:r w:rsidR="00524947">
        <w:t>didinant sveikatos raštingumą</w:t>
      </w:r>
      <w:r w:rsidR="00F34483" w:rsidRPr="004C6E06">
        <w:t xml:space="preserve"> </w:t>
      </w:r>
      <w:bookmarkEnd w:id="5"/>
      <w:r w:rsidR="00F34483" w:rsidRPr="004C6E06">
        <w:t>ir stiprinant asmeninę atsakomybę už savo sveikatą.</w:t>
      </w:r>
      <w:r w:rsidR="00987331" w:rsidRPr="00987331">
        <w:t xml:space="preserve"> </w:t>
      </w:r>
    </w:p>
    <w:p w14:paraId="3D60CF36" w14:textId="77777777" w:rsidR="00F34483" w:rsidRPr="004C6E06" w:rsidRDefault="00B763B1" w:rsidP="00F34483">
      <w:pPr>
        <w:ind w:firstLine="720"/>
        <w:jc w:val="both"/>
        <w:rPr>
          <w:b/>
        </w:rPr>
      </w:pPr>
      <w:r>
        <w:t>23</w:t>
      </w:r>
      <w:r w:rsidR="00F34483" w:rsidRPr="004C6E06">
        <w:t>.</w:t>
      </w:r>
      <w:r w:rsidR="00F34483" w:rsidRPr="004C6E06">
        <w:rPr>
          <w:b/>
        </w:rPr>
        <w:t xml:space="preserve"> </w:t>
      </w:r>
      <w:r w:rsidR="00F34483" w:rsidRPr="004C6E06">
        <w:t>Uždaviniai:</w:t>
      </w:r>
    </w:p>
    <w:p w14:paraId="45FA1120" w14:textId="77777777" w:rsidR="00F34483" w:rsidRDefault="00B763B1" w:rsidP="00F34483">
      <w:pPr>
        <w:ind w:firstLine="720"/>
        <w:jc w:val="both"/>
      </w:pPr>
      <w:r>
        <w:t>23</w:t>
      </w:r>
      <w:r w:rsidR="00F34483">
        <w:t>.1. v</w:t>
      </w:r>
      <w:r w:rsidR="00F34483" w:rsidRPr="004C6E06">
        <w:t>ykdyti sveikos gyvensenos žinių skleidimą bei sveikatos mokymus gyventojams;</w:t>
      </w:r>
    </w:p>
    <w:p w14:paraId="256FCF8B" w14:textId="77777777" w:rsidR="00C41C12" w:rsidRPr="004C6E06" w:rsidRDefault="00C41C12" w:rsidP="00F34483">
      <w:pPr>
        <w:ind w:firstLine="720"/>
        <w:jc w:val="both"/>
      </w:pPr>
      <w:r>
        <w:t xml:space="preserve">23.2. </w:t>
      </w:r>
      <w:r w:rsidRPr="00C41C12">
        <w:t>didin</w:t>
      </w:r>
      <w:r>
        <w:t>ti</w:t>
      </w:r>
      <w:r w:rsidRPr="00C41C12">
        <w:t xml:space="preserve"> sveikatos raštingumą</w:t>
      </w:r>
      <w:r>
        <w:t>;</w:t>
      </w:r>
    </w:p>
    <w:p w14:paraId="4D79D5F2" w14:textId="77777777" w:rsidR="00F34483" w:rsidRPr="00C41C12" w:rsidRDefault="00B763B1" w:rsidP="00F34483">
      <w:pPr>
        <w:ind w:firstLine="720"/>
        <w:jc w:val="both"/>
      </w:pPr>
      <w:r>
        <w:t>23</w:t>
      </w:r>
      <w:r w:rsidR="00F34483">
        <w:t>.</w:t>
      </w:r>
      <w:r w:rsidR="00C41C12" w:rsidRPr="00C41C12">
        <w:t>3</w:t>
      </w:r>
      <w:r w:rsidR="00F34483" w:rsidRPr="00C41C12">
        <w:t>. skatinti sveikatą saugančius ir stiprinančius įgūdžius bei įpročius;</w:t>
      </w:r>
    </w:p>
    <w:p w14:paraId="56118592" w14:textId="77777777" w:rsidR="00F34483" w:rsidRPr="004C6E06" w:rsidRDefault="00B763B1" w:rsidP="00F34483">
      <w:pPr>
        <w:ind w:firstLine="720"/>
        <w:jc w:val="both"/>
      </w:pPr>
      <w:r w:rsidRPr="00C41C12">
        <w:t>23</w:t>
      </w:r>
      <w:r w:rsidR="00F34483" w:rsidRPr="00C41C12">
        <w:t>.</w:t>
      </w:r>
      <w:r w:rsidR="00C41C12" w:rsidRPr="00C41C12">
        <w:t>4</w:t>
      </w:r>
      <w:r w:rsidR="00F34483" w:rsidRPr="00C41C12">
        <w:t>. stiprinti asmeninę žmogaus atsakomybę už savo ir kitų sveikatą.</w:t>
      </w:r>
    </w:p>
    <w:p w14:paraId="793E1803" w14:textId="77777777" w:rsidR="004C6E06" w:rsidRDefault="004C6E06" w:rsidP="00804C2B">
      <w:pPr>
        <w:tabs>
          <w:tab w:val="left" w:pos="2250"/>
        </w:tabs>
        <w:spacing w:line="276" w:lineRule="auto"/>
        <w:rPr>
          <w:b/>
        </w:rPr>
      </w:pPr>
    </w:p>
    <w:p w14:paraId="5E2C3375" w14:textId="77777777" w:rsidR="004C6E06" w:rsidRPr="004C6E06" w:rsidRDefault="004C6E06" w:rsidP="004C6E06">
      <w:pPr>
        <w:jc w:val="center"/>
        <w:rPr>
          <w:b/>
        </w:rPr>
      </w:pPr>
      <w:r w:rsidRPr="004C6E06">
        <w:rPr>
          <w:b/>
        </w:rPr>
        <w:t>IV SKYRIUS</w:t>
      </w:r>
    </w:p>
    <w:p w14:paraId="60BEFFD2" w14:textId="7F487B26" w:rsidR="004C6E06" w:rsidRPr="004C6E06" w:rsidRDefault="00AC57BD" w:rsidP="004C6E06">
      <w:pPr>
        <w:jc w:val="center"/>
        <w:rPr>
          <w:b/>
        </w:rPr>
      </w:pPr>
      <w:r>
        <w:rPr>
          <w:b/>
        </w:rPr>
        <w:t>2023</w:t>
      </w:r>
      <w:r w:rsidR="004F5D54">
        <w:rPr>
          <w:b/>
        </w:rPr>
        <w:t>–</w:t>
      </w:r>
      <w:r>
        <w:rPr>
          <w:b/>
        </w:rPr>
        <w:t xml:space="preserve">2026 METŲ </w:t>
      </w:r>
      <w:r w:rsidR="004C6E06" w:rsidRPr="004C6E06">
        <w:rPr>
          <w:b/>
        </w:rPr>
        <w:t>PROGRAMOS PRIORITETINĖS SRITYS</w:t>
      </w:r>
    </w:p>
    <w:p w14:paraId="1A68FFD8" w14:textId="77777777" w:rsidR="004C6E06" w:rsidRPr="004C6E06" w:rsidRDefault="004C6E06" w:rsidP="004C6E06">
      <w:pPr>
        <w:ind w:firstLine="720"/>
        <w:jc w:val="both"/>
      </w:pPr>
    </w:p>
    <w:p w14:paraId="492BD22B" w14:textId="77777777" w:rsidR="00AB0180" w:rsidRDefault="004C6E06" w:rsidP="004C6E06">
      <w:pPr>
        <w:ind w:firstLine="720"/>
        <w:jc w:val="both"/>
      </w:pPr>
      <w:r w:rsidRPr="004C6E06">
        <w:t>24.</w:t>
      </w:r>
      <w:r w:rsidR="00AB0180" w:rsidRPr="00AB0180">
        <w:t xml:space="preserve"> Programos prioritetinės sritys:</w:t>
      </w:r>
    </w:p>
    <w:p w14:paraId="312A8726" w14:textId="77777777" w:rsidR="004C6E06" w:rsidRPr="004C6E06" w:rsidRDefault="00AB0180" w:rsidP="004C6E06">
      <w:pPr>
        <w:ind w:firstLine="720"/>
        <w:jc w:val="both"/>
      </w:pPr>
      <w:r>
        <w:t xml:space="preserve">24.1. </w:t>
      </w:r>
      <w:r w:rsidR="00543F30">
        <w:t>Užkrečiamųjų ligų prevencija.</w:t>
      </w:r>
    </w:p>
    <w:p w14:paraId="478F9A3D" w14:textId="77777777" w:rsidR="004C6E06" w:rsidRPr="004C6E06" w:rsidRDefault="00543F30" w:rsidP="004C6E06">
      <w:pPr>
        <w:ind w:firstLine="720"/>
        <w:jc w:val="both"/>
      </w:pPr>
      <w:r>
        <w:t>2</w:t>
      </w:r>
      <w:r w:rsidR="00AB0180">
        <w:t>4</w:t>
      </w:r>
      <w:r>
        <w:t>.</w:t>
      </w:r>
      <w:r w:rsidR="00AB0180">
        <w:t>2.</w:t>
      </w:r>
      <w:r>
        <w:t xml:space="preserve"> Vaikų sveikatos gerinimas.</w:t>
      </w:r>
    </w:p>
    <w:p w14:paraId="6B1D0367" w14:textId="77777777" w:rsidR="004C6E06" w:rsidRPr="004C6E06" w:rsidRDefault="00543F30" w:rsidP="004C6E06">
      <w:pPr>
        <w:ind w:firstLine="720"/>
        <w:jc w:val="both"/>
      </w:pPr>
      <w:r>
        <w:t>2</w:t>
      </w:r>
      <w:r w:rsidR="00BA582D">
        <w:t>4</w:t>
      </w:r>
      <w:r>
        <w:t>.</w:t>
      </w:r>
      <w:r w:rsidR="00BA582D">
        <w:t>3.</w:t>
      </w:r>
      <w:r>
        <w:t xml:space="preserve"> </w:t>
      </w:r>
      <w:r w:rsidRPr="00E5027E">
        <w:t>S</w:t>
      </w:r>
      <w:r w:rsidR="004C6E06" w:rsidRPr="004C6E06">
        <w:t xml:space="preserve">augios </w:t>
      </w:r>
      <w:r w:rsidR="004C6E06" w:rsidRPr="003F6335">
        <w:t>bendruomenės organizavimas ir užtikrinimas</w:t>
      </w:r>
      <w:r w:rsidRPr="003F6335">
        <w:t>.</w:t>
      </w:r>
    </w:p>
    <w:p w14:paraId="5318802D" w14:textId="77777777" w:rsidR="004C6E06" w:rsidRPr="004C6E06" w:rsidRDefault="00543F30" w:rsidP="004C6E06">
      <w:pPr>
        <w:ind w:firstLine="720"/>
        <w:jc w:val="both"/>
      </w:pPr>
      <w:r w:rsidRPr="00E5027E">
        <w:t>2</w:t>
      </w:r>
      <w:r w:rsidR="00BA582D">
        <w:t>4</w:t>
      </w:r>
      <w:r w:rsidRPr="00E5027E">
        <w:t>.</w:t>
      </w:r>
      <w:r w:rsidR="00BA582D">
        <w:t>4.</w:t>
      </w:r>
      <w:r w:rsidRPr="00E5027E">
        <w:t xml:space="preserve"> Sveikos gyvensenos formavimas.</w:t>
      </w:r>
    </w:p>
    <w:p w14:paraId="6DFA1EA1" w14:textId="77777777" w:rsidR="004C6E06" w:rsidRPr="004C6E06" w:rsidRDefault="00543F30" w:rsidP="004C6E06">
      <w:pPr>
        <w:ind w:firstLine="720"/>
        <w:jc w:val="both"/>
      </w:pPr>
      <w:r>
        <w:t>2</w:t>
      </w:r>
      <w:r w:rsidR="003F6335">
        <w:t>4</w:t>
      </w:r>
      <w:r>
        <w:t>.</w:t>
      </w:r>
      <w:r w:rsidR="003F6335">
        <w:t xml:space="preserve">5. </w:t>
      </w:r>
      <w:r>
        <w:t xml:space="preserve">Klaipėdos mieto gyventojų </w:t>
      </w:r>
      <w:r w:rsidR="003F6335">
        <w:t xml:space="preserve">(visuomenės) </w:t>
      </w:r>
      <w:r w:rsidR="004C6E06" w:rsidRPr="004C6E06">
        <w:t>informavimas sveikatos klausimais.</w:t>
      </w:r>
      <w:r>
        <w:t xml:space="preserve"> </w:t>
      </w:r>
    </w:p>
    <w:p w14:paraId="2F75EFFD" w14:textId="77777777" w:rsidR="004C6E06" w:rsidRPr="004C6E06" w:rsidRDefault="004C6E06" w:rsidP="004C6E06">
      <w:pPr>
        <w:jc w:val="center"/>
        <w:rPr>
          <w:b/>
        </w:rPr>
      </w:pPr>
    </w:p>
    <w:p w14:paraId="5A848D28" w14:textId="77777777" w:rsidR="004C6E06" w:rsidRPr="004C6E06" w:rsidRDefault="004C6E06" w:rsidP="004C6E06">
      <w:pPr>
        <w:jc w:val="center"/>
        <w:rPr>
          <w:b/>
        </w:rPr>
      </w:pPr>
      <w:r w:rsidRPr="004C6E06">
        <w:rPr>
          <w:b/>
        </w:rPr>
        <w:t>V SKYRIUS</w:t>
      </w:r>
    </w:p>
    <w:p w14:paraId="2A2825FA" w14:textId="6F99746F" w:rsidR="004C6E06" w:rsidRPr="004C6E06" w:rsidRDefault="00AC57BD" w:rsidP="004C6E06">
      <w:pPr>
        <w:jc w:val="center"/>
        <w:rPr>
          <w:b/>
        </w:rPr>
      </w:pPr>
      <w:r>
        <w:rPr>
          <w:b/>
        </w:rPr>
        <w:t>2023</w:t>
      </w:r>
      <w:r w:rsidR="004F5D54">
        <w:rPr>
          <w:b/>
        </w:rPr>
        <w:t>–</w:t>
      </w:r>
      <w:r>
        <w:rPr>
          <w:b/>
        </w:rPr>
        <w:t xml:space="preserve">2026 METŲ </w:t>
      </w:r>
      <w:r w:rsidR="004C6E06" w:rsidRPr="004C6E06">
        <w:rPr>
          <w:b/>
        </w:rPr>
        <w:t>PROGRAMOS PRIEMONĖS IR JŲ ĮGYVENDINIMAS</w:t>
      </w:r>
    </w:p>
    <w:p w14:paraId="6145B79E" w14:textId="77777777" w:rsidR="004C6E06" w:rsidRPr="004C6E06" w:rsidRDefault="004C6E06" w:rsidP="004C6E06">
      <w:pPr>
        <w:jc w:val="center"/>
        <w:rPr>
          <w:b/>
        </w:rPr>
      </w:pPr>
    </w:p>
    <w:p w14:paraId="4AA21365" w14:textId="77777777" w:rsidR="004C6E06" w:rsidRPr="004C6E06" w:rsidRDefault="00FB2610" w:rsidP="004C6E06">
      <w:pPr>
        <w:ind w:firstLine="702"/>
        <w:jc w:val="both"/>
      </w:pPr>
      <w:r>
        <w:rPr>
          <w:szCs w:val="20"/>
        </w:rPr>
        <w:t>2</w:t>
      </w:r>
      <w:r w:rsidR="007E0894">
        <w:rPr>
          <w:szCs w:val="20"/>
        </w:rPr>
        <w:t>5</w:t>
      </w:r>
      <w:r w:rsidR="004C6E06" w:rsidRPr="004C6E06">
        <w:t>. Programa sudaroma iš priemonių, skirtų įgyvendinti nustatytas prioritetines sveikatinimo sritis, ir priemonių, kurios yra  reikalingos Savivaldybės strateginio veiklos plano Sveikatos apsaugos programos uždaviniams įgyvendinti.</w:t>
      </w:r>
    </w:p>
    <w:p w14:paraId="46CEF237" w14:textId="77777777" w:rsidR="004C6E06" w:rsidRPr="004C6E06" w:rsidRDefault="002E5F2C" w:rsidP="004C6E06">
      <w:pPr>
        <w:ind w:firstLine="720"/>
        <w:jc w:val="both"/>
      </w:pPr>
      <w:r>
        <w:t>26</w:t>
      </w:r>
      <w:r w:rsidR="004C6E06" w:rsidRPr="004C6E06">
        <w:t>. Programos  prioritetines</w:t>
      </w:r>
      <w:r w:rsidR="00AC57BD">
        <w:t xml:space="preserve"> sveikatinimo sritis nustato </w:t>
      </w:r>
      <w:r w:rsidR="00D90FDF">
        <w:t>BST</w:t>
      </w:r>
      <w:r w:rsidR="004C6E06" w:rsidRPr="004C6E06">
        <w:t xml:space="preserve"> ir jos įtraukiamos į Savivaldybės strateginį veiklos planą, kurį tvirtina </w:t>
      </w:r>
      <w:r w:rsidR="00CB5432">
        <w:t>Klaipėdos miesto savivaldybės taryba</w:t>
      </w:r>
      <w:r w:rsidR="004C6E06" w:rsidRPr="004C6E06">
        <w:t>.</w:t>
      </w:r>
    </w:p>
    <w:p w14:paraId="0C2F10BC" w14:textId="77777777" w:rsidR="004C6E06" w:rsidRPr="004C6E06" w:rsidRDefault="002E5F2C" w:rsidP="004C6E06">
      <w:pPr>
        <w:ind w:firstLine="720"/>
        <w:jc w:val="both"/>
        <w:rPr>
          <w:bCs/>
        </w:rPr>
      </w:pPr>
      <w:r w:rsidRPr="00A51F63">
        <w:t>27</w:t>
      </w:r>
      <w:r w:rsidR="004C6E06" w:rsidRPr="00A51F63">
        <w:t xml:space="preserve">. </w:t>
      </w:r>
      <w:r w:rsidR="004C6E06" w:rsidRPr="005D2E12">
        <w:t>Savivaldybės administracijos direktorius, atsižvelgdamas į Programos prioritetines sritis ir Programai skirtas lėšas, pritarus BST, kasmet</w:t>
      </w:r>
      <w:r w:rsidR="004C6E06" w:rsidRPr="00A51F63">
        <w:t xml:space="preserve"> įsakymu tvirtina konkrečias Programos priemones, jų vykdytojus ir lėšų paskirstymą ne vėliau kaip per mėnesį po Savivaldybės biudžeto patvirtinimo.</w:t>
      </w:r>
      <w:r w:rsidR="004C6E06" w:rsidRPr="004C6E06">
        <w:rPr>
          <w:bCs/>
        </w:rPr>
        <w:t xml:space="preserve"> </w:t>
      </w:r>
    </w:p>
    <w:p w14:paraId="04A1AD3B" w14:textId="77777777" w:rsidR="004C6E06" w:rsidRPr="004C6E06" w:rsidRDefault="002E5F2C" w:rsidP="004C6E06">
      <w:pPr>
        <w:ind w:firstLine="720"/>
        <w:jc w:val="both"/>
      </w:pPr>
      <w:r w:rsidRPr="003E6D3E">
        <w:t>28</w:t>
      </w:r>
      <w:r w:rsidR="004C6E06" w:rsidRPr="003E6D3E">
        <w:t xml:space="preserve">. </w:t>
      </w:r>
      <w:r w:rsidR="004C6E06" w:rsidRPr="003E6D3E">
        <w:rPr>
          <w:bCs/>
        </w:rPr>
        <w:t xml:space="preserve">Programa įgyvendinama vadovaujantis </w:t>
      </w:r>
      <w:r w:rsidR="004C6E06" w:rsidRPr="003E6D3E">
        <w:t xml:space="preserve">Savivaldybės visuomenės sveikatos rėmimo specialiosios programos sudarymo ir vykdymo tvarkos aprašu, patvirtintu </w:t>
      </w:r>
      <w:r w:rsidR="004C6E06" w:rsidRPr="005D2E12">
        <w:t>Savivaldybės administracijos direktoriaus įsakymu.</w:t>
      </w:r>
    </w:p>
    <w:p w14:paraId="497F5500" w14:textId="77777777" w:rsidR="004C6E06" w:rsidRPr="004C6E06" w:rsidRDefault="002E5F2C" w:rsidP="004C6E06">
      <w:pPr>
        <w:ind w:firstLine="720"/>
        <w:jc w:val="both"/>
      </w:pPr>
      <w:r>
        <w:t>29</w:t>
      </w:r>
      <w:r w:rsidR="004C6E06" w:rsidRPr="004C6E06">
        <w:t>. Programos lėšos naudojamos Programos priemonėms finansuoti ir remti (iš dalies finansuoti).</w:t>
      </w:r>
    </w:p>
    <w:p w14:paraId="34ECAD0E" w14:textId="77777777" w:rsidR="004C6E06" w:rsidRPr="004C6E06" w:rsidRDefault="00FB2610" w:rsidP="004C6E06">
      <w:pPr>
        <w:suppressAutoHyphens/>
        <w:ind w:firstLine="702"/>
        <w:jc w:val="both"/>
        <w:rPr>
          <w:szCs w:val="20"/>
        </w:rPr>
      </w:pPr>
      <w:r>
        <w:rPr>
          <w:szCs w:val="20"/>
        </w:rPr>
        <w:t>3</w:t>
      </w:r>
      <w:r w:rsidR="002E5F2C">
        <w:rPr>
          <w:szCs w:val="20"/>
        </w:rPr>
        <w:t>0</w:t>
      </w:r>
      <w:r w:rsidR="004C6E06" w:rsidRPr="004C6E06">
        <w:rPr>
          <w:szCs w:val="20"/>
        </w:rPr>
        <w:t>. Programos įgyvendinimą organizuoja Sveikatos apsaugos skyrius.</w:t>
      </w:r>
    </w:p>
    <w:p w14:paraId="76B7B392" w14:textId="77777777" w:rsidR="004C6E06" w:rsidRPr="004C6E06" w:rsidRDefault="004C6E06" w:rsidP="004C6E06">
      <w:pPr>
        <w:suppressAutoHyphens/>
        <w:jc w:val="both"/>
      </w:pPr>
    </w:p>
    <w:p w14:paraId="0070DECE" w14:textId="77777777" w:rsidR="00AE4E10" w:rsidRDefault="00AE4E10" w:rsidP="004C6E06">
      <w:pPr>
        <w:jc w:val="center"/>
        <w:rPr>
          <w:b/>
        </w:rPr>
      </w:pPr>
    </w:p>
    <w:p w14:paraId="05203492" w14:textId="77777777" w:rsidR="004C6E06" w:rsidRPr="004C6E06" w:rsidRDefault="004C6E06" w:rsidP="004C6E06">
      <w:pPr>
        <w:jc w:val="center"/>
        <w:rPr>
          <w:b/>
        </w:rPr>
      </w:pPr>
      <w:r w:rsidRPr="004C6E06">
        <w:rPr>
          <w:b/>
        </w:rPr>
        <w:t>VI SKYRIUS</w:t>
      </w:r>
    </w:p>
    <w:p w14:paraId="3F8D6D34" w14:textId="4DDDBFB9" w:rsidR="004C6E06" w:rsidRPr="004C6E06" w:rsidRDefault="00123291" w:rsidP="004C6E06">
      <w:pPr>
        <w:jc w:val="center"/>
        <w:rPr>
          <w:b/>
        </w:rPr>
      </w:pPr>
      <w:r>
        <w:rPr>
          <w:b/>
        </w:rPr>
        <w:t>2023</w:t>
      </w:r>
      <w:r w:rsidR="004F5D54">
        <w:rPr>
          <w:b/>
        </w:rPr>
        <w:t>–</w:t>
      </w:r>
      <w:r>
        <w:rPr>
          <w:b/>
        </w:rPr>
        <w:t xml:space="preserve">2026 METŲ </w:t>
      </w:r>
      <w:r w:rsidR="004C6E06" w:rsidRPr="004C6E06">
        <w:rPr>
          <w:b/>
        </w:rPr>
        <w:t>PROGRAMOS VERTINIMO KRITERIJAI</w:t>
      </w:r>
    </w:p>
    <w:p w14:paraId="2FA330A7" w14:textId="77777777" w:rsidR="004C6E06" w:rsidRPr="004C6E06" w:rsidRDefault="004C6E06" w:rsidP="004C6E06">
      <w:pPr>
        <w:ind w:firstLine="720"/>
        <w:jc w:val="both"/>
      </w:pPr>
    </w:p>
    <w:p w14:paraId="228E3935" w14:textId="77777777" w:rsidR="004C6E06" w:rsidRPr="00406952" w:rsidRDefault="003B2CB9" w:rsidP="004C6E06">
      <w:pPr>
        <w:ind w:firstLine="720"/>
        <w:jc w:val="both"/>
      </w:pPr>
      <w:r w:rsidRPr="00406952">
        <w:t>3</w:t>
      </w:r>
      <w:r w:rsidR="002E5F2C">
        <w:t>1</w:t>
      </w:r>
      <w:r w:rsidR="004C6E06" w:rsidRPr="00406952">
        <w:t>. Produkto kriterijai:</w:t>
      </w:r>
    </w:p>
    <w:p w14:paraId="4535651E" w14:textId="77777777" w:rsidR="004C6E06" w:rsidRPr="003F575F" w:rsidRDefault="003B2CB9" w:rsidP="004C6E06">
      <w:pPr>
        <w:ind w:firstLine="720"/>
        <w:jc w:val="both"/>
      </w:pPr>
      <w:r w:rsidRPr="003F575F">
        <w:t>3</w:t>
      </w:r>
      <w:r w:rsidR="0045493D">
        <w:t>1</w:t>
      </w:r>
      <w:r w:rsidR="004C6E06" w:rsidRPr="003F575F">
        <w:t>.1. tikslinių grupių, dalyvaujančių įgyvendinant sveikatos priemones, rūšys ir skaičius;</w:t>
      </w:r>
    </w:p>
    <w:p w14:paraId="2C7518F3" w14:textId="77777777" w:rsidR="004C6E06" w:rsidRPr="003F575F" w:rsidRDefault="003B2CB9" w:rsidP="004C6E06">
      <w:pPr>
        <w:ind w:firstLine="720"/>
        <w:jc w:val="both"/>
      </w:pPr>
      <w:r w:rsidRPr="003F575F">
        <w:t>3</w:t>
      </w:r>
      <w:r w:rsidR="0045493D">
        <w:t>1</w:t>
      </w:r>
      <w:r w:rsidR="004C6E06" w:rsidRPr="003F575F">
        <w:t>.2. suteiktų konsultacijų rizikos grupių asmenims skaičius;</w:t>
      </w:r>
    </w:p>
    <w:p w14:paraId="234AEF15" w14:textId="77777777" w:rsidR="004C6E06" w:rsidRPr="003F575F" w:rsidRDefault="003B2CB9" w:rsidP="004C6E06">
      <w:pPr>
        <w:ind w:firstLine="720"/>
        <w:jc w:val="both"/>
      </w:pPr>
      <w:r w:rsidRPr="003F575F">
        <w:t>3</w:t>
      </w:r>
      <w:r w:rsidR="0045493D">
        <w:t>1</w:t>
      </w:r>
      <w:r w:rsidR="004C6E06" w:rsidRPr="003F575F">
        <w:t>.3. suteiktų rizikos grupių asmenims apsaugos ir higienos priemonių skaičius;</w:t>
      </w:r>
    </w:p>
    <w:p w14:paraId="0CC2B314" w14:textId="77777777" w:rsidR="004C6E06" w:rsidRPr="003F575F" w:rsidRDefault="003B2CB9" w:rsidP="004C6E06">
      <w:pPr>
        <w:ind w:firstLine="720"/>
        <w:jc w:val="both"/>
      </w:pPr>
      <w:r w:rsidRPr="003F575F">
        <w:t>3</w:t>
      </w:r>
      <w:r w:rsidR="0045493D">
        <w:t>1</w:t>
      </w:r>
      <w:r w:rsidR="004C6E06" w:rsidRPr="003F575F">
        <w:t>.4. įgyvendintų ugdymo priemonių skaičius;</w:t>
      </w:r>
    </w:p>
    <w:p w14:paraId="245CAD75" w14:textId="77777777" w:rsidR="004C6E06" w:rsidRPr="003F575F" w:rsidRDefault="003B2CB9" w:rsidP="004C6E06">
      <w:pPr>
        <w:ind w:firstLine="720"/>
        <w:jc w:val="both"/>
      </w:pPr>
      <w:r w:rsidRPr="003F575F">
        <w:t>3</w:t>
      </w:r>
      <w:r w:rsidR="0045493D">
        <w:t>1</w:t>
      </w:r>
      <w:r w:rsidR="004C6E06" w:rsidRPr="003F575F">
        <w:t xml:space="preserve">.5. parengtų ir išplatintų </w:t>
      </w:r>
      <w:r w:rsidR="004C6E06" w:rsidRPr="003F575F">
        <w:rPr>
          <w:bCs/>
        </w:rPr>
        <w:t>visuomenės informavimo sveikatos klausimais</w:t>
      </w:r>
      <w:r w:rsidR="004C6E06" w:rsidRPr="003F575F">
        <w:t xml:space="preserve"> priemonių skaičius;</w:t>
      </w:r>
    </w:p>
    <w:p w14:paraId="127714E8" w14:textId="77777777" w:rsidR="004C6E06" w:rsidRPr="003F575F" w:rsidRDefault="003B2CB9" w:rsidP="004C6E06">
      <w:pPr>
        <w:ind w:firstLine="720"/>
        <w:jc w:val="both"/>
      </w:pPr>
      <w:r w:rsidRPr="003F575F">
        <w:t>3</w:t>
      </w:r>
      <w:r w:rsidR="0045493D">
        <w:t>1</w:t>
      </w:r>
      <w:r w:rsidR="004C6E06" w:rsidRPr="003F575F">
        <w:t>.6. sveikatinimo veiklų trukmė (val.);</w:t>
      </w:r>
    </w:p>
    <w:p w14:paraId="7D69D2FB" w14:textId="77777777" w:rsidR="004C6E06" w:rsidRPr="003F575F" w:rsidRDefault="003B2CB9" w:rsidP="004C6E06">
      <w:pPr>
        <w:ind w:firstLine="720"/>
        <w:jc w:val="both"/>
      </w:pPr>
      <w:r w:rsidRPr="003F575F">
        <w:t>3</w:t>
      </w:r>
      <w:r w:rsidR="0045493D">
        <w:t>1</w:t>
      </w:r>
      <w:r w:rsidR="004C6E06" w:rsidRPr="003F575F">
        <w:t xml:space="preserve">.7. </w:t>
      </w:r>
      <w:r w:rsidR="004C6E06" w:rsidRPr="003F575F">
        <w:rPr>
          <w:bCs/>
          <w:szCs w:val="20"/>
        </w:rPr>
        <w:t xml:space="preserve">anoniminės emocinės pagalbos teikimo </w:t>
      </w:r>
      <w:r w:rsidR="004C6E06" w:rsidRPr="003F575F">
        <w:t>trukmė (val.);</w:t>
      </w:r>
    </w:p>
    <w:p w14:paraId="5FCFEB0E" w14:textId="77777777" w:rsidR="004C6E06" w:rsidRPr="003F575F" w:rsidRDefault="003B2CB9" w:rsidP="004C6E06">
      <w:pPr>
        <w:ind w:firstLine="720"/>
        <w:jc w:val="both"/>
      </w:pPr>
      <w:r w:rsidRPr="003F575F">
        <w:t>3</w:t>
      </w:r>
      <w:r w:rsidR="0045493D">
        <w:t>1</w:t>
      </w:r>
      <w:r w:rsidR="004C6E06" w:rsidRPr="003F575F">
        <w:t>.8. profilaktiškai patikrintų asmenų (pagal tikslines grupes) skaičius;</w:t>
      </w:r>
    </w:p>
    <w:p w14:paraId="46796C4D" w14:textId="77777777" w:rsidR="004C6E06" w:rsidRPr="0045493D" w:rsidRDefault="003B2CB9" w:rsidP="0045493D">
      <w:pPr>
        <w:ind w:firstLine="720"/>
        <w:jc w:val="both"/>
      </w:pPr>
      <w:r w:rsidRPr="003F575F">
        <w:t>3</w:t>
      </w:r>
      <w:r w:rsidR="0045493D">
        <w:t>1</w:t>
      </w:r>
      <w:r w:rsidR="004C6E06" w:rsidRPr="003F575F">
        <w:t>.9.</w:t>
      </w:r>
      <w:r w:rsidR="004C6E06" w:rsidRPr="003F575F">
        <w:rPr>
          <w:bCs/>
        </w:rPr>
        <w:t xml:space="preserve"> asociacijų, dalyvaujančių įgyvendinant sveikatinimo programas, skaičius;</w:t>
      </w:r>
    </w:p>
    <w:p w14:paraId="3B3C953F" w14:textId="77777777" w:rsidR="004C6E06" w:rsidRPr="00406952" w:rsidRDefault="003B2CB9" w:rsidP="004C6E06">
      <w:pPr>
        <w:ind w:firstLine="720"/>
        <w:jc w:val="both"/>
      </w:pPr>
      <w:r w:rsidRPr="00406952">
        <w:t>3</w:t>
      </w:r>
      <w:r w:rsidR="0045493D">
        <w:t>2</w:t>
      </w:r>
      <w:r w:rsidR="004C6E06" w:rsidRPr="00406952">
        <w:t>. Rezultato vertinimo kriterijai:</w:t>
      </w:r>
    </w:p>
    <w:p w14:paraId="1E367279" w14:textId="77777777" w:rsidR="004C6E06" w:rsidRPr="003F575F" w:rsidRDefault="003B2CB9" w:rsidP="004C6E06">
      <w:pPr>
        <w:ind w:firstLine="720"/>
        <w:jc w:val="both"/>
      </w:pPr>
      <w:r w:rsidRPr="003F575F">
        <w:t>3</w:t>
      </w:r>
      <w:r w:rsidR="00AF08D2">
        <w:t>2</w:t>
      </w:r>
      <w:r w:rsidR="004C6E06" w:rsidRPr="003F575F">
        <w:t>.1. pagerėjusios gyventojų žinios apie sveikos gyvensenos principus (proc.) (didėjantis rodiklis);</w:t>
      </w:r>
    </w:p>
    <w:p w14:paraId="29D2449B" w14:textId="77777777" w:rsidR="004C6E06" w:rsidRPr="003F575F" w:rsidRDefault="003B2CB9" w:rsidP="004C6E06">
      <w:pPr>
        <w:ind w:firstLine="720"/>
        <w:jc w:val="both"/>
      </w:pPr>
      <w:r w:rsidRPr="003F575F">
        <w:t>3</w:t>
      </w:r>
      <w:r w:rsidR="00F05684">
        <w:t>2</w:t>
      </w:r>
      <w:r w:rsidR="004C6E06" w:rsidRPr="003F575F">
        <w:t>.2. sustiprėję gyventojų sveikos gyvensenos įgūdžiai:</w:t>
      </w:r>
    </w:p>
    <w:p w14:paraId="029EAE14" w14:textId="77777777" w:rsidR="004C6E06" w:rsidRPr="003F575F" w:rsidRDefault="003B2CB9" w:rsidP="004C6E06">
      <w:pPr>
        <w:ind w:firstLine="720"/>
        <w:jc w:val="both"/>
      </w:pPr>
      <w:r w:rsidRPr="003F575F">
        <w:t>3</w:t>
      </w:r>
      <w:r w:rsidR="00F05684">
        <w:t>2</w:t>
      </w:r>
      <w:r w:rsidR="004C6E06" w:rsidRPr="003F575F">
        <w:t>.2.1. fizinio aktyvumo (gyventojų proc.; val.) didėjantis rodiklis</w:t>
      </w:r>
      <w:r w:rsidR="004C6E06" w:rsidRPr="003F575F">
        <w:rPr>
          <w:sz w:val="20"/>
          <w:szCs w:val="20"/>
        </w:rPr>
        <w:t>;</w:t>
      </w:r>
    </w:p>
    <w:p w14:paraId="1C88D87C" w14:textId="77777777" w:rsidR="004C6E06" w:rsidRPr="003F575F" w:rsidRDefault="003B2CB9" w:rsidP="004C6E06">
      <w:pPr>
        <w:ind w:firstLine="720"/>
        <w:jc w:val="both"/>
      </w:pPr>
      <w:r w:rsidRPr="003F575F">
        <w:t>3</w:t>
      </w:r>
      <w:r w:rsidR="00F05684">
        <w:t>2</w:t>
      </w:r>
      <w:r w:rsidR="004C6E06" w:rsidRPr="003F575F">
        <w:t>.2.2. sveikatai žalingų įpročių (rūkymo, alkoholio vartojimo ir kt.) atsisakymo (gyventojų proc. pagal žalingų įpročių rūšis) didėjantis rodiklis;</w:t>
      </w:r>
    </w:p>
    <w:p w14:paraId="48E5CEC3" w14:textId="77777777" w:rsidR="004C6E06" w:rsidRPr="003F575F" w:rsidRDefault="003B2CB9" w:rsidP="004C6E06">
      <w:pPr>
        <w:ind w:firstLine="720"/>
        <w:jc w:val="both"/>
      </w:pPr>
      <w:r w:rsidRPr="003F575F">
        <w:t>3</w:t>
      </w:r>
      <w:r w:rsidR="00F05684">
        <w:t>2</w:t>
      </w:r>
      <w:r w:rsidR="004C6E06" w:rsidRPr="003F575F">
        <w:t>.2.3. sveikos mitybos (gyventojų proc.) didėjantis rodiklis;</w:t>
      </w:r>
    </w:p>
    <w:p w14:paraId="3339E4C9" w14:textId="77777777" w:rsidR="004C6E06" w:rsidRPr="003F575F" w:rsidRDefault="003B2CB9" w:rsidP="004C6E06">
      <w:pPr>
        <w:ind w:firstLine="720"/>
        <w:jc w:val="both"/>
      </w:pPr>
      <w:r w:rsidRPr="003F575F">
        <w:t>3</w:t>
      </w:r>
      <w:r w:rsidR="00F05684">
        <w:t>2</w:t>
      </w:r>
      <w:r w:rsidR="004C6E06" w:rsidRPr="003F575F">
        <w:t>.2.4. teigiamas emocinės sveikatos vertinimas (gyventojų proc.) didėjantis rodiklis.</w:t>
      </w:r>
    </w:p>
    <w:p w14:paraId="4F0AB39B" w14:textId="77777777" w:rsidR="004C6E06" w:rsidRPr="004C6E06" w:rsidRDefault="004C6E06" w:rsidP="004C6E06">
      <w:pPr>
        <w:rPr>
          <w:b/>
          <w:color w:val="FF0000"/>
        </w:rPr>
      </w:pPr>
    </w:p>
    <w:p w14:paraId="6899312D" w14:textId="77777777" w:rsidR="004C6E06" w:rsidRPr="004C6E06" w:rsidRDefault="004C6E06" w:rsidP="004C6E06">
      <w:pPr>
        <w:jc w:val="center"/>
        <w:rPr>
          <w:b/>
        </w:rPr>
      </w:pPr>
      <w:r w:rsidRPr="004C6E06">
        <w:rPr>
          <w:b/>
        </w:rPr>
        <w:t>VII SKYRIUS</w:t>
      </w:r>
    </w:p>
    <w:p w14:paraId="58006C74" w14:textId="588DFE19" w:rsidR="004C6E06" w:rsidRPr="004C6E06" w:rsidRDefault="002A2F29" w:rsidP="004C6E06">
      <w:pPr>
        <w:jc w:val="center"/>
        <w:rPr>
          <w:b/>
        </w:rPr>
      </w:pPr>
      <w:r>
        <w:rPr>
          <w:b/>
        </w:rPr>
        <w:t>2023</w:t>
      </w:r>
      <w:r w:rsidR="004F5D54">
        <w:rPr>
          <w:b/>
        </w:rPr>
        <w:t>–</w:t>
      </w:r>
      <w:r>
        <w:rPr>
          <w:b/>
        </w:rPr>
        <w:t xml:space="preserve">2026 METŲ </w:t>
      </w:r>
      <w:r w:rsidR="004C6E06" w:rsidRPr="004C6E06">
        <w:rPr>
          <w:b/>
        </w:rPr>
        <w:t>PROGRAMOS FINANSAVIMO ŠALTINIAI</w:t>
      </w:r>
    </w:p>
    <w:p w14:paraId="234D8791" w14:textId="77777777" w:rsidR="004C6E06" w:rsidRPr="004C6E06" w:rsidRDefault="004C6E06" w:rsidP="004C6E06">
      <w:pPr>
        <w:ind w:firstLine="720"/>
        <w:jc w:val="both"/>
      </w:pPr>
    </w:p>
    <w:p w14:paraId="70568EF4" w14:textId="77777777" w:rsidR="007E3316" w:rsidRDefault="002A2F29" w:rsidP="004C6E06">
      <w:pPr>
        <w:ind w:firstLine="709"/>
        <w:jc w:val="both"/>
      </w:pPr>
      <w:r>
        <w:t>3</w:t>
      </w:r>
      <w:r w:rsidR="007E3316">
        <w:t>3</w:t>
      </w:r>
      <w:r>
        <w:t>.</w:t>
      </w:r>
      <w:r w:rsidR="004C6E06" w:rsidRPr="004C6E06">
        <w:t xml:space="preserve"> </w:t>
      </w:r>
      <w:r w:rsidR="007E3316" w:rsidRPr="007E3316">
        <w:t>Programos lėšų finansavimo šaltiniai:</w:t>
      </w:r>
    </w:p>
    <w:p w14:paraId="43B71935" w14:textId="48DA6697" w:rsidR="004C6E06" w:rsidRPr="004C6E06" w:rsidRDefault="00541D3B" w:rsidP="004C6E06">
      <w:pPr>
        <w:ind w:firstLine="709"/>
        <w:jc w:val="both"/>
      </w:pPr>
      <w:r>
        <w:t xml:space="preserve">33.1. </w:t>
      </w:r>
      <w:r w:rsidR="004C6E06" w:rsidRPr="004C6E06">
        <w:t>Sa</w:t>
      </w:r>
      <w:r w:rsidR="002A2F29">
        <w:t>vivaldybės biudžeto asignavimai</w:t>
      </w:r>
      <w:r w:rsidR="004F5D54">
        <w:t>;</w:t>
      </w:r>
    </w:p>
    <w:p w14:paraId="624ED5C0" w14:textId="46845F9C" w:rsidR="004C6E06" w:rsidRPr="004C6E06" w:rsidRDefault="003B2CB9" w:rsidP="004C6E06">
      <w:pPr>
        <w:ind w:firstLine="709"/>
        <w:jc w:val="both"/>
      </w:pPr>
      <w:r>
        <w:t>3</w:t>
      </w:r>
      <w:r w:rsidR="00541D3B">
        <w:t>3</w:t>
      </w:r>
      <w:r w:rsidR="002A2F29">
        <w:t>.</w:t>
      </w:r>
      <w:r w:rsidR="00541D3B">
        <w:t>2.</w:t>
      </w:r>
      <w:r w:rsidR="002A2F29">
        <w:t xml:space="preserve"> </w:t>
      </w:r>
      <w:r w:rsidR="004F5D54">
        <w:t>s</w:t>
      </w:r>
      <w:r w:rsidR="004C6E06" w:rsidRPr="004C6E06">
        <w:t>avanoriškos fiz</w:t>
      </w:r>
      <w:r w:rsidR="002A2F29">
        <w:t>inių ir juridinių asmenų įmokos.</w:t>
      </w:r>
    </w:p>
    <w:p w14:paraId="056B1C3E" w14:textId="77777777" w:rsidR="004C6E06" w:rsidRPr="004C6E06" w:rsidRDefault="00541D3B" w:rsidP="004C6E06">
      <w:pPr>
        <w:ind w:firstLine="709"/>
        <w:jc w:val="both"/>
      </w:pPr>
      <w:r>
        <w:t>33.3</w:t>
      </w:r>
      <w:r w:rsidR="004C6E06" w:rsidRPr="004C6E06">
        <w:t>. 20 procentų savivaldybių aplinkos apsaugos rėmimo specialiosios programos lėšų;</w:t>
      </w:r>
    </w:p>
    <w:p w14:paraId="792722CE" w14:textId="534D015C" w:rsidR="004C6E06" w:rsidRPr="004C6E06" w:rsidRDefault="00541D3B" w:rsidP="004C6E06">
      <w:pPr>
        <w:ind w:firstLine="709"/>
        <w:jc w:val="both"/>
      </w:pPr>
      <w:r>
        <w:t>33</w:t>
      </w:r>
      <w:r w:rsidR="005321E6" w:rsidRPr="00F14BDD">
        <w:t>.</w:t>
      </w:r>
      <w:r>
        <w:t>4.</w:t>
      </w:r>
      <w:r w:rsidR="005321E6" w:rsidRPr="00F14BDD">
        <w:t xml:space="preserve"> </w:t>
      </w:r>
      <w:r w:rsidR="004F5D54">
        <w:t>k</w:t>
      </w:r>
      <w:r w:rsidR="004C6E06" w:rsidRPr="00F14BDD">
        <w:t>itos teisėtai įgytos lėšos.</w:t>
      </w:r>
    </w:p>
    <w:p w14:paraId="6D6F2016" w14:textId="77777777" w:rsidR="004C6E06" w:rsidRPr="004C6E06" w:rsidRDefault="004C6E06" w:rsidP="004C6E06">
      <w:pPr>
        <w:jc w:val="center"/>
      </w:pPr>
    </w:p>
    <w:p w14:paraId="5B2ED185" w14:textId="77777777" w:rsidR="004C6E06" w:rsidRPr="004C6E06" w:rsidRDefault="004C6E06" w:rsidP="004C6E06">
      <w:pPr>
        <w:jc w:val="center"/>
        <w:rPr>
          <w:b/>
        </w:rPr>
      </w:pPr>
      <w:r w:rsidRPr="004C6E06">
        <w:rPr>
          <w:b/>
        </w:rPr>
        <w:t>VIII SKYRIUS</w:t>
      </w:r>
    </w:p>
    <w:p w14:paraId="2E28B9F4" w14:textId="6BDD7155" w:rsidR="004C6E06" w:rsidRPr="004C6E06" w:rsidRDefault="004C6E06" w:rsidP="004C6E06">
      <w:pPr>
        <w:jc w:val="center"/>
        <w:rPr>
          <w:b/>
        </w:rPr>
      </w:pPr>
      <w:r w:rsidRPr="004C6E06">
        <w:rPr>
          <w:b/>
        </w:rPr>
        <w:t xml:space="preserve">LAUKIAMI </w:t>
      </w:r>
      <w:r w:rsidR="003B2CB9">
        <w:rPr>
          <w:b/>
        </w:rPr>
        <w:t>2023</w:t>
      </w:r>
      <w:r w:rsidR="004F5D54">
        <w:rPr>
          <w:b/>
        </w:rPr>
        <w:t>–</w:t>
      </w:r>
      <w:r w:rsidR="003B2CB9">
        <w:rPr>
          <w:b/>
        </w:rPr>
        <w:t xml:space="preserve">2026 METŲ </w:t>
      </w:r>
      <w:r w:rsidRPr="004C6E06">
        <w:rPr>
          <w:b/>
        </w:rPr>
        <w:t>PROGRAMOS REZULTATAI</w:t>
      </w:r>
    </w:p>
    <w:p w14:paraId="6B7288ED" w14:textId="77777777" w:rsidR="004C6E06" w:rsidRPr="004C6E06" w:rsidRDefault="004C6E06" w:rsidP="004C6E06">
      <w:pPr>
        <w:ind w:firstLine="720"/>
        <w:jc w:val="both"/>
      </w:pPr>
    </w:p>
    <w:p w14:paraId="23FBCA49" w14:textId="77777777" w:rsidR="004C6E06" w:rsidRPr="004C6E06" w:rsidRDefault="00541D3B" w:rsidP="004C6E06">
      <w:pPr>
        <w:ind w:firstLine="720"/>
        <w:jc w:val="both"/>
      </w:pPr>
      <w:r>
        <w:t>34</w:t>
      </w:r>
      <w:r w:rsidR="004C6E06" w:rsidRPr="004C6E06">
        <w:t>. Pagal Programos priemones atliekami visuomen</w:t>
      </w:r>
      <w:r w:rsidR="004C6E06" w:rsidRPr="004C6E06">
        <w:rPr>
          <w:rFonts w:ascii="TimesNewRoman" w:hAnsi="TimesNewRoman" w:cs="TimesNewRoman"/>
        </w:rPr>
        <w:t>ė</w:t>
      </w:r>
      <w:r w:rsidR="004C6E06" w:rsidRPr="004C6E06">
        <w:t xml:space="preserve">s sveikatos tyrimai, </w:t>
      </w:r>
      <w:r w:rsidR="004C6E06" w:rsidRPr="004C6E06">
        <w:rPr>
          <w:rFonts w:ascii="TimesNewRoman" w:hAnsi="TimesNewRoman" w:cs="TimesNewRoman"/>
        </w:rPr>
        <w:t>į</w:t>
      </w:r>
      <w:r w:rsidR="004C6E06" w:rsidRPr="004C6E06">
        <w:t>vertinant:</w:t>
      </w:r>
    </w:p>
    <w:p w14:paraId="0D8C1270" w14:textId="77777777" w:rsidR="004C6E06" w:rsidRPr="004C6E06" w:rsidRDefault="00541D3B" w:rsidP="004C6E06">
      <w:pPr>
        <w:autoSpaceDE w:val="0"/>
        <w:autoSpaceDN w:val="0"/>
        <w:adjustRightInd w:val="0"/>
        <w:ind w:firstLine="720"/>
        <w:jc w:val="both"/>
      </w:pPr>
      <w:r>
        <w:t>34</w:t>
      </w:r>
      <w:r w:rsidR="004C6E06" w:rsidRPr="004C6E06">
        <w:t xml:space="preserve">.1. Klaipėdos miesto gyventojų sveikos gyvensenos žinių </w:t>
      </w:r>
      <w:r>
        <w:t xml:space="preserve">ir sveikatos raštingumo </w:t>
      </w:r>
      <w:r w:rsidR="004C6E06" w:rsidRPr="004C6E06">
        <w:t>pokyčius;</w:t>
      </w:r>
    </w:p>
    <w:p w14:paraId="51AC03D7" w14:textId="77777777" w:rsidR="004C6E06" w:rsidRPr="004C6E06" w:rsidRDefault="00541D3B" w:rsidP="004C6E06">
      <w:pPr>
        <w:autoSpaceDE w:val="0"/>
        <w:autoSpaceDN w:val="0"/>
        <w:adjustRightInd w:val="0"/>
        <w:ind w:firstLine="720"/>
        <w:jc w:val="both"/>
      </w:pPr>
      <w:r>
        <w:rPr>
          <w:rFonts w:eastAsia="ArialMT"/>
        </w:rPr>
        <w:t>34</w:t>
      </w:r>
      <w:r w:rsidR="004C6E06" w:rsidRPr="004C6E06">
        <w:rPr>
          <w:rFonts w:eastAsia="ArialMT"/>
        </w:rPr>
        <w:t xml:space="preserve">.2. </w:t>
      </w:r>
      <w:r w:rsidR="004C6E06" w:rsidRPr="004C6E06">
        <w:t xml:space="preserve">Klaipėdos miesto gyventojų </w:t>
      </w:r>
      <w:r w:rsidR="004C6E06" w:rsidRPr="004C6E06">
        <w:rPr>
          <w:rFonts w:eastAsia="ArialMT"/>
        </w:rPr>
        <w:t>elgsenos</w:t>
      </w:r>
      <w:r w:rsidR="004C6E06" w:rsidRPr="004C6E06">
        <w:t xml:space="preserve"> sveikos gyvensenos klausimais pokyčius</w:t>
      </w:r>
      <w:r w:rsidR="004C6E06" w:rsidRPr="004C6E06">
        <w:rPr>
          <w:rFonts w:eastAsia="ArialMT"/>
        </w:rPr>
        <w:t>;</w:t>
      </w:r>
    </w:p>
    <w:p w14:paraId="4F1C2EF0" w14:textId="77777777" w:rsidR="004C6E06" w:rsidRPr="004C6E06" w:rsidRDefault="00541D3B" w:rsidP="004C6E06">
      <w:pPr>
        <w:autoSpaceDE w:val="0"/>
        <w:autoSpaceDN w:val="0"/>
        <w:adjustRightInd w:val="0"/>
        <w:ind w:firstLine="720"/>
        <w:jc w:val="both"/>
      </w:pPr>
      <w:r>
        <w:t>34</w:t>
      </w:r>
      <w:r w:rsidR="004C6E06" w:rsidRPr="004C6E06">
        <w:t xml:space="preserve">.3. </w:t>
      </w:r>
      <w:r w:rsidR="004C6E06" w:rsidRPr="004C6E06">
        <w:rPr>
          <w:rFonts w:eastAsia="ArialMT"/>
        </w:rPr>
        <w:t xml:space="preserve">rizikos veiksnių paplitimo sumažėjimo mastą </w:t>
      </w:r>
      <w:r w:rsidR="004C6E06" w:rsidRPr="004C6E06">
        <w:t>tarp Klaipėdos miesto gyventojų.</w:t>
      </w:r>
    </w:p>
    <w:p w14:paraId="0741933E" w14:textId="77777777" w:rsidR="004C6E06" w:rsidRPr="004C6E06" w:rsidRDefault="004C6E06" w:rsidP="004C6E06">
      <w:pPr>
        <w:jc w:val="center"/>
        <w:rPr>
          <w:b/>
        </w:rPr>
      </w:pPr>
    </w:p>
    <w:p w14:paraId="79BA7422" w14:textId="77777777" w:rsidR="004C6E06" w:rsidRPr="004C6E06" w:rsidRDefault="004C6E06" w:rsidP="004C6E06">
      <w:pPr>
        <w:jc w:val="center"/>
        <w:rPr>
          <w:b/>
        </w:rPr>
      </w:pPr>
      <w:r w:rsidRPr="004C6E06">
        <w:rPr>
          <w:b/>
        </w:rPr>
        <w:t>IX SKYRIUS</w:t>
      </w:r>
    </w:p>
    <w:p w14:paraId="0106288D" w14:textId="77777777" w:rsidR="004C6E06" w:rsidRPr="004C6E06" w:rsidRDefault="004C6E06" w:rsidP="004C6E06">
      <w:pPr>
        <w:jc w:val="center"/>
        <w:rPr>
          <w:b/>
        </w:rPr>
      </w:pPr>
      <w:r w:rsidRPr="004C6E06">
        <w:rPr>
          <w:b/>
        </w:rPr>
        <w:t>BAIGIAMOSIOS NUOSTATOS</w:t>
      </w:r>
    </w:p>
    <w:p w14:paraId="644E67C9" w14:textId="77777777" w:rsidR="004C6E06" w:rsidRPr="004C6E06" w:rsidRDefault="004C6E06" w:rsidP="004C6E06">
      <w:pPr>
        <w:ind w:firstLine="720"/>
        <w:jc w:val="both"/>
      </w:pPr>
    </w:p>
    <w:p w14:paraId="2EF07D90" w14:textId="2F01FA0A" w:rsidR="004273F6" w:rsidRDefault="00541D3B" w:rsidP="00541D3B">
      <w:pPr>
        <w:ind w:firstLine="720"/>
        <w:jc w:val="both"/>
      </w:pPr>
      <w:r w:rsidRPr="005D2E12">
        <w:t>35</w:t>
      </w:r>
      <w:r w:rsidR="004C6E06" w:rsidRPr="005D2E12">
        <w:t>. Klaipėdos miesto savivaldybės administracija</w:t>
      </w:r>
      <w:r w:rsidR="004C6E06" w:rsidRPr="004C6E06">
        <w:t xml:space="preserve"> Savivaldybės visuomenės sveikatos rėmimo specialiosios programos</w:t>
      </w:r>
      <w:r w:rsidR="0030548E">
        <w:t xml:space="preserve"> priemonių vykdymo ataskaitą (toliau – ataskaita), prireikus ir </w:t>
      </w:r>
      <w:r w:rsidR="004F5D54">
        <w:t>pa</w:t>
      </w:r>
      <w:r w:rsidR="0030548E">
        <w:t>pildomą informaciją,</w:t>
      </w:r>
      <w:r w:rsidR="004C6E06" w:rsidRPr="004C6E06">
        <w:t xml:space="preserve"> teikia Lietuvos Respublikos sveikatos apsaugos ministro nustatyta tvarka. </w:t>
      </w:r>
    </w:p>
    <w:p w14:paraId="5B0DBFB3" w14:textId="77777777" w:rsidR="00751933" w:rsidRDefault="00751933" w:rsidP="004273F6">
      <w:pPr>
        <w:jc w:val="both"/>
      </w:pPr>
    </w:p>
    <w:p w14:paraId="39800D52" w14:textId="77777777" w:rsidR="003D683D" w:rsidRDefault="003D683D" w:rsidP="003D683D">
      <w:pPr>
        <w:jc w:val="center"/>
      </w:pPr>
      <w:r>
        <w:t>______________________________</w:t>
      </w:r>
    </w:p>
    <w:sectPr w:rsidR="003D683D" w:rsidSect="00D57F27">
      <w:headerReference w:type="default" r:id="rId1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A0F11A" w14:textId="77777777" w:rsidR="002639D0" w:rsidRDefault="002639D0" w:rsidP="00D57F27">
      <w:r>
        <w:separator/>
      </w:r>
    </w:p>
  </w:endnote>
  <w:endnote w:type="continuationSeparator" w:id="0">
    <w:p w14:paraId="5CAC8DE7" w14:textId="77777777" w:rsidR="002639D0" w:rsidRDefault="002639D0"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7" w:usb1="00000000" w:usb2="00000000" w:usb3="00000000" w:csb0="00000003" w:csb1="00000000"/>
  </w:font>
  <w:font w:name="Arial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928F27" w14:textId="77777777" w:rsidR="002639D0" w:rsidRDefault="002639D0" w:rsidP="00D57F27">
      <w:r>
        <w:separator/>
      </w:r>
    </w:p>
  </w:footnote>
  <w:footnote w:type="continuationSeparator" w:id="0">
    <w:p w14:paraId="1648C4AF" w14:textId="77777777" w:rsidR="002639D0" w:rsidRDefault="002639D0"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132B72B9" w14:textId="67E02B61" w:rsidR="00D57F27" w:rsidRDefault="00D57F27">
        <w:pPr>
          <w:pStyle w:val="Antrats"/>
          <w:jc w:val="center"/>
        </w:pPr>
        <w:r>
          <w:fldChar w:fldCharType="begin"/>
        </w:r>
        <w:r>
          <w:instrText>PAGE   \* MERGEFORMAT</w:instrText>
        </w:r>
        <w:r>
          <w:fldChar w:fldCharType="separate"/>
        </w:r>
        <w:r w:rsidR="00914FF2">
          <w:rPr>
            <w:noProof/>
          </w:rPr>
          <w:t>12</w:t>
        </w:r>
        <w:r>
          <w:fldChar w:fldCharType="end"/>
        </w:r>
      </w:p>
    </w:sdtContent>
  </w:sdt>
  <w:p w14:paraId="04DCEA05"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DC75C6"/>
    <w:multiLevelType w:val="hybridMultilevel"/>
    <w:tmpl w:val="5406C794"/>
    <w:lvl w:ilvl="0" w:tplc="1F4E3EB6">
      <w:start w:val="6"/>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476B23E6"/>
    <w:multiLevelType w:val="hybridMultilevel"/>
    <w:tmpl w:val="49829678"/>
    <w:lvl w:ilvl="0" w:tplc="52FCDDFA">
      <w:start w:val="6"/>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40FB"/>
    <w:rsid w:val="000042EE"/>
    <w:rsid w:val="00007579"/>
    <w:rsid w:val="0001221D"/>
    <w:rsid w:val="0001758C"/>
    <w:rsid w:val="000261DC"/>
    <w:rsid w:val="00037459"/>
    <w:rsid w:val="00037F95"/>
    <w:rsid w:val="00042996"/>
    <w:rsid w:val="00054E29"/>
    <w:rsid w:val="0006079E"/>
    <w:rsid w:val="00071254"/>
    <w:rsid w:val="00075846"/>
    <w:rsid w:val="00076305"/>
    <w:rsid w:val="00077F8B"/>
    <w:rsid w:val="00090AE7"/>
    <w:rsid w:val="000A17DB"/>
    <w:rsid w:val="000B70F2"/>
    <w:rsid w:val="000B7C21"/>
    <w:rsid w:val="000C2BDA"/>
    <w:rsid w:val="000D224D"/>
    <w:rsid w:val="000D2CA4"/>
    <w:rsid w:val="000D3478"/>
    <w:rsid w:val="0010265B"/>
    <w:rsid w:val="0011226D"/>
    <w:rsid w:val="001124D2"/>
    <w:rsid w:val="00112B28"/>
    <w:rsid w:val="00113EC4"/>
    <w:rsid w:val="001145B3"/>
    <w:rsid w:val="00116DFB"/>
    <w:rsid w:val="00123291"/>
    <w:rsid w:val="00130874"/>
    <w:rsid w:val="00134DBD"/>
    <w:rsid w:val="00145923"/>
    <w:rsid w:val="00167E1D"/>
    <w:rsid w:val="00176478"/>
    <w:rsid w:val="001828B9"/>
    <w:rsid w:val="001952DA"/>
    <w:rsid w:val="001A319D"/>
    <w:rsid w:val="001B0AEC"/>
    <w:rsid w:val="001C29F3"/>
    <w:rsid w:val="001C64BA"/>
    <w:rsid w:val="001D4D63"/>
    <w:rsid w:val="001E0740"/>
    <w:rsid w:val="001E5649"/>
    <w:rsid w:val="001F6E6A"/>
    <w:rsid w:val="002009EF"/>
    <w:rsid w:val="0021095E"/>
    <w:rsid w:val="00233E51"/>
    <w:rsid w:val="00234928"/>
    <w:rsid w:val="0025068D"/>
    <w:rsid w:val="002564F0"/>
    <w:rsid w:val="002610EB"/>
    <w:rsid w:val="00262DC8"/>
    <w:rsid w:val="002639D0"/>
    <w:rsid w:val="002750BE"/>
    <w:rsid w:val="00291D56"/>
    <w:rsid w:val="002A0ED3"/>
    <w:rsid w:val="002A2F29"/>
    <w:rsid w:val="002A3DBF"/>
    <w:rsid w:val="002A627F"/>
    <w:rsid w:val="002B5C0A"/>
    <w:rsid w:val="002B6752"/>
    <w:rsid w:val="002C0947"/>
    <w:rsid w:val="002C43DA"/>
    <w:rsid w:val="002D1D90"/>
    <w:rsid w:val="002E0DCD"/>
    <w:rsid w:val="002E5F2C"/>
    <w:rsid w:val="002F6AB3"/>
    <w:rsid w:val="0030548E"/>
    <w:rsid w:val="003300E4"/>
    <w:rsid w:val="00331301"/>
    <w:rsid w:val="003332EF"/>
    <w:rsid w:val="00333E19"/>
    <w:rsid w:val="00342451"/>
    <w:rsid w:val="00343D40"/>
    <w:rsid w:val="00344702"/>
    <w:rsid w:val="00363813"/>
    <w:rsid w:val="00397ED8"/>
    <w:rsid w:val="003A3A30"/>
    <w:rsid w:val="003A7438"/>
    <w:rsid w:val="003B2CB9"/>
    <w:rsid w:val="003B41F2"/>
    <w:rsid w:val="003B517A"/>
    <w:rsid w:val="003D085D"/>
    <w:rsid w:val="003D228A"/>
    <w:rsid w:val="003D683D"/>
    <w:rsid w:val="003E6D3E"/>
    <w:rsid w:val="003F575F"/>
    <w:rsid w:val="003F58BA"/>
    <w:rsid w:val="003F6335"/>
    <w:rsid w:val="003F6474"/>
    <w:rsid w:val="004021DC"/>
    <w:rsid w:val="00406952"/>
    <w:rsid w:val="004273F6"/>
    <w:rsid w:val="004340C7"/>
    <w:rsid w:val="0044237C"/>
    <w:rsid w:val="00443812"/>
    <w:rsid w:val="004476DD"/>
    <w:rsid w:val="00451ADC"/>
    <w:rsid w:val="00451B18"/>
    <w:rsid w:val="0045493D"/>
    <w:rsid w:val="00462252"/>
    <w:rsid w:val="00470138"/>
    <w:rsid w:val="00477197"/>
    <w:rsid w:val="00481175"/>
    <w:rsid w:val="004832C8"/>
    <w:rsid w:val="004845C4"/>
    <w:rsid w:val="004A515A"/>
    <w:rsid w:val="004A7683"/>
    <w:rsid w:val="004A7D23"/>
    <w:rsid w:val="004B1B33"/>
    <w:rsid w:val="004C6E06"/>
    <w:rsid w:val="004C72AF"/>
    <w:rsid w:val="004E147B"/>
    <w:rsid w:val="004E1D90"/>
    <w:rsid w:val="004E639F"/>
    <w:rsid w:val="004E6E65"/>
    <w:rsid w:val="004F5D54"/>
    <w:rsid w:val="00501A07"/>
    <w:rsid w:val="00501E8E"/>
    <w:rsid w:val="00524947"/>
    <w:rsid w:val="005251CA"/>
    <w:rsid w:val="005321E6"/>
    <w:rsid w:val="00535B3D"/>
    <w:rsid w:val="00541D3B"/>
    <w:rsid w:val="00543F30"/>
    <w:rsid w:val="005450DA"/>
    <w:rsid w:val="0055022A"/>
    <w:rsid w:val="0055524A"/>
    <w:rsid w:val="005608B6"/>
    <w:rsid w:val="00560FAB"/>
    <w:rsid w:val="005702C6"/>
    <w:rsid w:val="00572E23"/>
    <w:rsid w:val="005818DC"/>
    <w:rsid w:val="00584E8C"/>
    <w:rsid w:val="00592674"/>
    <w:rsid w:val="00594385"/>
    <w:rsid w:val="00597EE8"/>
    <w:rsid w:val="005A1278"/>
    <w:rsid w:val="005C0D15"/>
    <w:rsid w:val="005D1CF6"/>
    <w:rsid w:val="005D2E12"/>
    <w:rsid w:val="005D36E0"/>
    <w:rsid w:val="005D6DBF"/>
    <w:rsid w:val="005E639C"/>
    <w:rsid w:val="005F309F"/>
    <w:rsid w:val="005F495C"/>
    <w:rsid w:val="005F4CBC"/>
    <w:rsid w:val="005F5E68"/>
    <w:rsid w:val="006005AB"/>
    <w:rsid w:val="00600CFA"/>
    <w:rsid w:val="006069A5"/>
    <w:rsid w:val="00606EE5"/>
    <w:rsid w:val="00607782"/>
    <w:rsid w:val="00614B6F"/>
    <w:rsid w:val="00626E1D"/>
    <w:rsid w:val="006447E7"/>
    <w:rsid w:val="00647357"/>
    <w:rsid w:val="006530A7"/>
    <w:rsid w:val="00664F74"/>
    <w:rsid w:val="00674299"/>
    <w:rsid w:val="006802F9"/>
    <w:rsid w:val="00681C91"/>
    <w:rsid w:val="00696794"/>
    <w:rsid w:val="006A3361"/>
    <w:rsid w:val="006B0318"/>
    <w:rsid w:val="006C6637"/>
    <w:rsid w:val="006D18C2"/>
    <w:rsid w:val="00711E72"/>
    <w:rsid w:val="00716BC9"/>
    <w:rsid w:val="00721DA0"/>
    <w:rsid w:val="00734821"/>
    <w:rsid w:val="00736D58"/>
    <w:rsid w:val="00746331"/>
    <w:rsid w:val="00751933"/>
    <w:rsid w:val="00752C4C"/>
    <w:rsid w:val="0076652A"/>
    <w:rsid w:val="0078211C"/>
    <w:rsid w:val="007852EA"/>
    <w:rsid w:val="007A16C4"/>
    <w:rsid w:val="007A5BEB"/>
    <w:rsid w:val="007B4521"/>
    <w:rsid w:val="007B78D7"/>
    <w:rsid w:val="007D514D"/>
    <w:rsid w:val="007E0894"/>
    <w:rsid w:val="007E3316"/>
    <w:rsid w:val="007E676E"/>
    <w:rsid w:val="007E70FA"/>
    <w:rsid w:val="007F6681"/>
    <w:rsid w:val="007F7604"/>
    <w:rsid w:val="00802399"/>
    <w:rsid w:val="00804C2B"/>
    <w:rsid w:val="00813DC2"/>
    <w:rsid w:val="00826D96"/>
    <w:rsid w:val="00832CC9"/>
    <w:rsid w:val="00833405"/>
    <w:rsid w:val="008354D5"/>
    <w:rsid w:val="00890BA8"/>
    <w:rsid w:val="00894446"/>
    <w:rsid w:val="008A3B25"/>
    <w:rsid w:val="008A52BE"/>
    <w:rsid w:val="008A5910"/>
    <w:rsid w:val="008A604C"/>
    <w:rsid w:val="008B265C"/>
    <w:rsid w:val="008B6B6A"/>
    <w:rsid w:val="008D6B25"/>
    <w:rsid w:val="008E002D"/>
    <w:rsid w:val="008E514E"/>
    <w:rsid w:val="008E6E82"/>
    <w:rsid w:val="009073D3"/>
    <w:rsid w:val="00914FF2"/>
    <w:rsid w:val="00915509"/>
    <w:rsid w:val="00922221"/>
    <w:rsid w:val="009263D2"/>
    <w:rsid w:val="0093038C"/>
    <w:rsid w:val="0094525C"/>
    <w:rsid w:val="00945CFF"/>
    <w:rsid w:val="009470B9"/>
    <w:rsid w:val="00964C7A"/>
    <w:rsid w:val="0097091E"/>
    <w:rsid w:val="00972157"/>
    <w:rsid w:val="00973B53"/>
    <w:rsid w:val="00987331"/>
    <w:rsid w:val="00996827"/>
    <w:rsid w:val="00996C61"/>
    <w:rsid w:val="009B2A41"/>
    <w:rsid w:val="009C6F49"/>
    <w:rsid w:val="009D3E01"/>
    <w:rsid w:val="009D5DBE"/>
    <w:rsid w:val="009E5D60"/>
    <w:rsid w:val="009E750F"/>
    <w:rsid w:val="009F2E75"/>
    <w:rsid w:val="009F4121"/>
    <w:rsid w:val="00A00177"/>
    <w:rsid w:val="00A034B7"/>
    <w:rsid w:val="00A03B67"/>
    <w:rsid w:val="00A0598F"/>
    <w:rsid w:val="00A155DC"/>
    <w:rsid w:val="00A176FE"/>
    <w:rsid w:val="00A17851"/>
    <w:rsid w:val="00A21139"/>
    <w:rsid w:val="00A22911"/>
    <w:rsid w:val="00A2303F"/>
    <w:rsid w:val="00A339CB"/>
    <w:rsid w:val="00A51F63"/>
    <w:rsid w:val="00A54CA0"/>
    <w:rsid w:val="00A55F13"/>
    <w:rsid w:val="00A56C65"/>
    <w:rsid w:val="00A62FD0"/>
    <w:rsid w:val="00A67057"/>
    <w:rsid w:val="00A80216"/>
    <w:rsid w:val="00A90B83"/>
    <w:rsid w:val="00AB0180"/>
    <w:rsid w:val="00AB1A70"/>
    <w:rsid w:val="00AC3E15"/>
    <w:rsid w:val="00AC57BD"/>
    <w:rsid w:val="00AC5B2C"/>
    <w:rsid w:val="00AC616C"/>
    <w:rsid w:val="00AD7BB9"/>
    <w:rsid w:val="00AE4E10"/>
    <w:rsid w:val="00AE7FDC"/>
    <w:rsid w:val="00AF08D2"/>
    <w:rsid w:val="00AF7D08"/>
    <w:rsid w:val="00B14833"/>
    <w:rsid w:val="00B15E36"/>
    <w:rsid w:val="00B52B3B"/>
    <w:rsid w:val="00B52BE5"/>
    <w:rsid w:val="00B6168A"/>
    <w:rsid w:val="00B65651"/>
    <w:rsid w:val="00B750B6"/>
    <w:rsid w:val="00B753C9"/>
    <w:rsid w:val="00B763B1"/>
    <w:rsid w:val="00B81705"/>
    <w:rsid w:val="00B846A9"/>
    <w:rsid w:val="00B8789B"/>
    <w:rsid w:val="00B96272"/>
    <w:rsid w:val="00BA50A7"/>
    <w:rsid w:val="00BA582D"/>
    <w:rsid w:val="00BA7168"/>
    <w:rsid w:val="00BC156C"/>
    <w:rsid w:val="00BC19E5"/>
    <w:rsid w:val="00BD505E"/>
    <w:rsid w:val="00BF42F2"/>
    <w:rsid w:val="00BF552F"/>
    <w:rsid w:val="00BF5551"/>
    <w:rsid w:val="00C03380"/>
    <w:rsid w:val="00C07E8B"/>
    <w:rsid w:val="00C1180F"/>
    <w:rsid w:val="00C1328C"/>
    <w:rsid w:val="00C1603C"/>
    <w:rsid w:val="00C30358"/>
    <w:rsid w:val="00C30AE7"/>
    <w:rsid w:val="00C41C12"/>
    <w:rsid w:val="00C50E9B"/>
    <w:rsid w:val="00C5289B"/>
    <w:rsid w:val="00C81B7B"/>
    <w:rsid w:val="00C9075C"/>
    <w:rsid w:val="00C91CC5"/>
    <w:rsid w:val="00CA4D3B"/>
    <w:rsid w:val="00CB5432"/>
    <w:rsid w:val="00CB6D53"/>
    <w:rsid w:val="00CC2E0F"/>
    <w:rsid w:val="00CC47E7"/>
    <w:rsid w:val="00D054B1"/>
    <w:rsid w:val="00D06878"/>
    <w:rsid w:val="00D15EE9"/>
    <w:rsid w:val="00D30B6F"/>
    <w:rsid w:val="00D33A1C"/>
    <w:rsid w:val="00D34BB6"/>
    <w:rsid w:val="00D4161C"/>
    <w:rsid w:val="00D423A3"/>
    <w:rsid w:val="00D42B72"/>
    <w:rsid w:val="00D57F27"/>
    <w:rsid w:val="00D643F0"/>
    <w:rsid w:val="00D82E58"/>
    <w:rsid w:val="00D84FC2"/>
    <w:rsid w:val="00D90FDF"/>
    <w:rsid w:val="00D92979"/>
    <w:rsid w:val="00D979D0"/>
    <w:rsid w:val="00DA77FA"/>
    <w:rsid w:val="00DB1207"/>
    <w:rsid w:val="00DC2135"/>
    <w:rsid w:val="00DC583E"/>
    <w:rsid w:val="00DD07B0"/>
    <w:rsid w:val="00DD1762"/>
    <w:rsid w:val="00DD679A"/>
    <w:rsid w:val="00DD7026"/>
    <w:rsid w:val="00DE01EC"/>
    <w:rsid w:val="00E01509"/>
    <w:rsid w:val="00E072AA"/>
    <w:rsid w:val="00E11312"/>
    <w:rsid w:val="00E14105"/>
    <w:rsid w:val="00E15988"/>
    <w:rsid w:val="00E24D6D"/>
    <w:rsid w:val="00E27C8C"/>
    <w:rsid w:val="00E33871"/>
    <w:rsid w:val="00E36772"/>
    <w:rsid w:val="00E5027E"/>
    <w:rsid w:val="00E50C79"/>
    <w:rsid w:val="00E56A73"/>
    <w:rsid w:val="00E70645"/>
    <w:rsid w:val="00E8024B"/>
    <w:rsid w:val="00E811AA"/>
    <w:rsid w:val="00E91A54"/>
    <w:rsid w:val="00EB1522"/>
    <w:rsid w:val="00EB663E"/>
    <w:rsid w:val="00EC21AD"/>
    <w:rsid w:val="00EE6172"/>
    <w:rsid w:val="00EF17FC"/>
    <w:rsid w:val="00F05684"/>
    <w:rsid w:val="00F07E95"/>
    <w:rsid w:val="00F14BDD"/>
    <w:rsid w:val="00F24539"/>
    <w:rsid w:val="00F32A47"/>
    <w:rsid w:val="00F34483"/>
    <w:rsid w:val="00F45104"/>
    <w:rsid w:val="00F46278"/>
    <w:rsid w:val="00F521D7"/>
    <w:rsid w:val="00F65E60"/>
    <w:rsid w:val="00F72A1E"/>
    <w:rsid w:val="00F965CB"/>
    <w:rsid w:val="00FA7B45"/>
    <w:rsid w:val="00FB17E6"/>
    <w:rsid w:val="00FB2610"/>
    <w:rsid w:val="00FB3FF8"/>
    <w:rsid w:val="00FC28D8"/>
    <w:rsid w:val="00FC2A53"/>
    <w:rsid w:val="00FD66E7"/>
    <w:rsid w:val="00FE677D"/>
    <w:rsid w:val="00FE71AA"/>
    <w:rsid w:val="00FF341D"/>
    <w:rsid w:val="00FF75DD"/>
    <w:rsid w:val="00FF78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0AF1265"/>
  <w15:docId w15:val="{B3EB5B68-6F50-4222-A04F-34718AE7E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59"/>
    <w:rsid w:val="004C6E0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4C6E0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F521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darbalapis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darbalapis10.xlsx"/><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darbalapis11.xlsx"/><Relationship Id="rId1" Type="http://schemas.openxmlformats.org/officeDocument/2006/relationships/themeOverride" Target="../theme/themeOverride1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darbalapis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darbalapis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darbalapis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darbalapis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darbalapis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darbalapis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darbalapis8.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darbalapis9.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a:latin typeface="Times New Roman" pitchFamily="18" charset="0"/>
                <a:cs typeface="Times New Roman" pitchFamily="18" charset="0"/>
              </a:defRPr>
            </a:pPr>
            <a:r>
              <a:rPr lang="lt-LT" sz="1200">
                <a:latin typeface="Times New Roman" pitchFamily="18" charset="0"/>
                <a:cs typeface="Times New Roman" pitchFamily="18" charset="0"/>
              </a:rPr>
              <a:t>Klaipėdos</a:t>
            </a:r>
            <a:r>
              <a:rPr lang="lt-LT" sz="1200" baseline="0">
                <a:latin typeface="Times New Roman" pitchFamily="18" charset="0"/>
                <a:cs typeface="Times New Roman" pitchFamily="18" charset="0"/>
              </a:rPr>
              <a:t> miesto gyventojų kitimo tendencijos 2019‒2022 m.</a:t>
            </a:r>
            <a:r>
              <a:rPr lang="en-US" sz="1200" baseline="0">
                <a:latin typeface="Times New Roman" pitchFamily="18" charset="0"/>
                <a:cs typeface="Times New Roman" pitchFamily="18" charset="0"/>
              </a:rPr>
              <a:t> prad</a:t>
            </a:r>
            <a:r>
              <a:rPr lang="lt-LT" sz="1200" baseline="0">
                <a:latin typeface="Times New Roman" pitchFamily="18" charset="0"/>
                <a:cs typeface="Times New Roman" pitchFamily="18" charset="0"/>
              </a:rPr>
              <a:t>žioje</a:t>
            </a:r>
            <a:r>
              <a:rPr lang="en-US" sz="1200" baseline="0">
                <a:latin typeface="Times New Roman" pitchFamily="18" charset="0"/>
                <a:cs typeface="Times New Roman" pitchFamily="18" charset="0"/>
              </a:rPr>
              <a:t> (abs. sk.)</a:t>
            </a:r>
            <a:endParaRPr lang="en-US" sz="1200">
              <a:latin typeface="Times New Roman" pitchFamily="18" charset="0"/>
              <a:cs typeface="Times New Roman" pitchFamily="18" charset="0"/>
            </a:endParaRPr>
          </a:p>
        </c:rich>
      </c:tx>
      <c:layout>
        <c:manualLayout>
          <c:xMode val="edge"/>
          <c:yMode val="edge"/>
          <c:x val="0.16291137404615866"/>
          <c:y val="2.8776978417266189E-2"/>
        </c:manualLayout>
      </c:layout>
      <c:overlay val="0"/>
    </c:title>
    <c:autoTitleDeleted val="0"/>
    <c:plotArea>
      <c:layout/>
      <c:lineChart>
        <c:grouping val="standard"/>
        <c:varyColors val="0"/>
        <c:ser>
          <c:idx val="0"/>
          <c:order val="0"/>
          <c:tx>
            <c:strRef>
              <c:f>Sheet1!$B$1</c:f>
              <c:strCache>
                <c:ptCount val="1"/>
                <c:pt idx="0">
                  <c:v>Series 1</c:v>
                </c:pt>
              </c:strCache>
            </c:strRef>
          </c:tx>
          <c:marker>
            <c:symbol val="none"/>
          </c:marker>
          <c:dLbls>
            <c:spPr>
              <a:noFill/>
              <a:ln>
                <a:noFill/>
              </a:ln>
              <a:effectLst/>
            </c:spPr>
            <c:txPr>
              <a:bodyPr/>
              <a:lstStyle/>
              <a:p>
                <a:pPr>
                  <a:defRPr>
                    <a:latin typeface="Times New Roman" pitchFamily="18" charset="0"/>
                    <a:cs typeface="Times New Roman"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Sheet1!$A$2:$A$5</c:f>
              <c:strCache>
                <c:ptCount val="4"/>
                <c:pt idx="0">
                  <c:v>2019 m.</c:v>
                </c:pt>
                <c:pt idx="1">
                  <c:v>2020 m.</c:v>
                </c:pt>
                <c:pt idx="2">
                  <c:v>2021 m.</c:v>
                </c:pt>
                <c:pt idx="3">
                  <c:v>2022 m.</c:v>
                </c:pt>
              </c:strCache>
            </c:strRef>
          </c:cat>
          <c:val>
            <c:numRef>
              <c:f>Sheet1!$B$2:$B$5</c:f>
              <c:numCache>
                <c:formatCode>General</c:formatCode>
                <c:ptCount val="4"/>
                <c:pt idx="0">
                  <c:v>147892</c:v>
                </c:pt>
                <c:pt idx="1">
                  <c:v>149116</c:v>
                </c:pt>
                <c:pt idx="2">
                  <c:v>149056</c:v>
                </c:pt>
                <c:pt idx="3">
                  <c:v>152237</c:v>
                </c:pt>
              </c:numCache>
            </c:numRef>
          </c:val>
          <c:smooth val="0"/>
          <c:extLst xmlns:c16r2="http://schemas.microsoft.com/office/drawing/2015/06/chart">
            <c:ext xmlns:c16="http://schemas.microsoft.com/office/drawing/2014/chart" uri="{C3380CC4-5D6E-409C-BE32-E72D297353CC}">
              <c16:uniqueId val="{00000000-8677-40B9-A4BF-4FFB1A845C30}"/>
            </c:ext>
          </c:extLst>
        </c:ser>
        <c:dLbls>
          <c:showLegendKey val="0"/>
          <c:showVal val="1"/>
          <c:showCatName val="0"/>
          <c:showSerName val="0"/>
          <c:showPercent val="0"/>
          <c:showBubbleSize val="0"/>
        </c:dLbls>
        <c:smooth val="0"/>
        <c:axId val="303200336"/>
        <c:axId val="302996424"/>
      </c:lineChart>
      <c:catAx>
        <c:axId val="303200336"/>
        <c:scaling>
          <c:orientation val="minMax"/>
        </c:scaling>
        <c:delete val="0"/>
        <c:axPos val="b"/>
        <c:numFmt formatCode="General" sourceLinked="0"/>
        <c:majorTickMark val="none"/>
        <c:minorTickMark val="none"/>
        <c:tickLblPos val="nextTo"/>
        <c:txPr>
          <a:bodyPr/>
          <a:lstStyle/>
          <a:p>
            <a:pPr>
              <a:defRPr>
                <a:latin typeface="Times New Roman" pitchFamily="18" charset="0"/>
                <a:cs typeface="Times New Roman" pitchFamily="18" charset="0"/>
              </a:defRPr>
            </a:pPr>
            <a:endParaRPr lang="lt-LT"/>
          </a:p>
        </c:txPr>
        <c:crossAx val="302996424"/>
        <c:crosses val="autoZero"/>
        <c:auto val="1"/>
        <c:lblAlgn val="ctr"/>
        <c:lblOffset val="100"/>
        <c:noMultiLvlLbl val="0"/>
      </c:catAx>
      <c:valAx>
        <c:axId val="302996424"/>
        <c:scaling>
          <c:orientation val="minMax"/>
        </c:scaling>
        <c:delete val="0"/>
        <c:axPos val="l"/>
        <c:majorGridlines>
          <c:spPr>
            <a:ln>
              <a:noFill/>
            </a:ln>
          </c:spPr>
        </c:majorGridlines>
        <c:numFmt formatCode="General" sourceLinked="1"/>
        <c:majorTickMark val="none"/>
        <c:minorTickMark val="none"/>
        <c:tickLblPos val="nextTo"/>
        <c:txPr>
          <a:bodyPr/>
          <a:lstStyle/>
          <a:p>
            <a:pPr>
              <a:defRPr>
                <a:latin typeface="Times New Roman" pitchFamily="18" charset="0"/>
                <a:cs typeface="Times New Roman" pitchFamily="18" charset="0"/>
              </a:defRPr>
            </a:pPr>
            <a:endParaRPr lang="lt-LT"/>
          </a:p>
        </c:txPr>
        <c:crossAx val="303200336"/>
        <c:crosses val="autoZero"/>
        <c:crossBetween val="between"/>
      </c:valAx>
    </c:plotArea>
    <c:plotVisOnly val="1"/>
    <c:dispBlanksAs val="gap"/>
    <c:showDLblsOverMax val="0"/>
  </c:chart>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200" b="1">
                <a:solidFill>
                  <a:sysClr val="windowText" lastClr="000000"/>
                </a:solidFill>
                <a:latin typeface="Times New Roman" panose="02020603050405020304" pitchFamily="18" charset="0"/>
                <a:cs typeface="Times New Roman" panose="02020603050405020304" pitchFamily="18" charset="0"/>
              </a:rPr>
              <a:t>Sergamumas</a:t>
            </a:r>
            <a:r>
              <a:rPr lang="lt-LT" sz="1200" b="1" baseline="0">
                <a:solidFill>
                  <a:sysClr val="windowText" lastClr="000000"/>
                </a:solidFill>
                <a:latin typeface="Times New Roman" panose="02020603050405020304" pitchFamily="18" charset="0"/>
                <a:cs typeface="Times New Roman" panose="02020603050405020304" pitchFamily="18" charset="0"/>
              </a:rPr>
              <a:t> tuberkulioze 2017-2021 m. (100 000 gyv.), Klaipėdos m., Klaipėdos apskrityje ir Lietuvoje</a:t>
            </a:r>
            <a:endParaRPr lang="lt-LT" sz="1200"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10882633420822399"/>
          <c:y val="9.2592592592592587E-3"/>
        </c:manualLayout>
      </c:layout>
      <c:overlay val="0"/>
      <c:spPr>
        <a:noFill/>
        <a:ln>
          <a:noFill/>
        </a:ln>
        <a:effectLst/>
      </c:spPr>
    </c:title>
    <c:autoTitleDeleted val="0"/>
    <c:plotArea>
      <c:layout>
        <c:manualLayout>
          <c:layoutTarget val="inner"/>
          <c:xMode val="edge"/>
          <c:yMode val="edge"/>
          <c:x val="0.31459798775153108"/>
          <c:y val="0.22971711869349665"/>
          <c:w val="0.68540201224846897"/>
          <c:h val="0.52649533391659376"/>
        </c:manualLayout>
      </c:layout>
      <c:lineChart>
        <c:grouping val="standard"/>
        <c:varyColors val="0"/>
        <c:ser>
          <c:idx val="0"/>
          <c:order val="0"/>
          <c:tx>
            <c:strRef>
              <c:f>Lapas1!$B$63</c:f>
              <c:strCache>
                <c:ptCount val="1"/>
                <c:pt idx="0">
                  <c:v>Klaipėdos miestas</c:v>
                </c:pt>
              </c:strCache>
            </c:strRef>
          </c:tx>
          <c:spPr>
            <a:ln w="28575" cap="rnd">
              <a:solidFill>
                <a:schemeClr val="accent1"/>
              </a:solidFill>
              <a:round/>
            </a:ln>
            <a:effectLst/>
          </c:spPr>
          <c:marker>
            <c:symbol val="none"/>
          </c:marker>
          <c:cat>
            <c:numRef>
              <c:f>Lapas1!$C$62:$G$62</c:f>
              <c:numCache>
                <c:formatCode>General</c:formatCode>
                <c:ptCount val="5"/>
                <c:pt idx="0">
                  <c:v>2017</c:v>
                </c:pt>
                <c:pt idx="1">
                  <c:v>2018</c:v>
                </c:pt>
                <c:pt idx="2">
                  <c:v>2019</c:v>
                </c:pt>
                <c:pt idx="3">
                  <c:v>2020</c:v>
                </c:pt>
                <c:pt idx="4">
                  <c:v>2021</c:v>
                </c:pt>
              </c:numCache>
            </c:numRef>
          </c:cat>
          <c:val>
            <c:numRef>
              <c:f>Lapas1!$C$63:$G$63</c:f>
              <c:numCache>
                <c:formatCode>General</c:formatCode>
                <c:ptCount val="5"/>
                <c:pt idx="0">
                  <c:v>2.4</c:v>
                </c:pt>
                <c:pt idx="1">
                  <c:v>2.9</c:v>
                </c:pt>
                <c:pt idx="2">
                  <c:v>3.4</c:v>
                </c:pt>
                <c:pt idx="3">
                  <c:v>1.7</c:v>
                </c:pt>
                <c:pt idx="4">
                  <c:v>2.5</c:v>
                </c:pt>
              </c:numCache>
            </c:numRef>
          </c:val>
          <c:smooth val="0"/>
          <c:extLst xmlns:c16r2="http://schemas.microsoft.com/office/drawing/2015/06/chart">
            <c:ext xmlns:c16="http://schemas.microsoft.com/office/drawing/2014/chart" uri="{C3380CC4-5D6E-409C-BE32-E72D297353CC}">
              <c16:uniqueId val="{00000000-A711-46B9-AB58-9B79C7B3A5DB}"/>
            </c:ext>
          </c:extLst>
        </c:ser>
        <c:ser>
          <c:idx val="1"/>
          <c:order val="1"/>
          <c:tx>
            <c:strRef>
              <c:f>Lapas1!$B$64</c:f>
              <c:strCache>
                <c:ptCount val="1"/>
                <c:pt idx="0">
                  <c:v>Klaipėdos apskritis</c:v>
                </c:pt>
              </c:strCache>
            </c:strRef>
          </c:tx>
          <c:spPr>
            <a:ln w="28575" cap="rnd">
              <a:solidFill>
                <a:schemeClr val="accent2"/>
              </a:solidFill>
              <a:round/>
            </a:ln>
            <a:effectLst/>
          </c:spPr>
          <c:marker>
            <c:symbol val="none"/>
          </c:marker>
          <c:cat>
            <c:numRef>
              <c:f>Lapas1!$C$62:$G$62</c:f>
              <c:numCache>
                <c:formatCode>General</c:formatCode>
                <c:ptCount val="5"/>
                <c:pt idx="0">
                  <c:v>2017</c:v>
                </c:pt>
                <c:pt idx="1">
                  <c:v>2018</c:v>
                </c:pt>
                <c:pt idx="2">
                  <c:v>2019</c:v>
                </c:pt>
                <c:pt idx="3">
                  <c:v>2020</c:v>
                </c:pt>
                <c:pt idx="4">
                  <c:v>2021</c:v>
                </c:pt>
              </c:numCache>
            </c:numRef>
          </c:cat>
          <c:val>
            <c:numRef>
              <c:f>Lapas1!$C$64:$G$64</c:f>
              <c:numCache>
                <c:formatCode>General</c:formatCode>
                <c:ptCount val="5"/>
                <c:pt idx="0">
                  <c:v>3</c:v>
                </c:pt>
                <c:pt idx="1">
                  <c:v>2.7</c:v>
                </c:pt>
                <c:pt idx="2">
                  <c:v>4</c:v>
                </c:pt>
                <c:pt idx="3">
                  <c:v>1.9</c:v>
                </c:pt>
                <c:pt idx="4">
                  <c:v>2.1</c:v>
                </c:pt>
              </c:numCache>
            </c:numRef>
          </c:val>
          <c:smooth val="0"/>
          <c:extLst xmlns:c16r2="http://schemas.microsoft.com/office/drawing/2015/06/chart">
            <c:ext xmlns:c16="http://schemas.microsoft.com/office/drawing/2014/chart" uri="{C3380CC4-5D6E-409C-BE32-E72D297353CC}">
              <c16:uniqueId val="{00000001-A711-46B9-AB58-9B79C7B3A5DB}"/>
            </c:ext>
          </c:extLst>
        </c:ser>
        <c:ser>
          <c:idx val="2"/>
          <c:order val="2"/>
          <c:tx>
            <c:strRef>
              <c:f>Lapas1!$B$65</c:f>
              <c:strCache>
                <c:ptCount val="1"/>
                <c:pt idx="0">
                  <c:v>Lietuva</c:v>
                </c:pt>
              </c:strCache>
            </c:strRef>
          </c:tx>
          <c:spPr>
            <a:ln w="28575" cap="rnd">
              <a:solidFill>
                <a:schemeClr val="accent3"/>
              </a:solidFill>
              <a:round/>
            </a:ln>
            <a:effectLst/>
          </c:spPr>
          <c:marker>
            <c:symbol val="none"/>
          </c:marker>
          <c:cat>
            <c:numRef>
              <c:f>Lapas1!$C$62:$G$62</c:f>
              <c:numCache>
                <c:formatCode>General</c:formatCode>
                <c:ptCount val="5"/>
                <c:pt idx="0">
                  <c:v>2017</c:v>
                </c:pt>
                <c:pt idx="1">
                  <c:v>2018</c:v>
                </c:pt>
                <c:pt idx="2">
                  <c:v>2019</c:v>
                </c:pt>
                <c:pt idx="3">
                  <c:v>2020</c:v>
                </c:pt>
                <c:pt idx="4">
                  <c:v>2021</c:v>
                </c:pt>
              </c:numCache>
            </c:numRef>
          </c:cat>
          <c:val>
            <c:numRef>
              <c:f>Lapas1!$C$65:$G$65</c:f>
              <c:numCache>
                <c:formatCode>General</c:formatCode>
                <c:ptCount val="5"/>
                <c:pt idx="0">
                  <c:v>3.2</c:v>
                </c:pt>
                <c:pt idx="1">
                  <c:v>2.8</c:v>
                </c:pt>
                <c:pt idx="2">
                  <c:v>3.2</c:v>
                </c:pt>
                <c:pt idx="3">
                  <c:v>2</c:v>
                </c:pt>
                <c:pt idx="4">
                  <c:v>1.8</c:v>
                </c:pt>
              </c:numCache>
            </c:numRef>
          </c:val>
          <c:smooth val="0"/>
          <c:extLst xmlns:c16r2="http://schemas.microsoft.com/office/drawing/2015/06/chart">
            <c:ext xmlns:c16="http://schemas.microsoft.com/office/drawing/2014/chart" uri="{C3380CC4-5D6E-409C-BE32-E72D297353CC}">
              <c16:uniqueId val="{00000002-A711-46B9-AB58-9B79C7B3A5DB}"/>
            </c:ext>
          </c:extLst>
        </c:ser>
        <c:dLbls>
          <c:showLegendKey val="0"/>
          <c:showVal val="0"/>
          <c:showCatName val="0"/>
          <c:showSerName val="0"/>
          <c:showPercent val="0"/>
          <c:showBubbleSize val="0"/>
        </c:dLbls>
        <c:smooth val="0"/>
        <c:axId val="356494864"/>
        <c:axId val="356501136"/>
      </c:lineChart>
      <c:catAx>
        <c:axId val="356494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356501136"/>
        <c:crosses val="autoZero"/>
        <c:auto val="1"/>
        <c:lblAlgn val="ctr"/>
        <c:lblOffset val="100"/>
        <c:noMultiLvlLbl val="0"/>
      </c:catAx>
      <c:valAx>
        <c:axId val="3565011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35649486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dTable>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lt-LT"/>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200" b="1" i="0" baseline="0">
                <a:effectLst/>
                <a:latin typeface="Times New Roman" panose="02020603050405020304" pitchFamily="18" charset="0"/>
                <a:cs typeface="Times New Roman" panose="02020603050405020304" pitchFamily="18" charset="0"/>
              </a:rPr>
              <a:t>Sergamumo erkiniu encefalitu dinamika Klaipėdos mieste, Klaipėdos apskrityje ir </a:t>
            </a:r>
            <a:endParaRPr lang="lt-LT" sz="1200" b="1">
              <a:effectLst/>
              <a:latin typeface="Times New Roman" panose="02020603050405020304" pitchFamily="18" charset="0"/>
              <a:cs typeface="Times New Roman" panose="02020603050405020304" pitchFamily="18" charset="0"/>
            </a:endParaRPr>
          </a:p>
          <a:p>
            <a:pPr>
              <a:defRPr sz="1400" b="0" i="0" u="none" strike="noStrike" kern="1200" spc="0" baseline="0">
                <a:solidFill>
                  <a:schemeClr val="tx1">
                    <a:lumMod val="65000"/>
                    <a:lumOff val="35000"/>
                  </a:schemeClr>
                </a:solidFill>
                <a:latin typeface="+mn-lt"/>
                <a:ea typeface="+mn-ea"/>
                <a:cs typeface="+mn-cs"/>
              </a:defRPr>
            </a:pPr>
            <a:r>
              <a:rPr lang="lt-LT" sz="1200" b="1" i="0" baseline="0">
                <a:effectLst/>
                <a:latin typeface="Times New Roman" panose="02020603050405020304" pitchFamily="18" charset="0"/>
                <a:cs typeface="Times New Roman" panose="02020603050405020304" pitchFamily="18" charset="0"/>
              </a:rPr>
              <a:t>Lietuvoje 2006–2021 m.</a:t>
            </a:r>
            <a:endParaRPr lang="lt-LT" sz="1200" b="1">
              <a:effectLst/>
              <a:latin typeface="Times New Roman" panose="02020603050405020304" pitchFamily="18" charset="0"/>
              <a:cs typeface="Times New Roman" panose="02020603050405020304" pitchFamily="18" charset="0"/>
            </a:endParaRPr>
          </a:p>
          <a:p>
            <a:pPr>
              <a:defRPr sz="1400" b="0" i="0" u="none" strike="noStrike" kern="1200" spc="0" baseline="0">
                <a:solidFill>
                  <a:schemeClr val="tx1">
                    <a:lumMod val="65000"/>
                    <a:lumOff val="35000"/>
                  </a:schemeClr>
                </a:solidFill>
                <a:latin typeface="+mn-lt"/>
                <a:ea typeface="+mn-ea"/>
                <a:cs typeface="+mn-cs"/>
              </a:defRPr>
            </a:pPr>
            <a:endParaRPr lang="lt-LT"/>
          </a:p>
        </c:rich>
      </c:tx>
      <c:layout>
        <c:manualLayout>
          <c:xMode val="edge"/>
          <c:yMode val="edge"/>
          <c:x val="0.13107655804650745"/>
          <c:y val="9.3983444377145169E-3"/>
        </c:manualLayout>
      </c:layout>
      <c:overlay val="0"/>
      <c:spPr>
        <a:noFill/>
        <a:ln>
          <a:noFill/>
        </a:ln>
        <a:effectLst/>
      </c:spPr>
    </c:title>
    <c:autoTitleDeleted val="0"/>
    <c:plotArea>
      <c:layout>
        <c:manualLayout>
          <c:layoutTarget val="inner"/>
          <c:xMode val="edge"/>
          <c:yMode val="edge"/>
          <c:x val="8.9365474678732862E-2"/>
          <c:y val="0.20139663904532393"/>
          <c:w val="0.8975487120405844"/>
          <c:h val="0.65799128832300213"/>
        </c:manualLayout>
      </c:layout>
      <c:lineChart>
        <c:grouping val="standard"/>
        <c:varyColors val="0"/>
        <c:ser>
          <c:idx val="0"/>
          <c:order val="0"/>
          <c:tx>
            <c:strRef>
              <c:f>Sheet1!$A$39</c:f>
              <c:strCache>
                <c:ptCount val="1"/>
                <c:pt idx="0">
                  <c:v>Klaipėda</c:v>
                </c:pt>
              </c:strCache>
            </c:strRef>
          </c:tx>
          <c:spPr>
            <a:ln w="28575" cap="rnd">
              <a:solidFill>
                <a:schemeClr val="accent1"/>
              </a:solidFill>
              <a:round/>
            </a:ln>
            <a:effectLst/>
          </c:spPr>
          <c:marker>
            <c:symbol val="square"/>
            <c:size val="5"/>
            <c:spPr>
              <a:solidFill>
                <a:schemeClr val="accent1"/>
              </a:solidFill>
              <a:ln w="6350" cap="flat">
                <a:solidFill>
                  <a:schemeClr val="accent1"/>
                </a:solidFill>
              </a:ln>
              <a:effectLst/>
            </c:spPr>
          </c:marker>
          <c:dLbls>
            <c:dLbl>
              <c:idx val="0"/>
              <c:layout>
                <c:manualLayout>
                  <c:x val="-5.3208174243381395E-2"/>
                  <c:y val="3.9255790141616745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33D5-4D47-8C8B-AB4D51C10CBB}"/>
                </c:ext>
                <c:ext xmlns:c15="http://schemas.microsoft.com/office/drawing/2012/chart" uri="{CE6537A1-D6FC-4f65-9D91-7224C49458BB}">
                  <c15:layout/>
                </c:ext>
              </c:extLst>
            </c:dLbl>
            <c:dLbl>
              <c:idx val="1"/>
              <c:layout>
                <c:manualLayout>
                  <c:x val="-9.0897021065187329E-3"/>
                  <c:y val="-2.4350321594416081E-3"/>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33D5-4D47-8C8B-AB4D51C10CBB}"/>
                </c:ext>
                <c:ext xmlns:c15="http://schemas.microsoft.com/office/drawing/2012/chart" uri="{CE6537A1-D6FC-4f65-9D91-7224C49458BB}">
                  <c15:layout/>
                </c:ext>
              </c:extLst>
            </c:dLbl>
            <c:dLbl>
              <c:idx val="2"/>
              <c:layout>
                <c:manualLayout>
                  <c:x val="-6.3700937301249339E-3"/>
                  <c:y val="-2.4350321594417764E-3"/>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33D5-4D47-8C8B-AB4D51C10CBB}"/>
                </c:ext>
                <c:ext xmlns:c15="http://schemas.microsoft.com/office/drawing/2012/chart" uri="{CE6537A1-D6FC-4f65-9D91-7224C49458BB}">
                  <c15:layout/>
                </c:ext>
              </c:extLst>
            </c:dLbl>
            <c:dLbl>
              <c:idx val="3"/>
              <c:layout>
                <c:manualLayout>
                  <c:x val="-3.0255750258576988E-2"/>
                  <c:y val="3.1261356753482655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33D5-4D47-8C8B-AB4D51C10CBB}"/>
                </c:ext>
                <c:ext xmlns:c15="http://schemas.microsoft.com/office/drawing/2012/chart" uri="{CE6537A1-D6FC-4f65-9D91-7224C49458BB}">
                  <c15:layout/>
                </c:ext>
              </c:extLst>
            </c:dLbl>
            <c:dLbl>
              <c:idx val="4"/>
              <c:layout>
                <c:manualLayout>
                  <c:x val="-4.3853792140545932E-2"/>
                  <c:y val="4.9576375068501051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33D5-4D47-8C8B-AB4D51C10CBB}"/>
                </c:ext>
                <c:ext xmlns:c15="http://schemas.microsoft.com/office/drawing/2012/chart" uri="{CE6537A1-D6FC-4f65-9D91-7224C49458BB}">
                  <c15:layout/>
                </c:ext>
              </c:extLst>
            </c:dLbl>
            <c:dLbl>
              <c:idx val="10"/>
              <c:layout>
                <c:manualLayout>
                  <c:x val="-3.0255750258576939E-2"/>
                  <c:y val="4.957637506850088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33D5-4D47-8C8B-AB4D51C10CBB}"/>
                </c:ext>
                <c:ext xmlns:c15="http://schemas.microsoft.com/office/drawing/2012/chart" uri="{CE6537A1-D6FC-4f65-9D91-7224C49458BB}">
                  <c15:layout/>
                </c:ext>
              </c:extLst>
            </c:dLbl>
            <c:dLbl>
              <c:idx val="11"/>
              <c:layout>
                <c:manualLayout>
                  <c:x val="-3.8414575387758339E-2"/>
                  <c:y val="4.4997620489746475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33D5-4D47-8C8B-AB4D51C10CBB}"/>
                </c:ext>
                <c:ext xmlns:c15="http://schemas.microsoft.com/office/drawing/2012/chart" uri="{CE6537A1-D6FC-4f65-9D91-7224C49458BB}">
                  <c15:layout/>
                </c:ext>
              </c:extLst>
            </c:dLbl>
            <c:dLbl>
              <c:idx val="15"/>
              <c:layout>
                <c:manualLayout>
                  <c:x val="-1.1809952910087835E-2"/>
                  <c:y val="-6.489248940036350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33D5-4D47-8C8B-AB4D51C10CBB}"/>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Sheet1!$B$38:$Q$38</c:f>
              <c:numCache>
                <c:formatCode>General</c:formatCode>
                <c:ptCount val="16"/>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numCache>
            </c:numRef>
          </c:cat>
          <c:val>
            <c:numRef>
              <c:f>Sheet1!$B$39:$Q$39</c:f>
              <c:numCache>
                <c:formatCode>0.0</c:formatCode>
                <c:ptCount val="16"/>
                <c:pt idx="0">
                  <c:v>0.26</c:v>
                </c:pt>
                <c:pt idx="1">
                  <c:v>0.05</c:v>
                </c:pt>
                <c:pt idx="2">
                  <c:v>0.21</c:v>
                </c:pt>
                <c:pt idx="3">
                  <c:v>0.6</c:v>
                </c:pt>
                <c:pt idx="4">
                  <c:v>0.5</c:v>
                </c:pt>
                <c:pt idx="5">
                  <c:v>0.17</c:v>
                </c:pt>
                <c:pt idx="6">
                  <c:v>0.19</c:v>
                </c:pt>
                <c:pt idx="7">
                  <c:v>0.19</c:v>
                </c:pt>
                <c:pt idx="8">
                  <c:v>0.26</c:v>
                </c:pt>
                <c:pt idx="9">
                  <c:v>0.26</c:v>
                </c:pt>
                <c:pt idx="10">
                  <c:v>0.72</c:v>
                </c:pt>
                <c:pt idx="11">
                  <c:v>0.73</c:v>
                </c:pt>
                <c:pt idx="12">
                  <c:v>0.41</c:v>
                </c:pt>
                <c:pt idx="13">
                  <c:v>0.5</c:v>
                </c:pt>
                <c:pt idx="14">
                  <c:v>1.3</c:v>
                </c:pt>
                <c:pt idx="15" formatCode="General">
                  <c:v>0.9</c:v>
                </c:pt>
              </c:numCache>
            </c:numRef>
          </c:val>
          <c:smooth val="0"/>
          <c:extLst xmlns:c16r2="http://schemas.microsoft.com/office/drawing/2015/06/chart">
            <c:ext xmlns:c16="http://schemas.microsoft.com/office/drawing/2014/chart" uri="{C3380CC4-5D6E-409C-BE32-E72D297353CC}">
              <c16:uniqueId val="{00000008-33D5-4D47-8C8B-AB4D51C10CBB}"/>
            </c:ext>
          </c:extLst>
        </c:ser>
        <c:ser>
          <c:idx val="1"/>
          <c:order val="1"/>
          <c:tx>
            <c:strRef>
              <c:f>Sheet1!$A$40</c:f>
              <c:strCache>
                <c:ptCount val="1"/>
                <c:pt idx="0">
                  <c:v>Klaipėdos apskritis</c:v>
                </c:pt>
              </c:strCache>
            </c:strRef>
          </c:tx>
          <c:spPr>
            <a:ln w="28575" cap="rnd">
              <a:solidFill>
                <a:schemeClr val="accent2"/>
              </a:solidFill>
              <a:round/>
            </a:ln>
            <a:effectLst/>
          </c:spPr>
          <c:marker>
            <c:symbol val="square"/>
            <c:size val="5"/>
            <c:spPr>
              <a:solidFill>
                <a:schemeClr val="accent2"/>
              </a:solidFill>
              <a:ln w="6350">
                <a:solidFill>
                  <a:schemeClr val="accent2"/>
                </a:solidFill>
              </a:ln>
              <a:effectLst/>
            </c:spPr>
          </c:marker>
          <c:dLbls>
            <c:dLbl>
              <c:idx val="15"/>
              <c:layout>
                <c:manualLayout>
                  <c:x val="-1.1809952910087835E-2"/>
                  <c:y val="3.1261356753482739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33D5-4D47-8C8B-AB4D51C10CBB}"/>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Sheet1!$B$38:$Q$38</c:f>
              <c:numCache>
                <c:formatCode>General</c:formatCode>
                <c:ptCount val="16"/>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numCache>
            </c:numRef>
          </c:cat>
          <c:val>
            <c:numRef>
              <c:f>Sheet1!$B$40:$Q$40</c:f>
              <c:numCache>
                <c:formatCode>0.0</c:formatCode>
                <c:ptCount val="16"/>
                <c:pt idx="0">
                  <c:v>0.4</c:v>
                </c:pt>
                <c:pt idx="1">
                  <c:v>0.2</c:v>
                </c:pt>
                <c:pt idx="2">
                  <c:v>0.31</c:v>
                </c:pt>
                <c:pt idx="3">
                  <c:v>0.7</c:v>
                </c:pt>
                <c:pt idx="4">
                  <c:v>0.98</c:v>
                </c:pt>
                <c:pt idx="5">
                  <c:v>0.71</c:v>
                </c:pt>
                <c:pt idx="6">
                  <c:v>0.56999999999999995</c:v>
                </c:pt>
                <c:pt idx="7">
                  <c:v>0.97</c:v>
                </c:pt>
                <c:pt idx="8">
                  <c:v>0.76</c:v>
                </c:pt>
                <c:pt idx="9">
                  <c:v>0.65</c:v>
                </c:pt>
                <c:pt idx="10">
                  <c:v>1.18</c:v>
                </c:pt>
                <c:pt idx="11">
                  <c:v>1.1599999999999999</c:v>
                </c:pt>
                <c:pt idx="12">
                  <c:v>0.9</c:v>
                </c:pt>
                <c:pt idx="13">
                  <c:v>1.5</c:v>
                </c:pt>
                <c:pt idx="14">
                  <c:v>2</c:v>
                </c:pt>
                <c:pt idx="15" formatCode="General">
                  <c:v>0.7</c:v>
                </c:pt>
              </c:numCache>
            </c:numRef>
          </c:val>
          <c:smooth val="0"/>
          <c:extLst xmlns:c16r2="http://schemas.microsoft.com/office/drawing/2015/06/chart">
            <c:ext xmlns:c16="http://schemas.microsoft.com/office/drawing/2014/chart" uri="{C3380CC4-5D6E-409C-BE32-E72D297353CC}">
              <c16:uniqueId val="{0000000A-33D5-4D47-8C8B-AB4D51C10CBB}"/>
            </c:ext>
          </c:extLst>
        </c:ser>
        <c:ser>
          <c:idx val="2"/>
          <c:order val="2"/>
          <c:tx>
            <c:strRef>
              <c:f>Sheet1!$A$41</c:f>
              <c:strCache>
                <c:ptCount val="1"/>
                <c:pt idx="0">
                  <c:v>Lietuva</c:v>
                </c:pt>
              </c:strCache>
            </c:strRef>
          </c:tx>
          <c:spPr>
            <a:ln w="28575" cap="rnd">
              <a:solidFill>
                <a:schemeClr val="accent3"/>
              </a:solidFill>
              <a:round/>
            </a:ln>
            <a:effectLst/>
          </c:spPr>
          <c:marker>
            <c:symbol val="square"/>
            <c:size val="5"/>
            <c:spPr>
              <a:solidFill>
                <a:schemeClr val="accent3"/>
              </a:solidFill>
              <a:ln w="6350">
                <a:solidFill>
                  <a:schemeClr val="accent3"/>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Sheet1!$B$38:$Q$38</c:f>
              <c:numCache>
                <c:formatCode>General</c:formatCode>
                <c:ptCount val="16"/>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numCache>
            </c:numRef>
          </c:cat>
          <c:val>
            <c:numRef>
              <c:f>Sheet1!$B$41:$Q$41</c:f>
              <c:numCache>
                <c:formatCode>0.0</c:formatCode>
                <c:ptCount val="16"/>
                <c:pt idx="0">
                  <c:v>1.4</c:v>
                </c:pt>
                <c:pt idx="1">
                  <c:v>0.7</c:v>
                </c:pt>
                <c:pt idx="2">
                  <c:v>0.65</c:v>
                </c:pt>
                <c:pt idx="3">
                  <c:v>1.83</c:v>
                </c:pt>
                <c:pt idx="4">
                  <c:v>1.82</c:v>
                </c:pt>
                <c:pt idx="5">
                  <c:v>1.1100000000000001</c:v>
                </c:pt>
                <c:pt idx="6">
                  <c:v>1.54</c:v>
                </c:pt>
                <c:pt idx="7">
                  <c:v>1.69</c:v>
                </c:pt>
                <c:pt idx="8">
                  <c:v>1.2</c:v>
                </c:pt>
                <c:pt idx="9">
                  <c:v>1.1599999999999999</c:v>
                </c:pt>
                <c:pt idx="10">
                  <c:v>2.21</c:v>
                </c:pt>
                <c:pt idx="11">
                  <c:v>1.67</c:v>
                </c:pt>
                <c:pt idx="12">
                  <c:v>1.4</c:v>
                </c:pt>
                <c:pt idx="13">
                  <c:v>2.5</c:v>
                </c:pt>
                <c:pt idx="14">
                  <c:v>2.4</c:v>
                </c:pt>
                <c:pt idx="15" formatCode="General">
                  <c:v>1.3</c:v>
                </c:pt>
              </c:numCache>
            </c:numRef>
          </c:val>
          <c:smooth val="0"/>
          <c:extLst xmlns:c16r2="http://schemas.microsoft.com/office/drawing/2015/06/chart">
            <c:ext xmlns:c16="http://schemas.microsoft.com/office/drawing/2014/chart" uri="{C3380CC4-5D6E-409C-BE32-E72D297353CC}">
              <c16:uniqueId val="{0000000B-33D5-4D47-8C8B-AB4D51C10CBB}"/>
            </c:ext>
          </c:extLst>
        </c:ser>
        <c:dLbls>
          <c:dLblPos val="t"/>
          <c:showLegendKey val="0"/>
          <c:showVal val="1"/>
          <c:showCatName val="0"/>
          <c:showSerName val="0"/>
          <c:showPercent val="0"/>
          <c:showBubbleSize val="0"/>
        </c:dLbls>
        <c:marker val="1"/>
        <c:smooth val="0"/>
        <c:axId val="356498000"/>
        <c:axId val="356494080"/>
      </c:lineChart>
      <c:catAx>
        <c:axId val="356498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356494080"/>
        <c:crosses val="autoZero"/>
        <c:auto val="1"/>
        <c:lblAlgn val="ctr"/>
        <c:lblOffset val="100"/>
        <c:noMultiLvlLbl val="0"/>
      </c:catAx>
      <c:valAx>
        <c:axId val="3564940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t-LT" sz="900" b="1" i="0" baseline="0">
                    <a:solidFill>
                      <a:sysClr val="windowText" lastClr="000000"/>
                    </a:solidFill>
                    <a:effectLst/>
                    <a:latin typeface="Times New Roman" panose="02020603050405020304" pitchFamily="18" charset="0"/>
                    <a:cs typeface="Times New Roman" panose="02020603050405020304" pitchFamily="18" charset="0"/>
                  </a:rPr>
                  <a:t>Atvejų skaičius 10 000 tūkst. gyventojų</a:t>
                </a:r>
                <a:endParaRPr lang="lt-LT" sz="900">
                  <a:solidFill>
                    <a:sysClr val="windowText" lastClr="000000"/>
                  </a:solidFill>
                  <a:effectLst/>
                  <a:latin typeface="Times New Roman" panose="02020603050405020304" pitchFamily="18" charset="0"/>
                  <a:cs typeface="Times New Roman" panose="02020603050405020304" pitchFamily="18" charset="0"/>
                </a:endParaRPr>
              </a:p>
            </c:rich>
          </c:tx>
          <c:layout>
            <c:manualLayout>
              <c:xMode val="edge"/>
              <c:yMode val="edge"/>
              <c:x val="2.9594478552568684E-4"/>
              <c:y val="0.24231316932355632"/>
            </c:manualLayout>
          </c:layout>
          <c:overlay val="0"/>
          <c:spPr>
            <a:noFill/>
            <a:ln>
              <a:noFill/>
            </a:ln>
            <a:effectLst/>
          </c:sp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356498000"/>
        <c:crosses val="autoZero"/>
        <c:crossBetween val="between"/>
      </c:valAx>
      <c:spPr>
        <a:noFill/>
        <a:ln>
          <a:noFill/>
        </a:ln>
        <a:effectLst/>
      </c:spPr>
    </c:plotArea>
    <c:legend>
      <c:legendPos val="b"/>
      <c:layout>
        <c:manualLayout>
          <c:xMode val="edge"/>
          <c:yMode val="edge"/>
          <c:x val="6.9510406249531559E-2"/>
          <c:y val="0.9254447634835119"/>
          <c:w val="0.87547619914385866"/>
          <c:h val="6.4915525084732653E-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600">
                <a:latin typeface="Times New Roman" pitchFamily="18" charset="0"/>
                <a:cs typeface="Times New Roman" pitchFamily="18" charset="0"/>
              </a:defRPr>
            </a:pPr>
            <a:r>
              <a:rPr lang="lt-LT" sz="1200">
                <a:latin typeface="Times New Roman" pitchFamily="18" charset="0"/>
                <a:cs typeface="Times New Roman" pitchFamily="18" charset="0"/>
              </a:rPr>
              <a:t>Natūralios</a:t>
            </a:r>
            <a:r>
              <a:rPr lang="lt-LT" sz="1200" baseline="0">
                <a:latin typeface="Times New Roman" pitchFamily="18" charset="0"/>
                <a:cs typeface="Times New Roman" pitchFamily="18" charset="0"/>
              </a:rPr>
              <a:t> gyventojų kaitos dinamika 2019‒2021 m. (abs. sk.)</a:t>
            </a:r>
            <a:endParaRPr lang="en-US" sz="1200">
              <a:latin typeface="Times New Roman" pitchFamily="18" charset="0"/>
              <a:cs typeface="Times New Roman" pitchFamily="18" charset="0"/>
            </a:endParaRPr>
          </a:p>
        </c:rich>
      </c:tx>
      <c:layout>
        <c:manualLayout>
          <c:xMode val="edge"/>
          <c:yMode val="edge"/>
          <c:x val="0.14660610398906748"/>
          <c:y val="6.4590542099192613E-2"/>
        </c:manualLayout>
      </c:layout>
      <c:overlay val="0"/>
    </c:title>
    <c:autoTitleDeleted val="0"/>
    <c:plotArea>
      <c:layout>
        <c:manualLayout>
          <c:layoutTarget val="inner"/>
          <c:xMode val="edge"/>
          <c:yMode val="edge"/>
          <c:x val="1.6203703703703703E-2"/>
          <c:y val="0.25516747906511689"/>
          <c:w val="0.70138888888888884"/>
          <c:h val="0.69459389285152551"/>
        </c:manualLayout>
      </c:layout>
      <c:barChart>
        <c:barDir val="bar"/>
        <c:grouping val="clustered"/>
        <c:varyColors val="0"/>
        <c:ser>
          <c:idx val="0"/>
          <c:order val="0"/>
          <c:tx>
            <c:strRef>
              <c:f>Sheet1!$B$1</c:f>
              <c:strCache>
                <c:ptCount val="1"/>
                <c:pt idx="0">
                  <c:v>Lietuvos Respublika</c:v>
                </c:pt>
              </c:strCache>
            </c:strRef>
          </c:tx>
          <c:invertIfNegative val="0"/>
          <c:dLbls>
            <c:dLbl>
              <c:idx val="0"/>
              <c:layout/>
              <c:tx>
                <c:rich>
                  <a:bodyPr/>
                  <a:lstStyle/>
                  <a:p>
                    <a:r>
                      <a:rPr lang="en-US"/>
                      <a:t>-</a:t>
                    </a:r>
                    <a:fld id="{AB3B833C-EC5B-4689-B32E-A6C235084D14}" type="VALUE">
                      <a:rPr lang="en-US"/>
                      <a:pPr/>
                      <a:t>[REIKŠMĖ]</a:t>
                    </a:fld>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2D31-427B-9D07-E0DD6F93D434}"/>
                </c:ext>
                <c:ext xmlns:c15="http://schemas.microsoft.com/office/drawing/2012/chart" uri="{CE6537A1-D6FC-4f65-9D91-7224C49458BB}">
                  <c15:layout/>
                  <c15:dlblFieldTable/>
                  <c15:showDataLabelsRange val="0"/>
                </c:ext>
              </c:extLst>
            </c:dLbl>
            <c:dLbl>
              <c:idx val="1"/>
              <c:layout/>
              <c:tx>
                <c:rich>
                  <a:bodyPr/>
                  <a:lstStyle/>
                  <a:p>
                    <a:r>
                      <a:rPr lang="en-US"/>
                      <a:t>-</a:t>
                    </a:r>
                    <a:fld id="{3DB8B3FC-FC73-4842-8A7E-0DEC33595042}" type="VALUE">
                      <a:rPr lang="en-US"/>
                      <a:pPr/>
                      <a:t>[REIKŠMĖ]</a:t>
                    </a:fld>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2D31-427B-9D07-E0DD6F93D434}"/>
                </c:ext>
                <c:ext xmlns:c15="http://schemas.microsoft.com/office/drawing/2012/chart" uri="{CE6537A1-D6FC-4f65-9D91-7224C49458BB}">
                  <c15:layout/>
                  <c15:dlblFieldTable/>
                  <c15:showDataLabelsRange val="0"/>
                </c:ext>
              </c:extLst>
            </c:dLbl>
            <c:dLbl>
              <c:idx val="2"/>
              <c:layout/>
              <c:tx>
                <c:rich>
                  <a:bodyPr/>
                  <a:lstStyle/>
                  <a:p>
                    <a:r>
                      <a:rPr lang="en-US"/>
                      <a:t>-</a:t>
                    </a:r>
                    <a:fld id="{2906867C-C230-48D1-9689-904354F3DC63}" type="VALUE">
                      <a:rPr lang="en-US"/>
                      <a:pPr/>
                      <a:t>[REIKŠMĖ]</a:t>
                    </a:fld>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2D31-427B-9D07-E0DD6F93D434}"/>
                </c:ext>
                <c:ext xmlns:c15="http://schemas.microsoft.com/office/drawing/2012/chart" uri="{CE6537A1-D6FC-4f65-9D91-7224C49458BB}">
                  <c15:layout/>
                  <c15:dlblFieldTable/>
                  <c15:showDataLabelsRange val="0"/>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Sheet1!$A$2:$A$4</c:f>
              <c:strCache>
                <c:ptCount val="3"/>
                <c:pt idx="0">
                  <c:v>2019 m.</c:v>
                </c:pt>
                <c:pt idx="1">
                  <c:v>2020 m.</c:v>
                </c:pt>
                <c:pt idx="2">
                  <c:v>2021 m.</c:v>
                </c:pt>
              </c:strCache>
            </c:strRef>
          </c:cat>
          <c:val>
            <c:numRef>
              <c:f>Sheet1!$B$2:$B$4</c:f>
              <c:numCache>
                <c:formatCode>General</c:formatCode>
                <c:ptCount val="3"/>
                <c:pt idx="0">
                  <c:v>10888</c:v>
                </c:pt>
                <c:pt idx="1">
                  <c:v>18403</c:v>
                </c:pt>
                <c:pt idx="2">
                  <c:v>24416</c:v>
                </c:pt>
              </c:numCache>
            </c:numRef>
          </c:val>
          <c:extLst xmlns:c16r2="http://schemas.microsoft.com/office/drawing/2015/06/chart">
            <c:ext xmlns:c16="http://schemas.microsoft.com/office/drawing/2014/chart" uri="{C3380CC4-5D6E-409C-BE32-E72D297353CC}">
              <c16:uniqueId val="{00000003-2D31-427B-9D07-E0DD6F93D434}"/>
            </c:ext>
          </c:extLst>
        </c:ser>
        <c:ser>
          <c:idx val="1"/>
          <c:order val="1"/>
          <c:tx>
            <c:strRef>
              <c:f>Sheet1!$C$1</c:f>
              <c:strCache>
                <c:ptCount val="1"/>
                <c:pt idx="0">
                  <c:v>Klaipėdos apskritis</c:v>
                </c:pt>
              </c:strCache>
            </c:strRef>
          </c:tx>
          <c:invertIfNegative val="0"/>
          <c:dLbls>
            <c:dLbl>
              <c:idx val="0"/>
              <c:layout>
                <c:manualLayout>
                  <c:x val="1.9680330656342313E-2"/>
                  <c:y val="-1.2080359113989256E-2"/>
                </c:manualLayout>
              </c:layout>
              <c:tx>
                <c:rich>
                  <a:bodyPr/>
                  <a:lstStyle/>
                  <a:p>
                    <a:r>
                      <a:rPr lang="en-US"/>
                      <a:t>-</a:t>
                    </a:r>
                    <a:fld id="{19C49BA6-7BBF-49C5-8144-EE5865B3A66A}" type="VALUE">
                      <a:rPr lang="en-US"/>
                      <a:pPr/>
                      <a:t>[REIKŠMĖ]</a:t>
                    </a:fld>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2D31-427B-9D07-E0DD6F93D434}"/>
                </c:ext>
                <c:ext xmlns:c15="http://schemas.microsoft.com/office/drawing/2012/chart" uri="{CE6537A1-D6FC-4f65-9D91-7224C49458BB}">
                  <c15:layout/>
                  <c15:dlblFieldTable/>
                  <c15:showDataLabelsRange val="0"/>
                </c:ext>
              </c:extLst>
            </c:dLbl>
            <c:dLbl>
              <c:idx val="1"/>
              <c:layout>
                <c:manualLayout>
                  <c:x val="1.9080231250163456E-2"/>
                  <c:y val="-7.7366497412122547E-3"/>
                </c:manualLayout>
              </c:layout>
              <c:tx>
                <c:rich>
                  <a:bodyPr/>
                  <a:lstStyle/>
                  <a:p>
                    <a:r>
                      <a:rPr lang="en-US"/>
                      <a:t>-</a:t>
                    </a:r>
                    <a:fld id="{823B85A3-E16C-432F-8BA3-1F08C1CE6018}" type="VALUE">
                      <a:rPr lang="en-US"/>
                      <a:pPr/>
                      <a:t>[REIKŠMĖ]</a:t>
                    </a:fld>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2D31-427B-9D07-E0DD6F93D434}"/>
                </c:ext>
                <c:ext xmlns:c15="http://schemas.microsoft.com/office/drawing/2012/chart" uri="{CE6537A1-D6FC-4f65-9D91-7224C49458BB}">
                  <c15:layout/>
                  <c15:dlblFieldTable/>
                  <c15:showDataLabelsRange val="0"/>
                </c:ext>
              </c:extLst>
            </c:dLbl>
            <c:dLbl>
              <c:idx val="2"/>
              <c:layout>
                <c:manualLayout>
                  <c:x val="1.4435695538057722E-2"/>
                  <c:y val="-4.3440364346979989E-3"/>
                </c:manualLayout>
              </c:layout>
              <c:tx>
                <c:rich>
                  <a:bodyPr/>
                  <a:lstStyle/>
                  <a:p>
                    <a:r>
                      <a:rPr lang="en-US"/>
                      <a:t>-</a:t>
                    </a:r>
                    <a:fld id="{AF8745A7-81F8-4726-8B0A-3E3798B6E6DD}" type="VALUE">
                      <a:rPr lang="en-US"/>
                      <a:pPr/>
                      <a:t>[REIKŠMĖ]</a:t>
                    </a:fld>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2D31-427B-9D07-E0DD6F93D434}"/>
                </c:ext>
                <c:ext xmlns:c15="http://schemas.microsoft.com/office/drawing/2012/chart" uri="{CE6537A1-D6FC-4f65-9D91-7224C49458BB}">
                  <c15:layout/>
                  <c15:dlblFieldTable/>
                  <c15:showDataLabelsRange val="0"/>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Sheet1!$A$2:$A$4</c:f>
              <c:strCache>
                <c:ptCount val="3"/>
                <c:pt idx="0">
                  <c:v>2019 m.</c:v>
                </c:pt>
                <c:pt idx="1">
                  <c:v>2020 m.</c:v>
                </c:pt>
                <c:pt idx="2">
                  <c:v>2021 m.</c:v>
                </c:pt>
              </c:strCache>
            </c:strRef>
          </c:cat>
          <c:val>
            <c:numRef>
              <c:f>Sheet1!$C$2:$C$4</c:f>
              <c:numCache>
                <c:formatCode>General</c:formatCode>
                <c:ptCount val="3"/>
                <c:pt idx="0">
                  <c:v>834</c:v>
                </c:pt>
                <c:pt idx="1">
                  <c:v>1782</c:v>
                </c:pt>
                <c:pt idx="2">
                  <c:v>2398</c:v>
                </c:pt>
              </c:numCache>
            </c:numRef>
          </c:val>
          <c:extLst xmlns:c16r2="http://schemas.microsoft.com/office/drawing/2015/06/chart">
            <c:ext xmlns:c16="http://schemas.microsoft.com/office/drawing/2014/chart" uri="{C3380CC4-5D6E-409C-BE32-E72D297353CC}">
              <c16:uniqueId val="{00000007-2D31-427B-9D07-E0DD6F93D434}"/>
            </c:ext>
          </c:extLst>
        </c:ser>
        <c:ser>
          <c:idx val="2"/>
          <c:order val="2"/>
          <c:tx>
            <c:strRef>
              <c:f>Sheet1!$D$1</c:f>
              <c:strCache>
                <c:ptCount val="1"/>
                <c:pt idx="0">
                  <c:v>Klaipėdos m. sav.</c:v>
                </c:pt>
              </c:strCache>
            </c:strRef>
          </c:tx>
          <c:invertIfNegative val="0"/>
          <c:dLbls>
            <c:dLbl>
              <c:idx val="0"/>
              <c:layout/>
              <c:tx>
                <c:rich>
                  <a:bodyPr/>
                  <a:lstStyle/>
                  <a:p>
                    <a:r>
                      <a:rPr lang="en-US"/>
                      <a:t>-</a:t>
                    </a:r>
                    <a:fld id="{5A282D00-8234-490E-B71D-4D10EB56EED8}" type="VALUE">
                      <a:rPr lang="en-US"/>
                      <a:pPr/>
                      <a:t>[REIKŠMĖ]</a:t>
                    </a:fld>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2D31-427B-9D07-E0DD6F93D434}"/>
                </c:ext>
                <c:ext xmlns:c15="http://schemas.microsoft.com/office/drawing/2012/chart" uri="{CE6537A1-D6FC-4f65-9D91-7224C49458BB}">
                  <c15:layout/>
                  <c15:dlblFieldTable/>
                  <c15:showDataLabelsRange val="0"/>
                </c:ext>
              </c:extLst>
            </c:dLbl>
            <c:dLbl>
              <c:idx val="1"/>
              <c:layout/>
              <c:tx>
                <c:rich>
                  <a:bodyPr/>
                  <a:lstStyle/>
                  <a:p>
                    <a:r>
                      <a:rPr lang="en-US"/>
                      <a:t>-</a:t>
                    </a:r>
                    <a:fld id="{D5436764-46B0-4BFC-B206-15F6335CFD5F}" type="VALUE">
                      <a:rPr lang="en-US"/>
                      <a:pPr/>
                      <a:t>[REIKŠMĖ]</a:t>
                    </a:fld>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2D31-427B-9D07-E0DD6F93D434}"/>
                </c:ext>
                <c:ext xmlns:c15="http://schemas.microsoft.com/office/drawing/2012/chart" uri="{CE6537A1-D6FC-4f65-9D91-7224C49458BB}">
                  <c15:layout/>
                  <c15:dlblFieldTable/>
                  <c15:showDataLabelsRange val="0"/>
                </c:ext>
              </c:extLst>
            </c:dLbl>
            <c:dLbl>
              <c:idx val="2"/>
              <c:layout/>
              <c:tx>
                <c:rich>
                  <a:bodyPr/>
                  <a:lstStyle/>
                  <a:p>
                    <a:r>
                      <a:rPr lang="en-US"/>
                      <a:t>-</a:t>
                    </a:r>
                    <a:fld id="{FE5554A3-F0EC-4BA7-B2F1-836315CB1701}" type="VALUE">
                      <a:rPr lang="en-US"/>
                      <a:pPr/>
                      <a:t>[REIKŠMĖ]</a:t>
                    </a:fld>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2D31-427B-9D07-E0DD6F93D434}"/>
                </c:ext>
                <c:ext xmlns:c15="http://schemas.microsoft.com/office/drawing/2012/chart" uri="{CE6537A1-D6FC-4f65-9D91-7224C49458BB}">
                  <c15:layout/>
                  <c15:dlblFieldTable/>
                  <c15:showDataLabelsRange val="0"/>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Sheet1!$A$2:$A$4</c:f>
              <c:strCache>
                <c:ptCount val="3"/>
                <c:pt idx="0">
                  <c:v>2019 m.</c:v>
                </c:pt>
                <c:pt idx="1">
                  <c:v>2020 m.</c:v>
                </c:pt>
                <c:pt idx="2">
                  <c:v>2021 m.</c:v>
                </c:pt>
              </c:strCache>
            </c:strRef>
          </c:cat>
          <c:val>
            <c:numRef>
              <c:f>Sheet1!$D$2:$D$4</c:f>
              <c:numCache>
                <c:formatCode>General</c:formatCode>
                <c:ptCount val="3"/>
                <c:pt idx="0">
                  <c:v>370</c:v>
                </c:pt>
                <c:pt idx="1">
                  <c:v>861</c:v>
                </c:pt>
                <c:pt idx="2">
                  <c:v>1093</c:v>
                </c:pt>
              </c:numCache>
            </c:numRef>
          </c:val>
          <c:extLst xmlns:c16r2="http://schemas.microsoft.com/office/drawing/2015/06/chart">
            <c:ext xmlns:c16="http://schemas.microsoft.com/office/drawing/2014/chart" uri="{C3380CC4-5D6E-409C-BE32-E72D297353CC}">
              <c16:uniqueId val="{0000000B-2D31-427B-9D07-E0DD6F93D434}"/>
            </c:ext>
          </c:extLst>
        </c:ser>
        <c:dLbls>
          <c:showLegendKey val="0"/>
          <c:showVal val="1"/>
          <c:showCatName val="0"/>
          <c:showSerName val="0"/>
          <c:showPercent val="0"/>
          <c:showBubbleSize val="0"/>
        </c:dLbls>
        <c:gapWidth val="150"/>
        <c:axId val="314122736"/>
        <c:axId val="356419720"/>
      </c:barChart>
      <c:catAx>
        <c:axId val="314122736"/>
        <c:scaling>
          <c:orientation val="minMax"/>
        </c:scaling>
        <c:delete val="0"/>
        <c:axPos val="l"/>
        <c:numFmt formatCode="General" sourceLinked="0"/>
        <c:majorTickMark val="none"/>
        <c:minorTickMark val="none"/>
        <c:tickLblPos val="nextTo"/>
        <c:crossAx val="356419720"/>
        <c:crosses val="autoZero"/>
        <c:auto val="1"/>
        <c:lblAlgn val="ctr"/>
        <c:lblOffset val="100"/>
        <c:noMultiLvlLbl val="0"/>
      </c:catAx>
      <c:valAx>
        <c:axId val="356419720"/>
        <c:scaling>
          <c:orientation val="minMax"/>
        </c:scaling>
        <c:delete val="1"/>
        <c:axPos val="b"/>
        <c:numFmt formatCode="General" sourceLinked="1"/>
        <c:majorTickMark val="out"/>
        <c:minorTickMark val="none"/>
        <c:tickLblPos val="nextTo"/>
        <c:crossAx val="314122736"/>
        <c:crosses val="autoZero"/>
        <c:crossBetween val="between"/>
      </c:valAx>
    </c:plotArea>
    <c:legend>
      <c:legendPos val="t"/>
      <c:layout>
        <c:manualLayout>
          <c:xMode val="edge"/>
          <c:yMode val="edge"/>
          <c:x val="0.75690762613006712"/>
          <c:y val="0.24583333333333332"/>
          <c:w val="0.22924030329542142"/>
          <c:h val="0.22623843144499897"/>
        </c:manualLayout>
      </c:layout>
      <c:overlay val="0"/>
      <c:txPr>
        <a:bodyPr/>
        <a:lstStyle/>
        <a:p>
          <a:pPr>
            <a:defRPr>
              <a:latin typeface="Times New Roman" pitchFamily="18" charset="0"/>
              <a:cs typeface="Times New Roman" pitchFamily="18" charset="0"/>
            </a:defRPr>
          </a:pPr>
          <a:endParaRPr lang="lt-LT"/>
        </a:p>
      </c:txPr>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pPr>
            <a:r>
              <a:rPr lang="lt-LT" sz="1200">
                <a:latin typeface="Times New Roman" pitchFamily="18" charset="0"/>
                <a:cs typeface="Times New Roman" pitchFamily="18" charset="0"/>
              </a:rPr>
              <a:t>Mirtingumas</a:t>
            </a:r>
            <a:r>
              <a:rPr lang="lt-LT" sz="1200" baseline="0">
                <a:latin typeface="Times New Roman" pitchFamily="18" charset="0"/>
                <a:cs typeface="Times New Roman" pitchFamily="18" charset="0"/>
              </a:rPr>
              <a:t> pagal priežastis 2019 m. (100 000 gyv.)</a:t>
            </a:r>
            <a:endParaRPr lang="en-US" sz="1200">
              <a:latin typeface="Times New Roman" pitchFamily="18" charset="0"/>
              <a:cs typeface="Times New Roman" pitchFamily="18" charset="0"/>
            </a:endParaRPr>
          </a:p>
        </c:rich>
      </c:tx>
      <c:layout/>
      <c:overlay val="1"/>
    </c:title>
    <c:autoTitleDeleted val="0"/>
    <c:plotArea>
      <c:layout>
        <c:manualLayout>
          <c:layoutTarget val="inner"/>
          <c:xMode val="edge"/>
          <c:yMode val="edge"/>
          <c:x val="6.9461759988334787E-2"/>
          <c:y val="0.15073959505061865"/>
          <c:w val="0.90507527704870228"/>
          <c:h val="0.71127420752121473"/>
        </c:manualLayout>
      </c:layout>
      <c:barChart>
        <c:barDir val="col"/>
        <c:grouping val="clustered"/>
        <c:varyColors val="0"/>
        <c:ser>
          <c:idx val="0"/>
          <c:order val="0"/>
          <c:tx>
            <c:strRef>
              <c:f>Sheet1!$B$1</c:f>
              <c:strCache>
                <c:ptCount val="1"/>
                <c:pt idx="0">
                  <c:v>Lietuva</c:v>
                </c:pt>
              </c:strCache>
            </c:strRef>
          </c:tx>
          <c:invertIfNegative val="0"/>
          <c:dLbls>
            <c:dLbl>
              <c:idx val="0"/>
              <c:layout>
                <c:manualLayout>
                  <c:x val="-7.2143677367793625E-3"/>
                  <c:y val="7.9266602920506201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DBC7-4D71-A70E-5C5B3B257966}"/>
                </c:ext>
                <c:ext xmlns:c15="http://schemas.microsoft.com/office/drawing/2012/chart" uri="{CE6537A1-D6FC-4f65-9D91-7224C49458BB}">
                  <c15:layout/>
                </c:ext>
              </c:extLst>
            </c:dLbl>
            <c:dLbl>
              <c:idx val="1"/>
              <c:layout>
                <c:manualLayout>
                  <c:x val="-2.8542815592155131E-3"/>
                  <c:y val="7.9266602920506392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DBC7-4D71-A70E-5C5B3B257966}"/>
                </c:ext>
                <c:ext xmlns:c15="http://schemas.microsoft.com/office/drawing/2012/chart" uri="{CE6537A1-D6FC-4f65-9D91-7224C49458BB}">
                  <c15:layout/>
                </c:ext>
              </c:extLst>
            </c:dLbl>
            <c:dLbl>
              <c:idx val="2"/>
              <c:layout>
                <c:manualLayout>
                  <c:x val="-3.6634643425756232E-3"/>
                  <c:y val="1.188999043807593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DBC7-4D71-A70E-5C5B3B257966}"/>
                </c:ext>
                <c:ext xmlns:c15="http://schemas.microsoft.com/office/drawing/2012/chart" uri="{CE6537A1-D6FC-4f65-9D91-7224C49458BB}">
                  <c15:layout/>
                </c:ext>
              </c:extLst>
            </c:dLbl>
            <c:dLbl>
              <c:idx val="3"/>
              <c:layout>
                <c:manualLayout>
                  <c:x val="-5.7080373901007547E-3"/>
                  <c:y val="7.9267588578776048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DBC7-4D71-A70E-5C5B3B257966}"/>
                </c:ext>
                <c:ext xmlns:c15="http://schemas.microsoft.com/office/drawing/2012/chart" uri="{CE6537A1-D6FC-4f65-9D91-7224C49458BB}">
                  <c15:layout/>
                </c:ext>
              </c:extLst>
            </c:dLbl>
            <c:spPr>
              <a:noFill/>
              <a:ln>
                <a:noFill/>
              </a:ln>
              <a:effectLst/>
            </c:spPr>
            <c:txPr>
              <a:bodyPr/>
              <a:lstStyle/>
              <a:p>
                <a:pPr>
                  <a:defRPr>
                    <a:latin typeface="Times New Roman" pitchFamily="18" charset="0"/>
                    <a:cs typeface="Times New Roman"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Sheet1!$A$2:$A$5</c:f>
              <c:strCache>
                <c:ptCount val="4"/>
                <c:pt idx="0">
                  <c:v>Piktybiniai navikai</c:v>
                </c:pt>
                <c:pt idx="1">
                  <c:v>Kraujotakos sitemos ligos</c:v>
                </c:pt>
                <c:pt idx="2">
                  <c:v>Išorinės mirties priežastys</c:v>
                </c:pt>
                <c:pt idx="3">
                  <c:v>Kvėpavimo sistemos ligos</c:v>
                </c:pt>
              </c:strCache>
            </c:strRef>
          </c:cat>
          <c:val>
            <c:numRef>
              <c:f>Sheet1!$B$2:$B$5</c:f>
              <c:numCache>
                <c:formatCode>General</c:formatCode>
                <c:ptCount val="4"/>
                <c:pt idx="0">
                  <c:v>287.8</c:v>
                </c:pt>
                <c:pt idx="1">
                  <c:v>748</c:v>
                </c:pt>
                <c:pt idx="2">
                  <c:v>85.7</c:v>
                </c:pt>
                <c:pt idx="3">
                  <c:v>43.2</c:v>
                </c:pt>
              </c:numCache>
            </c:numRef>
          </c:val>
          <c:extLst xmlns:c16r2="http://schemas.microsoft.com/office/drawing/2015/06/chart">
            <c:ext xmlns:c16="http://schemas.microsoft.com/office/drawing/2014/chart" uri="{C3380CC4-5D6E-409C-BE32-E72D297353CC}">
              <c16:uniqueId val="{00000004-DBC7-4D71-A70E-5C5B3B257966}"/>
            </c:ext>
          </c:extLst>
        </c:ser>
        <c:ser>
          <c:idx val="1"/>
          <c:order val="1"/>
          <c:tx>
            <c:strRef>
              <c:f>Sheet1!$C$1</c:f>
              <c:strCache>
                <c:ptCount val="1"/>
                <c:pt idx="0">
                  <c:v>Klaipėdos apskritis</c:v>
                </c:pt>
              </c:strCache>
            </c:strRef>
          </c:tx>
          <c:invertIfNegative val="0"/>
          <c:dLbls>
            <c:dLbl>
              <c:idx val="0"/>
              <c:layout>
                <c:manualLayout>
                  <c:x val="0"/>
                  <c:y val="3.9633301460253101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DBC7-4D71-A70E-5C5B3B257966}"/>
                </c:ext>
                <c:ext xmlns:c15="http://schemas.microsoft.com/office/drawing/2012/chart" uri="{CE6537A1-D6FC-4f65-9D91-7224C49458BB}">
                  <c15:layout/>
                </c:ext>
              </c:extLst>
            </c:dLbl>
            <c:dLbl>
              <c:idx val="1"/>
              <c:layout>
                <c:manualLayout>
                  <c:x val="-5.3945518890674007E-4"/>
                  <c:y val="1.58533205841012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DBC7-4D71-A70E-5C5B3B257966}"/>
                </c:ext>
                <c:ext xmlns:c15="http://schemas.microsoft.com/office/drawing/2012/chart" uri="{CE6537A1-D6FC-4f65-9D91-7224C49458BB}">
                  <c15:layout/>
                </c:ext>
              </c:extLst>
            </c:dLbl>
            <c:dLbl>
              <c:idx val="2"/>
              <c:layout>
                <c:manualLayout>
                  <c:x val="-2.3148148148148997E-3"/>
                  <c:y val="3.9633301460253101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DBC7-4D71-A70E-5C5B3B257966}"/>
                </c:ext>
                <c:ext xmlns:c15="http://schemas.microsoft.com/office/drawing/2012/chart" uri="{CE6537A1-D6FC-4f65-9D91-7224C49458BB}">
                  <c15:layout/>
                </c:ext>
              </c:extLst>
            </c:dLbl>
            <c:dLbl>
              <c:idx val="3"/>
              <c:layout>
                <c:manualLayout>
                  <c:x val="-4.6296296296296294E-3"/>
                  <c:y val="7.9266602920506201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DBC7-4D71-A70E-5C5B3B257966}"/>
                </c:ext>
                <c:ext xmlns:c15="http://schemas.microsoft.com/office/drawing/2012/chart" uri="{CE6537A1-D6FC-4f65-9D91-7224C49458BB}">
                  <c15:layout/>
                </c:ext>
              </c:extLst>
            </c:dLbl>
            <c:spPr>
              <a:noFill/>
              <a:ln>
                <a:noFill/>
              </a:ln>
              <a:effectLst/>
            </c:spPr>
            <c:txPr>
              <a:bodyPr/>
              <a:lstStyle/>
              <a:p>
                <a:pPr>
                  <a:defRPr>
                    <a:latin typeface="Times New Roman" pitchFamily="18" charset="0"/>
                    <a:cs typeface="Times New Roman"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Sheet1!$A$2:$A$5</c:f>
              <c:strCache>
                <c:ptCount val="4"/>
                <c:pt idx="0">
                  <c:v>Piktybiniai navikai</c:v>
                </c:pt>
                <c:pt idx="1">
                  <c:v>Kraujotakos sitemos ligos</c:v>
                </c:pt>
                <c:pt idx="2">
                  <c:v>Išorinės mirties priežastys</c:v>
                </c:pt>
                <c:pt idx="3">
                  <c:v>Kvėpavimo sistemos ligos</c:v>
                </c:pt>
              </c:strCache>
            </c:strRef>
          </c:cat>
          <c:val>
            <c:numRef>
              <c:f>Sheet1!$C$2:$C$5</c:f>
              <c:numCache>
                <c:formatCode>General</c:formatCode>
                <c:ptCount val="4"/>
                <c:pt idx="0">
                  <c:v>303.89999999999998</c:v>
                </c:pt>
                <c:pt idx="1">
                  <c:v>695</c:v>
                </c:pt>
                <c:pt idx="2">
                  <c:v>79.7</c:v>
                </c:pt>
                <c:pt idx="3">
                  <c:v>53.3</c:v>
                </c:pt>
              </c:numCache>
            </c:numRef>
          </c:val>
          <c:extLst xmlns:c16r2="http://schemas.microsoft.com/office/drawing/2015/06/chart">
            <c:ext xmlns:c16="http://schemas.microsoft.com/office/drawing/2014/chart" uri="{C3380CC4-5D6E-409C-BE32-E72D297353CC}">
              <c16:uniqueId val="{00000009-DBC7-4D71-A70E-5C5B3B257966}"/>
            </c:ext>
          </c:extLst>
        </c:ser>
        <c:ser>
          <c:idx val="2"/>
          <c:order val="2"/>
          <c:tx>
            <c:strRef>
              <c:f>Sheet1!$D$1</c:f>
              <c:strCache>
                <c:ptCount val="1"/>
                <c:pt idx="0">
                  <c:v>Klaipėdos m.</c:v>
                </c:pt>
              </c:strCache>
            </c:strRef>
          </c:tx>
          <c:invertIfNegative val="0"/>
          <c:dLbls>
            <c:dLbl>
              <c:idx val="0"/>
              <c:layout>
                <c:manualLayout>
                  <c:x val="3.1240091536688832E-3"/>
                  <c:y val="1.188999043807593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DBC7-4D71-A70E-5C5B3B257966}"/>
                </c:ext>
                <c:ext xmlns:c15="http://schemas.microsoft.com/office/drawing/2012/chart" uri="{CE6537A1-D6FC-4f65-9D91-7224C49458BB}">
                  <c15:layout/>
                </c:ext>
              </c:extLst>
            </c:dLbl>
            <c:dLbl>
              <c:idx val="1"/>
              <c:layout>
                <c:manualLayout>
                  <c:x val="3.1240091536688832E-3"/>
                  <c:y val="1.188999043807593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DBC7-4D71-A70E-5C5B3B257966}"/>
                </c:ext>
                <c:ext xmlns:c15="http://schemas.microsoft.com/office/drawing/2012/chart" uri="{CE6537A1-D6FC-4f65-9D91-7224C49458BB}">
                  <c15:layout/>
                </c:ext>
              </c:extLst>
            </c:dLbl>
            <c:dLbl>
              <c:idx val="2"/>
              <c:layout>
                <c:manualLayout>
                  <c:x val="2.3148148148148147E-3"/>
                  <c:y val="1.188999043807593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DBC7-4D71-A70E-5C5B3B257966}"/>
                </c:ext>
                <c:ext xmlns:c15="http://schemas.microsoft.com/office/drawing/2012/chart" uri="{CE6537A1-D6FC-4f65-9D91-7224C49458BB}">
                  <c15:layout/>
                </c:ext>
              </c:extLst>
            </c:dLbl>
            <c:dLbl>
              <c:idx val="3"/>
              <c:layout>
                <c:manualLayout>
                  <c:x val="2.3148148148148147E-3"/>
                  <c:y val="1.188999043807593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DBC7-4D71-A70E-5C5B3B257966}"/>
                </c:ext>
                <c:ext xmlns:c15="http://schemas.microsoft.com/office/drawing/2012/chart" uri="{CE6537A1-D6FC-4f65-9D91-7224C49458BB}">
                  <c15:layout/>
                </c:ext>
              </c:extLst>
            </c:dLbl>
            <c:spPr>
              <a:noFill/>
              <a:ln>
                <a:noFill/>
              </a:ln>
              <a:effectLst/>
            </c:spPr>
            <c:txPr>
              <a:bodyPr/>
              <a:lstStyle/>
              <a:p>
                <a:pPr>
                  <a:defRPr sz="1000">
                    <a:latin typeface="Times New Roman" pitchFamily="18" charset="0"/>
                    <a:cs typeface="Times New Roman"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Sheet1!$A$2:$A$5</c:f>
              <c:strCache>
                <c:ptCount val="4"/>
                <c:pt idx="0">
                  <c:v>Piktybiniai navikai</c:v>
                </c:pt>
                <c:pt idx="1">
                  <c:v>Kraujotakos sitemos ligos</c:v>
                </c:pt>
                <c:pt idx="2">
                  <c:v>Išorinės mirties priežastys</c:v>
                </c:pt>
                <c:pt idx="3">
                  <c:v>Kvėpavimo sistemos ligos</c:v>
                </c:pt>
              </c:strCache>
            </c:strRef>
          </c:cat>
          <c:val>
            <c:numRef>
              <c:f>Sheet1!$D$2:$D$5</c:f>
              <c:numCache>
                <c:formatCode>General</c:formatCode>
                <c:ptCount val="4"/>
                <c:pt idx="0">
                  <c:v>331.3</c:v>
                </c:pt>
                <c:pt idx="1">
                  <c:v>662.6</c:v>
                </c:pt>
                <c:pt idx="2">
                  <c:v>86.9</c:v>
                </c:pt>
                <c:pt idx="3">
                  <c:v>49.2</c:v>
                </c:pt>
              </c:numCache>
            </c:numRef>
          </c:val>
          <c:extLst xmlns:c16r2="http://schemas.microsoft.com/office/drawing/2015/06/chart">
            <c:ext xmlns:c16="http://schemas.microsoft.com/office/drawing/2014/chart" uri="{C3380CC4-5D6E-409C-BE32-E72D297353CC}">
              <c16:uniqueId val="{0000000E-DBC7-4D71-A70E-5C5B3B257966}"/>
            </c:ext>
          </c:extLst>
        </c:ser>
        <c:dLbls>
          <c:showLegendKey val="0"/>
          <c:showVal val="1"/>
          <c:showCatName val="0"/>
          <c:showSerName val="0"/>
          <c:showPercent val="0"/>
          <c:showBubbleSize val="0"/>
        </c:dLbls>
        <c:gapWidth val="75"/>
        <c:axId val="303001968"/>
        <c:axId val="315389608"/>
      </c:barChart>
      <c:catAx>
        <c:axId val="303001968"/>
        <c:scaling>
          <c:orientation val="minMax"/>
        </c:scaling>
        <c:delete val="0"/>
        <c:axPos val="b"/>
        <c:numFmt formatCode="General" sourceLinked="0"/>
        <c:majorTickMark val="none"/>
        <c:minorTickMark val="none"/>
        <c:tickLblPos val="nextTo"/>
        <c:txPr>
          <a:bodyPr/>
          <a:lstStyle/>
          <a:p>
            <a:pPr>
              <a:defRPr sz="900">
                <a:latin typeface="Times New Roman" pitchFamily="18" charset="0"/>
                <a:cs typeface="Times New Roman" pitchFamily="18" charset="0"/>
              </a:defRPr>
            </a:pPr>
            <a:endParaRPr lang="lt-LT"/>
          </a:p>
        </c:txPr>
        <c:crossAx val="315389608"/>
        <c:crosses val="autoZero"/>
        <c:auto val="1"/>
        <c:lblAlgn val="ctr"/>
        <c:lblOffset val="100"/>
        <c:noMultiLvlLbl val="0"/>
      </c:catAx>
      <c:valAx>
        <c:axId val="315389608"/>
        <c:scaling>
          <c:orientation val="minMax"/>
        </c:scaling>
        <c:delete val="0"/>
        <c:axPos val="l"/>
        <c:numFmt formatCode="General" sourceLinked="1"/>
        <c:majorTickMark val="none"/>
        <c:minorTickMark val="none"/>
        <c:tickLblPos val="nextTo"/>
        <c:txPr>
          <a:bodyPr/>
          <a:lstStyle/>
          <a:p>
            <a:pPr>
              <a:defRPr>
                <a:latin typeface="Times New Roman" pitchFamily="18" charset="0"/>
                <a:cs typeface="Times New Roman" pitchFamily="18" charset="0"/>
              </a:defRPr>
            </a:pPr>
            <a:endParaRPr lang="lt-LT"/>
          </a:p>
        </c:txPr>
        <c:crossAx val="303001968"/>
        <c:crosses val="autoZero"/>
        <c:crossBetween val="between"/>
      </c:valAx>
    </c:plotArea>
    <c:legend>
      <c:legendPos val="b"/>
      <c:layout>
        <c:manualLayout>
          <c:xMode val="edge"/>
          <c:yMode val="edge"/>
          <c:x val="0.73652850685330995"/>
          <c:y val="0.22710379952505938"/>
          <c:w val="0.25147984106153398"/>
          <c:h val="0.27332973789235249"/>
        </c:manualLayout>
      </c:layout>
      <c:overlay val="0"/>
      <c:txPr>
        <a:bodyPr/>
        <a:lstStyle/>
        <a:p>
          <a:pPr>
            <a:defRPr sz="1100">
              <a:latin typeface="Times New Roman" pitchFamily="18" charset="0"/>
              <a:cs typeface="Times New Roman" pitchFamily="18" charset="0"/>
            </a:defRPr>
          </a:pPr>
          <a:endParaRPr lang="lt-LT"/>
        </a:p>
      </c:txPr>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pPr>
            <a:r>
              <a:rPr lang="lt-LT" sz="1200">
                <a:latin typeface="Times New Roman" pitchFamily="18" charset="0"/>
                <a:cs typeface="Times New Roman" pitchFamily="18" charset="0"/>
              </a:rPr>
              <a:t>Mirtingumas</a:t>
            </a:r>
            <a:r>
              <a:rPr lang="lt-LT" sz="1200" baseline="0">
                <a:latin typeface="Times New Roman" pitchFamily="18" charset="0"/>
                <a:cs typeface="Times New Roman" pitchFamily="18" charset="0"/>
              </a:rPr>
              <a:t> pagal priežastis 2020 m. (100 000 gyv.)</a:t>
            </a:r>
            <a:endParaRPr lang="en-US" sz="1200">
              <a:latin typeface="Times New Roman" pitchFamily="18" charset="0"/>
              <a:cs typeface="Times New Roman" pitchFamily="18" charset="0"/>
            </a:endParaRPr>
          </a:p>
        </c:rich>
      </c:tx>
      <c:layout/>
      <c:overlay val="1"/>
    </c:title>
    <c:autoTitleDeleted val="0"/>
    <c:plotArea>
      <c:layout>
        <c:manualLayout>
          <c:layoutTarget val="inner"/>
          <c:xMode val="edge"/>
          <c:yMode val="edge"/>
          <c:x val="6.3207220323068053E-2"/>
          <c:y val="0.1747997166228181"/>
          <c:w val="0.91435415221420424"/>
          <c:h val="0.66618513750731423"/>
        </c:manualLayout>
      </c:layout>
      <c:barChart>
        <c:barDir val="col"/>
        <c:grouping val="clustered"/>
        <c:varyColors val="0"/>
        <c:ser>
          <c:idx val="0"/>
          <c:order val="0"/>
          <c:tx>
            <c:strRef>
              <c:f>Sheet1!$B$1</c:f>
              <c:strCache>
                <c:ptCount val="1"/>
                <c:pt idx="0">
                  <c:v>Lietuva</c:v>
                </c:pt>
              </c:strCache>
            </c:strRef>
          </c:tx>
          <c:invertIfNegative val="0"/>
          <c:dLbls>
            <c:dLbl>
              <c:idx val="0"/>
              <c:layout>
                <c:manualLayout>
                  <c:x val="-1.0199376119421684E-2"/>
                  <c:y val="7.9266627657500234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72EA-47E4-839C-FA6D842BE221}"/>
                </c:ext>
                <c:ext xmlns:c15="http://schemas.microsoft.com/office/drawing/2012/chart" uri="{CE6537A1-D6FC-4f65-9D91-7224C49458BB}">
                  <c15:layout/>
                </c:ext>
              </c:extLst>
            </c:dLbl>
            <c:dLbl>
              <c:idx val="1"/>
              <c:layout>
                <c:manualLayout>
                  <c:x val="-6.1196256716530102E-3"/>
                  <c:y val="1.981665691437487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72EA-47E4-839C-FA6D842BE221}"/>
                </c:ext>
                <c:ext xmlns:c15="http://schemas.microsoft.com/office/drawing/2012/chart" uri="{CE6537A1-D6FC-4f65-9D91-7224C49458BB}">
                  <c15:layout/>
                </c:ext>
              </c:extLst>
            </c:dLbl>
            <c:dLbl>
              <c:idx val="2"/>
              <c:layout>
                <c:manualLayout>
                  <c:x val="-4.0797504477685992E-3"/>
                  <c:y val="1.188999414862492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72EA-47E4-839C-FA6D842BE221}"/>
                </c:ext>
                <c:ext xmlns:c15="http://schemas.microsoft.com/office/drawing/2012/chart" uri="{CE6537A1-D6FC-4f65-9D91-7224C49458BB}">
                  <c15:layout/>
                </c:ext>
              </c:extLst>
            </c:dLbl>
            <c:dLbl>
              <c:idx val="3"/>
              <c:layout>
                <c:manualLayout>
                  <c:x val="-6.1196256716530102E-3"/>
                  <c:y val="1.188999414862492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72EA-47E4-839C-FA6D842BE221}"/>
                </c:ext>
                <c:ext xmlns:c15="http://schemas.microsoft.com/office/drawing/2012/chart" uri="{CE6537A1-D6FC-4f65-9D91-7224C49458BB}">
                  <c15:layout/>
                </c:ext>
              </c:extLst>
            </c:dLbl>
            <c:spPr>
              <a:noFill/>
              <a:ln>
                <a:noFill/>
              </a:ln>
              <a:effectLst/>
            </c:spPr>
            <c:txPr>
              <a:bodyPr/>
              <a:lstStyle/>
              <a:p>
                <a:pPr>
                  <a:defRPr>
                    <a:latin typeface="Times New Roman" pitchFamily="18" charset="0"/>
                    <a:cs typeface="Times New Roman"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Sheet1!$A$2:$A$5</c:f>
              <c:strCache>
                <c:ptCount val="4"/>
                <c:pt idx="0">
                  <c:v>Piktybiniai navikai</c:v>
                </c:pt>
                <c:pt idx="1">
                  <c:v>Kraujotakos sitemos ligos</c:v>
                </c:pt>
                <c:pt idx="2">
                  <c:v>Išorinės mirties priežastys</c:v>
                </c:pt>
                <c:pt idx="3">
                  <c:v>Kvėpavimo sistemos ligos</c:v>
                </c:pt>
              </c:strCache>
            </c:strRef>
          </c:cat>
          <c:val>
            <c:numRef>
              <c:f>Sheet1!$B$2:$B$5</c:f>
              <c:numCache>
                <c:formatCode>General</c:formatCode>
                <c:ptCount val="4"/>
                <c:pt idx="0">
                  <c:v>293.8</c:v>
                </c:pt>
                <c:pt idx="1">
                  <c:v>820.8</c:v>
                </c:pt>
                <c:pt idx="2">
                  <c:v>89.7</c:v>
                </c:pt>
                <c:pt idx="3">
                  <c:v>43.2</c:v>
                </c:pt>
              </c:numCache>
            </c:numRef>
          </c:val>
          <c:extLst xmlns:c16r2="http://schemas.microsoft.com/office/drawing/2015/06/chart">
            <c:ext xmlns:c16="http://schemas.microsoft.com/office/drawing/2014/chart" uri="{C3380CC4-5D6E-409C-BE32-E72D297353CC}">
              <c16:uniqueId val="{00000004-72EA-47E4-839C-FA6D842BE221}"/>
            </c:ext>
          </c:extLst>
        </c:ser>
        <c:ser>
          <c:idx val="1"/>
          <c:order val="1"/>
          <c:tx>
            <c:strRef>
              <c:f>Sheet1!$C$1</c:f>
              <c:strCache>
                <c:ptCount val="1"/>
                <c:pt idx="0">
                  <c:v>Klaipėdos apskritis</c:v>
                </c:pt>
              </c:strCache>
            </c:strRef>
          </c:tx>
          <c:invertIfNegative val="0"/>
          <c:dLbls>
            <c:dLbl>
              <c:idx val="0"/>
              <c:layout>
                <c:manualLayout>
                  <c:x val="-6.1196256716530293E-3"/>
                  <c:y val="3.9633313828750481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72EA-47E4-839C-FA6D842BE221}"/>
                </c:ext>
                <c:ext xmlns:c15="http://schemas.microsoft.com/office/drawing/2012/chart" uri="{CE6537A1-D6FC-4f65-9D91-7224C49458BB}">
                  <c15:layout/>
                </c:ext>
              </c:extLst>
            </c:dLbl>
            <c:dLbl>
              <c:idx val="1"/>
              <c:layout>
                <c:manualLayout>
                  <c:x val="0"/>
                  <c:y val="1.188999414862492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72EA-47E4-839C-FA6D842BE221}"/>
                </c:ext>
                <c:ext xmlns:c15="http://schemas.microsoft.com/office/drawing/2012/chart" uri="{CE6537A1-D6FC-4f65-9D91-7224C49458BB}">
                  <c15:layout/>
                </c:ext>
              </c:extLst>
            </c:dLbl>
            <c:dLbl>
              <c:idx val="2"/>
              <c:layout>
                <c:manualLayout>
                  <c:x val="7.4794560842609692E-17"/>
                  <c:y val="1.981665691437487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72EA-47E4-839C-FA6D842BE221}"/>
                </c:ext>
                <c:ext xmlns:c15="http://schemas.microsoft.com/office/drawing/2012/chart" uri="{CE6537A1-D6FC-4f65-9D91-7224C49458BB}">
                  <c15:layout/>
                </c:ext>
              </c:extLst>
            </c:dLbl>
            <c:dLbl>
              <c:idx val="3"/>
              <c:layout>
                <c:manualLayout>
                  <c:x val="0"/>
                  <c:y val="1.585332553149990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72EA-47E4-839C-FA6D842BE221}"/>
                </c:ext>
                <c:ext xmlns:c15="http://schemas.microsoft.com/office/drawing/2012/chart" uri="{CE6537A1-D6FC-4f65-9D91-7224C49458BB}">
                  <c15:layout/>
                </c:ext>
              </c:extLst>
            </c:dLbl>
            <c:spPr>
              <a:noFill/>
              <a:ln>
                <a:noFill/>
              </a:ln>
              <a:effectLst/>
            </c:spPr>
            <c:txPr>
              <a:bodyPr/>
              <a:lstStyle/>
              <a:p>
                <a:pPr>
                  <a:defRPr>
                    <a:latin typeface="Times New Roman" pitchFamily="18" charset="0"/>
                    <a:cs typeface="Times New Roman"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Sheet1!$A$2:$A$5</c:f>
              <c:strCache>
                <c:ptCount val="4"/>
                <c:pt idx="0">
                  <c:v>Piktybiniai navikai</c:v>
                </c:pt>
                <c:pt idx="1">
                  <c:v>Kraujotakos sitemos ligos</c:v>
                </c:pt>
                <c:pt idx="2">
                  <c:v>Išorinės mirties priežastys</c:v>
                </c:pt>
                <c:pt idx="3">
                  <c:v>Kvėpavimo sistemos ligos</c:v>
                </c:pt>
              </c:strCache>
            </c:strRef>
          </c:cat>
          <c:val>
            <c:numRef>
              <c:f>Sheet1!$C$2:$C$5</c:f>
              <c:numCache>
                <c:formatCode>General</c:formatCode>
                <c:ptCount val="4"/>
                <c:pt idx="0">
                  <c:v>311.3</c:v>
                </c:pt>
                <c:pt idx="1">
                  <c:v>770.9</c:v>
                </c:pt>
                <c:pt idx="2">
                  <c:v>87.9</c:v>
                </c:pt>
                <c:pt idx="3">
                  <c:v>45.2</c:v>
                </c:pt>
              </c:numCache>
            </c:numRef>
          </c:val>
          <c:extLst xmlns:c16r2="http://schemas.microsoft.com/office/drawing/2015/06/chart">
            <c:ext xmlns:c16="http://schemas.microsoft.com/office/drawing/2014/chart" uri="{C3380CC4-5D6E-409C-BE32-E72D297353CC}">
              <c16:uniqueId val="{00000009-72EA-47E4-839C-FA6D842BE221}"/>
            </c:ext>
          </c:extLst>
        </c:ser>
        <c:ser>
          <c:idx val="2"/>
          <c:order val="2"/>
          <c:tx>
            <c:strRef>
              <c:f>Sheet1!$D$1</c:f>
              <c:strCache>
                <c:ptCount val="1"/>
                <c:pt idx="0">
                  <c:v>Klaipėdos m.</c:v>
                </c:pt>
              </c:strCache>
            </c:strRef>
          </c:tx>
          <c:invertIfNegative val="0"/>
          <c:dLbls>
            <c:dLbl>
              <c:idx val="0"/>
              <c:layout>
                <c:manualLayout>
                  <c:x val="0"/>
                  <c:y val="1.188999414862492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72EA-47E4-839C-FA6D842BE221}"/>
                </c:ext>
                <c:ext xmlns:c15="http://schemas.microsoft.com/office/drawing/2012/chart" uri="{CE6537A1-D6FC-4f65-9D91-7224C49458BB}">
                  <c15:layout/>
                </c:ext>
              </c:extLst>
            </c:dLbl>
            <c:dLbl>
              <c:idx val="1"/>
              <c:layout>
                <c:manualLayout>
                  <c:x val="2.0398752238843369E-3"/>
                  <c:y val="1.188999414862489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72EA-47E4-839C-FA6D842BE221}"/>
                </c:ext>
                <c:ext xmlns:c15="http://schemas.microsoft.com/office/drawing/2012/chart" uri="{CE6537A1-D6FC-4f65-9D91-7224C49458BB}">
                  <c15:layout/>
                </c:ext>
              </c:extLst>
            </c:dLbl>
            <c:dLbl>
              <c:idx val="2"/>
              <c:layout>
                <c:manualLayout>
                  <c:x val="0"/>
                  <c:y val="1.188999414862492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72EA-47E4-839C-FA6D842BE221}"/>
                </c:ext>
                <c:ext xmlns:c15="http://schemas.microsoft.com/office/drawing/2012/chart" uri="{CE6537A1-D6FC-4f65-9D91-7224C49458BB}">
                  <c15:layout/>
                </c:ext>
              </c:extLst>
            </c:dLbl>
            <c:dLbl>
              <c:idx val="3"/>
              <c:layout>
                <c:manualLayout>
                  <c:x val="0"/>
                  <c:y val="1.981665691437487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72EA-47E4-839C-FA6D842BE221}"/>
                </c:ext>
                <c:ext xmlns:c15="http://schemas.microsoft.com/office/drawing/2012/chart" uri="{CE6537A1-D6FC-4f65-9D91-7224C49458BB}">
                  <c15:layout/>
                </c:ext>
              </c:extLst>
            </c:dLbl>
            <c:spPr>
              <a:noFill/>
              <a:ln>
                <a:noFill/>
              </a:ln>
              <a:effectLst/>
            </c:spPr>
            <c:txPr>
              <a:bodyPr/>
              <a:lstStyle/>
              <a:p>
                <a:pPr>
                  <a:defRPr>
                    <a:latin typeface="Times New Roman" pitchFamily="18" charset="0"/>
                    <a:cs typeface="Times New Roman"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Sheet1!$A$2:$A$5</c:f>
              <c:strCache>
                <c:ptCount val="4"/>
                <c:pt idx="0">
                  <c:v>Piktybiniai navikai</c:v>
                </c:pt>
                <c:pt idx="1">
                  <c:v>Kraujotakos sitemos ligos</c:v>
                </c:pt>
                <c:pt idx="2">
                  <c:v>Išorinės mirties priežastys</c:v>
                </c:pt>
                <c:pt idx="3">
                  <c:v>Kvėpavimo sistemos ligos</c:v>
                </c:pt>
              </c:strCache>
            </c:strRef>
          </c:cat>
          <c:val>
            <c:numRef>
              <c:f>Sheet1!$D$2:$D$5</c:f>
              <c:numCache>
                <c:formatCode>General</c:formatCode>
                <c:ptCount val="4"/>
                <c:pt idx="0">
                  <c:v>342.8</c:v>
                </c:pt>
                <c:pt idx="1">
                  <c:v>776.7</c:v>
                </c:pt>
                <c:pt idx="2">
                  <c:v>95.2</c:v>
                </c:pt>
                <c:pt idx="3">
                  <c:v>38.200000000000003</c:v>
                </c:pt>
              </c:numCache>
            </c:numRef>
          </c:val>
          <c:extLst xmlns:c16r2="http://schemas.microsoft.com/office/drawing/2015/06/chart">
            <c:ext xmlns:c16="http://schemas.microsoft.com/office/drawing/2014/chart" uri="{C3380CC4-5D6E-409C-BE32-E72D297353CC}">
              <c16:uniqueId val="{0000000E-72EA-47E4-839C-FA6D842BE221}"/>
            </c:ext>
          </c:extLst>
        </c:ser>
        <c:dLbls>
          <c:showLegendKey val="0"/>
          <c:showVal val="1"/>
          <c:showCatName val="0"/>
          <c:showSerName val="0"/>
          <c:showPercent val="0"/>
          <c:showBubbleSize val="0"/>
        </c:dLbls>
        <c:gapWidth val="75"/>
        <c:axId val="315387648"/>
        <c:axId val="315388432"/>
      </c:barChart>
      <c:catAx>
        <c:axId val="315387648"/>
        <c:scaling>
          <c:orientation val="minMax"/>
        </c:scaling>
        <c:delete val="0"/>
        <c:axPos val="b"/>
        <c:numFmt formatCode="General" sourceLinked="0"/>
        <c:majorTickMark val="none"/>
        <c:minorTickMark val="none"/>
        <c:tickLblPos val="nextTo"/>
        <c:txPr>
          <a:bodyPr/>
          <a:lstStyle/>
          <a:p>
            <a:pPr>
              <a:defRPr sz="900">
                <a:latin typeface="Times New Roman" pitchFamily="18" charset="0"/>
                <a:cs typeface="Times New Roman" pitchFamily="18" charset="0"/>
              </a:defRPr>
            </a:pPr>
            <a:endParaRPr lang="lt-LT"/>
          </a:p>
        </c:txPr>
        <c:crossAx val="315388432"/>
        <c:crosses val="autoZero"/>
        <c:auto val="1"/>
        <c:lblAlgn val="ctr"/>
        <c:lblOffset val="100"/>
        <c:noMultiLvlLbl val="0"/>
      </c:catAx>
      <c:valAx>
        <c:axId val="315388432"/>
        <c:scaling>
          <c:orientation val="minMax"/>
        </c:scaling>
        <c:delete val="0"/>
        <c:axPos val="l"/>
        <c:numFmt formatCode="General" sourceLinked="1"/>
        <c:majorTickMark val="none"/>
        <c:minorTickMark val="none"/>
        <c:tickLblPos val="nextTo"/>
        <c:txPr>
          <a:bodyPr/>
          <a:lstStyle/>
          <a:p>
            <a:pPr>
              <a:defRPr>
                <a:latin typeface="Times New Roman" pitchFamily="18" charset="0"/>
                <a:cs typeface="Times New Roman" pitchFamily="18" charset="0"/>
              </a:defRPr>
            </a:pPr>
            <a:endParaRPr lang="lt-LT"/>
          </a:p>
        </c:txPr>
        <c:crossAx val="315387648"/>
        <c:crosses val="autoZero"/>
        <c:crossBetween val="between"/>
      </c:valAx>
    </c:plotArea>
    <c:legend>
      <c:legendPos val="b"/>
      <c:layout>
        <c:manualLayout>
          <c:xMode val="edge"/>
          <c:yMode val="edge"/>
          <c:x val="0.73904470555204249"/>
          <c:y val="0.24666610490573343"/>
          <c:w val="0.25019358737114855"/>
          <c:h val="0.18758732680670109"/>
        </c:manualLayout>
      </c:layout>
      <c:overlay val="0"/>
      <c:txPr>
        <a:bodyPr/>
        <a:lstStyle/>
        <a:p>
          <a:pPr>
            <a:defRPr sz="1100">
              <a:latin typeface="Times New Roman" pitchFamily="18" charset="0"/>
              <a:cs typeface="Times New Roman" pitchFamily="18" charset="0"/>
            </a:defRPr>
          </a:pPr>
          <a:endParaRPr lang="lt-LT"/>
        </a:p>
      </c:txPr>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pPr>
            <a:r>
              <a:rPr lang="lt-LT" sz="1200">
                <a:latin typeface="Times New Roman" pitchFamily="18" charset="0"/>
                <a:cs typeface="Times New Roman" pitchFamily="18" charset="0"/>
              </a:rPr>
              <a:t>Mirtingumas</a:t>
            </a:r>
            <a:r>
              <a:rPr lang="lt-LT" sz="1200" baseline="0">
                <a:latin typeface="Times New Roman" pitchFamily="18" charset="0"/>
                <a:cs typeface="Times New Roman" pitchFamily="18" charset="0"/>
              </a:rPr>
              <a:t> pagal priežastis 2021 m. (100 000 gyv.)</a:t>
            </a:r>
            <a:endParaRPr lang="en-US" sz="1200">
              <a:latin typeface="Times New Roman" pitchFamily="18" charset="0"/>
              <a:cs typeface="Times New Roman" pitchFamily="18" charset="0"/>
            </a:endParaRPr>
          </a:p>
        </c:rich>
      </c:tx>
      <c:layout>
        <c:manualLayout>
          <c:xMode val="edge"/>
          <c:yMode val="edge"/>
          <c:x val="0.16495822880184144"/>
          <c:y val="2.7746269478552944E-2"/>
        </c:manualLayout>
      </c:layout>
      <c:overlay val="1"/>
    </c:title>
    <c:autoTitleDeleted val="0"/>
    <c:plotArea>
      <c:layout>
        <c:manualLayout>
          <c:layoutTarget val="inner"/>
          <c:xMode val="edge"/>
          <c:yMode val="edge"/>
          <c:x val="6.164210947493616E-2"/>
          <c:y val="0.12724696571073682"/>
          <c:w val="0.9136927918541482"/>
          <c:h val="0.76744895105942623"/>
        </c:manualLayout>
      </c:layout>
      <c:barChart>
        <c:barDir val="col"/>
        <c:grouping val="clustered"/>
        <c:varyColors val="0"/>
        <c:ser>
          <c:idx val="0"/>
          <c:order val="0"/>
          <c:tx>
            <c:strRef>
              <c:f>Sheet1!$B$1</c:f>
              <c:strCache>
                <c:ptCount val="1"/>
                <c:pt idx="0">
                  <c:v>Lietuva</c:v>
                </c:pt>
              </c:strCache>
            </c:strRef>
          </c:tx>
          <c:invertIfNegative val="0"/>
          <c:dLbls>
            <c:dLbl>
              <c:idx val="0"/>
              <c:layout>
                <c:manualLayout>
                  <c:x val="-6.1668816442687025E-3"/>
                  <c:y val="3.9633301460253101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8276-45FE-9AD8-12D151AFEFCF}"/>
                </c:ext>
                <c:ext xmlns:c15="http://schemas.microsoft.com/office/drawing/2012/chart" uri="{CE6537A1-D6FC-4f65-9D91-7224C49458BB}">
                  <c15:layout/>
                </c:ext>
              </c:extLst>
            </c:dLbl>
            <c:spPr>
              <a:noFill/>
              <a:ln>
                <a:noFill/>
              </a:ln>
              <a:effectLst/>
            </c:spPr>
            <c:txPr>
              <a:bodyPr/>
              <a:lstStyle/>
              <a:p>
                <a:pPr>
                  <a:defRPr>
                    <a:latin typeface="Times New Roman" pitchFamily="18" charset="0"/>
                    <a:cs typeface="Times New Roman"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Sheet1!$A$2:$A$5</c:f>
              <c:strCache>
                <c:ptCount val="4"/>
                <c:pt idx="0">
                  <c:v>Piktybiniai navikai</c:v>
                </c:pt>
                <c:pt idx="1">
                  <c:v>Kraujotakos sistemos ligos</c:v>
                </c:pt>
                <c:pt idx="2">
                  <c:v>Išorinės mirties priežastys</c:v>
                </c:pt>
                <c:pt idx="3">
                  <c:v>Kvėpavimo sistemos ligos</c:v>
                </c:pt>
              </c:strCache>
            </c:strRef>
          </c:cat>
          <c:val>
            <c:numRef>
              <c:f>Sheet1!$B$2:$B$5</c:f>
              <c:numCache>
                <c:formatCode>General</c:formatCode>
                <c:ptCount val="4"/>
                <c:pt idx="0">
                  <c:v>276.5</c:v>
                </c:pt>
                <c:pt idx="1">
                  <c:v>821.9</c:v>
                </c:pt>
                <c:pt idx="2">
                  <c:v>86.5</c:v>
                </c:pt>
                <c:pt idx="3">
                  <c:v>37.9</c:v>
                </c:pt>
              </c:numCache>
            </c:numRef>
          </c:val>
          <c:extLst xmlns:c16r2="http://schemas.microsoft.com/office/drawing/2015/06/chart">
            <c:ext xmlns:c16="http://schemas.microsoft.com/office/drawing/2014/chart" uri="{C3380CC4-5D6E-409C-BE32-E72D297353CC}">
              <c16:uniqueId val="{00000001-8276-45FE-9AD8-12D151AFEFCF}"/>
            </c:ext>
          </c:extLst>
        </c:ser>
        <c:ser>
          <c:idx val="1"/>
          <c:order val="1"/>
          <c:tx>
            <c:strRef>
              <c:f>Sheet1!$C$1</c:f>
              <c:strCache>
                <c:ptCount val="1"/>
                <c:pt idx="0">
                  <c:v>Klaipėdos apskritis</c:v>
                </c:pt>
              </c:strCache>
            </c:strRef>
          </c:tx>
          <c:invertIfNegative val="0"/>
          <c:dLbls>
            <c:dLbl>
              <c:idx val="0"/>
              <c:layout>
                <c:manualLayout>
                  <c:x val="-4.1112544295124811E-3"/>
                  <c:y val="3.9633301460253101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8276-45FE-9AD8-12D151AFEFCF}"/>
                </c:ext>
                <c:ext xmlns:c15="http://schemas.microsoft.com/office/drawing/2012/chart" uri="{CE6537A1-D6FC-4f65-9D91-7224C49458BB}">
                  <c15:layout/>
                </c:ext>
              </c:extLst>
            </c:dLbl>
            <c:dLbl>
              <c:idx val="1"/>
              <c:layout>
                <c:manualLayout>
                  <c:x val="-4.111254429512462E-3"/>
                  <c:y val="3.9633301460253101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8276-45FE-9AD8-12D151AFEFCF}"/>
                </c:ext>
                <c:ext xmlns:c15="http://schemas.microsoft.com/office/drawing/2012/chart" uri="{CE6537A1-D6FC-4f65-9D91-7224C49458BB}">
                  <c15:layout/>
                </c:ext>
              </c:extLst>
            </c:dLbl>
            <c:spPr>
              <a:noFill/>
              <a:ln>
                <a:noFill/>
              </a:ln>
              <a:effectLst/>
            </c:spPr>
            <c:txPr>
              <a:bodyPr/>
              <a:lstStyle/>
              <a:p>
                <a:pPr>
                  <a:defRPr>
                    <a:latin typeface="Times New Roman" pitchFamily="18" charset="0"/>
                    <a:cs typeface="Times New Roman"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Sheet1!$A$2:$A$5</c:f>
              <c:strCache>
                <c:ptCount val="4"/>
                <c:pt idx="0">
                  <c:v>Piktybiniai navikai</c:v>
                </c:pt>
                <c:pt idx="1">
                  <c:v>Kraujotakos sistemos ligos</c:v>
                </c:pt>
                <c:pt idx="2">
                  <c:v>Išorinės mirties priežastys</c:v>
                </c:pt>
                <c:pt idx="3">
                  <c:v>Kvėpavimo sistemos ligos</c:v>
                </c:pt>
              </c:strCache>
            </c:strRef>
          </c:cat>
          <c:val>
            <c:numRef>
              <c:f>Sheet1!$C$2:$C$5</c:f>
              <c:numCache>
                <c:formatCode>General</c:formatCode>
                <c:ptCount val="4"/>
                <c:pt idx="0">
                  <c:v>278.7</c:v>
                </c:pt>
                <c:pt idx="1">
                  <c:v>760.7</c:v>
                </c:pt>
                <c:pt idx="2">
                  <c:v>77</c:v>
                </c:pt>
                <c:pt idx="3">
                  <c:v>35.1</c:v>
                </c:pt>
              </c:numCache>
            </c:numRef>
          </c:val>
          <c:extLst xmlns:c16r2="http://schemas.microsoft.com/office/drawing/2015/06/chart">
            <c:ext xmlns:c16="http://schemas.microsoft.com/office/drawing/2014/chart" uri="{C3380CC4-5D6E-409C-BE32-E72D297353CC}">
              <c16:uniqueId val="{00000004-8276-45FE-9AD8-12D151AFEFCF}"/>
            </c:ext>
          </c:extLst>
        </c:ser>
        <c:ser>
          <c:idx val="2"/>
          <c:order val="2"/>
          <c:tx>
            <c:strRef>
              <c:f>Sheet1!$D$1</c:f>
              <c:strCache>
                <c:ptCount val="1"/>
                <c:pt idx="0">
                  <c:v>Klaipėdos m.</c:v>
                </c:pt>
              </c:strCache>
            </c:strRef>
          </c:tx>
          <c:invertIfNegative val="0"/>
          <c:dLbls>
            <c:dLbl>
              <c:idx val="0"/>
              <c:layout>
                <c:manualLayout>
                  <c:x val="2.055627214756231E-3"/>
                  <c:y val="7.926660292050693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8276-45FE-9AD8-12D151AFEFCF}"/>
                </c:ext>
                <c:ext xmlns:c15="http://schemas.microsoft.com/office/drawing/2012/chart" uri="{CE6537A1-D6FC-4f65-9D91-7224C49458BB}">
                  <c15:layout/>
                </c:ext>
              </c:extLst>
            </c:dLbl>
            <c:spPr>
              <a:noFill/>
              <a:ln>
                <a:noFill/>
              </a:ln>
              <a:effectLst/>
            </c:spPr>
            <c:txPr>
              <a:bodyPr/>
              <a:lstStyle/>
              <a:p>
                <a:pPr>
                  <a:defRPr>
                    <a:latin typeface="Times New Roman" pitchFamily="18" charset="0"/>
                    <a:cs typeface="Times New Roman"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Sheet1!$A$2:$A$5</c:f>
              <c:strCache>
                <c:ptCount val="4"/>
                <c:pt idx="0">
                  <c:v>Piktybiniai navikai</c:v>
                </c:pt>
                <c:pt idx="1">
                  <c:v>Kraujotakos sistemos ligos</c:v>
                </c:pt>
                <c:pt idx="2">
                  <c:v>Išorinės mirties priežastys</c:v>
                </c:pt>
                <c:pt idx="3">
                  <c:v>Kvėpavimo sistemos ligos</c:v>
                </c:pt>
              </c:strCache>
            </c:strRef>
          </c:cat>
          <c:val>
            <c:numRef>
              <c:f>Sheet1!$D$2:$D$5</c:f>
              <c:numCache>
                <c:formatCode>General</c:formatCode>
                <c:ptCount val="4"/>
                <c:pt idx="0">
                  <c:v>284.2</c:v>
                </c:pt>
                <c:pt idx="1">
                  <c:v>757.4</c:v>
                </c:pt>
                <c:pt idx="2">
                  <c:v>64.099999999999994</c:v>
                </c:pt>
                <c:pt idx="3">
                  <c:v>34.4</c:v>
                </c:pt>
              </c:numCache>
            </c:numRef>
          </c:val>
          <c:extLst xmlns:c16r2="http://schemas.microsoft.com/office/drawing/2015/06/chart">
            <c:ext xmlns:c16="http://schemas.microsoft.com/office/drawing/2014/chart" uri="{C3380CC4-5D6E-409C-BE32-E72D297353CC}">
              <c16:uniqueId val="{00000006-8276-45FE-9AD8-12D151AFEFCF}"/>
            </c:ext>
          </c:extLst>
        </c:ser>
        <c:dLbls>
          <c:showLegendKey val="0"/>
          <c:showVal val="1"/>
          <c:showCatName val="0"/>
          <c:showSerName val="0"/>
          <c:showPercent val="0"/>
          <c:showBubbleSize val="0"/>
        </c:dLbls>
        <c:gapWidth val="75"/>
        <c:axId val="315389216"/>
        <c:axId val="315390000"/>
      </c:barChart>
      <c:catAx>
        <c:axId val="315389216"/>
        <c:scaling>
          <c:orientation val="minMax"/>
        </c:scaling>
        <c:delete val="0"/>
        <c:axPos val="b"/>
        <c:numFmt formatCode="General" sourceLinked="0"/>
        <c:majorTickMark val="none"/>
        <c:minorTickMark val="none"/>
        <c:tickLblPos val="nextTo"/>
        <c:txPr>
          <a:bodyPr/>
          <a:lstStyle/>
          <a:p>
            <a:pPr>
              <a:defRPr>
                <a:latin typeface="Times New Roman" pitchFamily="18" charset="0"/>
                <a:cs typeface="Times New Roman" pitchFamily="18" charset="0"/>
              </a:defRPr>
            </a:pPr>
            <a:endParaRPr lang="lt-LT"/>
          </a:p>
        </c:txPr>
        <c:crossAx val="315390000"/>
        <c:crosses val="autoZero"/>
        <c:auto val="1"/>
        <c:lblAlgn val="ctr"/>
        <c:lblOffset val="100"/>
        <c:noMultiLvlLbl val="0"/>
      </c:catAx>
      <c:valAx>
        <c:axId val="315390000"/>
        <c:scaling>
          <c:orientation val="minMax"/>
        </c:scaling>
        <c:delete val="0"/>
        <c:axPos val="l"/>
        <c:numFmt formatCode="General" sourceLinked="1"/>
        <c:majorTickMark val="none"/>
        <c:minorTickMark val="none"/>
        <c:tickLblPos val="nextTo"/>
        <c:txPr>
          <a:bodyPr/>
          <a:lstStyle/>
          <a:p>
            <a:pPr>
              <a:defRPr>
                <a:latin typeface="Times New Roman" pitchFamily="18" charset="0"/>
                <a:cs typeface="Times New Roman" pitchFamily="18" charset="0"/>
              </a:defRPr>
            </a:pPr>
            <a:endParaRPr lang="lt-LT"/>
          </a:p>
        </c:txPr>
        <c:crossAx val="315389216"/>
        <c:crosses val="autoZero"/>
        <c:crossBetween val="between"/>
      </c:valAx>
    </c:plotArea>
    <c:legend>
      <c:legendPos val="b"/>
      <c:layout>
        <c:manualLayout>
          <c:xMode val="edge"/>
          <c:yMode val="edge"/>
          <c:x val="0.76961808874255988"/>
          <c:y val="0.18334222788144347"/>
          <c:w val="0.21727931101850179"/>
          <c:h val="0.19047015706022014"/>
        </c:manualLayout>
      </c:layout>
      <c:overlay val="0"/>
      <c:txPr>
        <a:bodyPr/>
        <a:lstStyle/>
        <a:p>
          <a:pPr>
            <a:defRPr sz="1100">
              <a:latin typeface="Times New Roman" pitchFamily="18" charset="0"/>
              <a:cs typeface="Times New Roman" pitchFamily="18" charset="0"/>
            </a:defRPr>
          </a:pPr>
          <a:endParaRPr lang="lt-LT"/>
        </a:p>
      </c:txPr>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latin typeface="Times New Roman" pitchFamily="18" charset="0"/>
                <a:cs typeface="Times New Roman" pitchFamily="18" charset="0"/>
              </a:defRPr>
            </a:pPr>
            <a:r>
              <a:rPr lang="lt-LT" sz="1200">
                <a:latin typeface="Times New Roman" pitchFamily="18" charset="0"/>
                <a:cs typeface="Times New Roman" pitchFamily="18" charset="0"/>
              </a:rPr>
              <a:t>Mirtingumas</a:t>
            </a:r>
            <a:r>
              <a:rPr lang="lt-LT" sz="1200" baseline="0">
                <a:latin typeface="Times New Roman" pitchFamily="18" charset="0"/>
                <a:cs typeface="Times New Roman" pitchFamily="18" charset="0"/>
              </a:rPr>
              <a:t> dėl savižudybių (100 000 gyv.)</a:t>
            </a:r>
            <a:endParaRPr lang="en-US" sz="1200">
              <a:latin typeface="Times New Roman" pitchFamily="18" charset="0"/>
              <a:cs typeface="Times New Roman" pitchFamily="18" charset="0"/>
            </a:endParaRPr>
          </a:p>
        </c:rich>
      </c:tx>
      <c:layout/>
      <c:overlay val="1"/>
    </c:title>
    <c:autoTitleDeleted val="0"/>
    <c:plotArea>
      <c:layout>
        <c:manualLayout>
          <c:layoutTarget val="inner"/>
          <c:xMode val="edge"/>
          <c:yMode val="edge"/>
          <c:x val="5.536071011956839E-2"/>
          <c:y val="0.23459848768903888"/>
          <c:w val="0.90991706765820934"/>
          <c:h val="0.67406727550075274"/>
        </c:manualLayout>
      </c:layout>
      <c:barChart>
        <c:barDir val="col"/>
        <c:grouping val="clustered"/>
        <c:varyColors val="0"/>
        <c:ser>
          <c:idx val="0"/>
          <c:order val="0"/>
          <c:tx>
            <c:strRef>
              <c:f>Sheet1!$B$1</c:f>
              <c:strCache>
                <c:ptCount val="1"/>
                <c:pt idx="0">
                  <c:v>Lietuva</c:v>
                </c:pt>
              </c:strCache>
            </c:strRef>
          </c:tx>
          <c:invertIfNegative val="0"/>
          <c:dLbls>
            <c:spPr>
              <a:noFill/>
              <a:ln>
                <a:noFill/>
              </a:ln>
              <a:effectLst/>
            </c:spPr>
            <c:txPr>
              <a:bodyPr/>
              <a:lstStyle/>
              <a:p>
                <a:pPr>
                  <a:defRPr>
                    <a:latin typeface="Times New Roman" pitchFamily="18" charset="0"/>
                    <a:cs typeface="Times New Roman"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Sheet1!$A$2:$A$4</c:f>
              <c:strCache>
                <c:ptCount val="3"/>
                <c:pt idx="0">
                  <c:v>2019 m.</c:v>
                </c:pt>
                <c:pt idx="1">
                  <c:v>2020 m.</c:v>
                </c:pt>
                <c:pt idx="2">
                  <c:v>2021 m.</c:v>
                </c:pt>
              </c:strCache>
            </c:strRef>
          </c:cat>
          <c:val>
            <c:numRef>
              <c:f>Sheet1!$B$2:$B$4</c:f>
              <c:numCache>
                <c:formatCode>General</c:formatCode>
                <c:ptCount val="3"/>
                <c:pt idx="0">
                  <c:v>23.5</c:v>
                </c:pt>
                <c:pt idx="1">
                  <c:v>21.7</c:v>
                </c:pt>
                <c:pt idx="2">
                  <c:v>20.2</c:v>
                </c:pt>
              </c:numCache>
            </c:numRef>
          </c:val>
          <c:extLst xmlns:c16r2="http://schemas.microsoft.com/office/drawing/2015/06/chart">
            <c:ext xmlns:c16="http://schemas.microsoft.com/office/drawing/2014/chart" uri="{C3380CC4-5D6E-409C-BE32-E72D297353CC}">
              <c16:uniqueId val="{00000000-19F4-4F2B-B6C1-291185FBD49D}"/>
            </c:ext>
          </c:extLst>
        </c:ser>
        <c:ser>
          <c:idx val="1"/>
          <c:order val="1"/>
          <c:tx>
            <c:strRef>
              <c:f>Sheet1!$C$1</c:f>
              <c:strCache>
                <c:ptCount val="1"/>
                <c:pt idx="0">
                  <c:v>Vilnius</c:v>
                </c:pt>
              </c:strCache>
            </c:strRef>
          </c:tx>
          <c:invertIfNegative val="0"/>
          <c:dLbls>
            <c:spPr>
              <a:noFill/>
              <a:ln>
                <a:noFill/>
              </a:ln>
              <a:effectLst/>
            </c:spPr>
            <c:txPr>
              <a:bodyPr/>
              <a:lstStyle/>
              <a:p>
                <a:pPr>
                  <a:defRPr>
                    <a:latin typeface="Times New Roman" pitchFamily="18" charset="0"/>
                    <a:cs typeface="Times New Roman"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Sheet1!$A$2:$A$4</c:f>
              <c:strCache>
                <c:ptCount val="3"/>
                <c:pt idx="0">
                  <c:v>2019 m.</c:v>
                </c:pt>
                <c:pt idx="1">
                  <c:v>2020 m.</c:v>
                </c:pt>
                <c:pt idx="2">
                  <c:v>2021 m.</c:v>
                </c:pt>
              </c:strCache>
            </c:strRef>
          </c:cat>
          <c:val>
            <c:numRef>
              <c:f>Sheet1!$C$2:$C$4</c:f>
              <c:numCache>
                <c:formatCode>General</c:formatCode>
                <c:ptCount val="3"/>
                <c:pt idx="0">
                  <c:v>12.4</c:v>
                </c:pt>
                <c:pt idx="1">
                  <c:v>12.7</c:v>
                </c:pt>
                <c:pt idx="2">
                  <c:v>12.2</c:v>
                </c:pt>
              </c:numCache>
            </c:numRef>
          </c:val>
          <c:extLst xmlns:c16r2="http://schemas.microsoft.com/office/drawing/2015/06/chart">
            <c:ext xmlns:c16="http://schemas.microsoft.com/office/drawing/2014/chart" uri="{C3380CC4-5D6E-409C-BE32-E72D297353CC}">
              <c16:uniqueId val="{00000001-19F4-4F2B-B6C1-291185FBD49D}"/>
            </c:ext>
          </c:extLst>
        </c:ser>
        <c:ser>
          <c:idx val="2"/>
          <c:order val="2"/>
          <c:tx>
            <c:strRef>
              <c:f>Sheet1!$D$1</c:f>
              <c:strCache>
                <c:ptCount val="1"/>
                <c:pt idx="0">
                  <c:v>Kaunas</c:v>
                </c:pt>
              </c:strCache>
            </c:strRef>
          </c:tx>
          <c:invertIfNegative val="0"/>
          <c:dLbls>
            <c:spPr>
              <a:noFill/>
              <a:ln>
                <a:noFill/>
              </a:ln>
              <a:effectLst/>
            </c:spPr>
            <c:txPr>
              <a:bodyPr/>
              <a:lstStyle/>
              <a:p>
                <a:pPr>
                  <a:defRPr>
                    <a:latin typeface="Times New Roman" pitchFamily="18" charset="0"/>
                    <a:cs typeface="Times New Roman"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Sheet1!$A$2:$A$4</c:f>
              <c:strCache>
                <c:ptCount val="3"/>
                <c:pt idx="0">
                  <c:v>2019 m.</c:v>
                </c:pt>
                <c:pt idx="1">
                  <c:v>2020 m.</c:v>
                </c:pt>
                <c:pt idx="2">
                  <c:v>2021 m.</c:v>
                </c:pt>
              </c:strCache>
            </c:strRef>
          </c:cat>
          <c:val>
            <c:numRef>
              <c:f>Sheet1!$D$2:$D$4</c:f>
              <c:numCache>
                <c:formatCode>General</c:formatCode>
                <c:ptCount val="3"/>
                <c:pt idx="0">
                  <c:v>22.6</c:v>
                </c:pt>
                <c:pt idx="1">
                  <c:v>18.899999999999999</c:v>
                </c:pt>
                <c:pt idx="2">
                  <c:v>14.8</c:v>
                </c:pt>
              </c:numCache>
            </c:numRef>
          </c:val>
          <c:extLst xmlns:c16r2="http://schemas.microsoft.com/office/drawing/2015/06/chart">
            <c:ext xmlns:c16="http://schemas.microsoft.com/office/drawing/2014/chart" uri="{C3380CC4-5D6E-409C-BE32-E72D297353CC}">
              <c16:uniqueId val="{00000002-19F4-4F2B-B6C1-291185FBD49D}"/>
            </c:ext>
          </c:extLst>
        </c:ser>
        <c:ser>
          <c:idx val="3"/>
          <c:order val="3"/>
          <c:tx>
            <c:strRef>
              <c:f>Sheet1!$E$1</c:f>
              <c:strCache>
                <c:ptCount val="1"/>
                <c:pt idx="0">
                  <c:v>Klaipėda</c:v>
                </c:pt>
              </c:strCache>
            </c:strRef>
          </c:tx>
          <c:invertIfNegative val="0"/>
          <c:dLbls>
            <c:spPr>
              <a:noFill/>
              <a:ln>
                <a:noFill/>
              </a:ln>
              <a:effectLst/>
            </c:spPr>
            <c:txPr>
              <a:bodyPr/>
              <a:lstStyle/>
              <a:p>
                <a:pPr>
                  <a:defRPr>
                    <a:latin typeface="Times New Roman" pitchFamily="18" charset="0"/>
                    <a:cs typeface="Times New Roman"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Sheet1!$A$2:$A$4</c:f>
              <c:strCache>
                <c:ptCount val="3"/>
                <c:pt idx="0">
                  <c:v>2019 m.</c:v>
                </c:pt>
                <c:pt idx="1">
                  <c:v>2020 m.</c:v>
                </c:pt>
                <c:pt idx="2">
                  <c:v>2021 m.</c:v>
                </c:pt>
              </c:strCache>
            </c:strRef>
          </c:cat>
          <c:val>
            <c:numRef>
              <c:f>Sheet1!$E$2:$E$4</c:f>
              <c:numCache>
                <c:formatCode>General</c:formatCode>
                <c:ptCount val="3"/>
                <c:pt idx="0">
                  <c:v>18.899999999999999</c:v>
                </c:pt>
                <c:pt idx="1">
                  <c:v>16.8</c:v>
                </c:pt>
                <c:pt idx="2">
                  <c:v>17.2</c:v>
                </c:pt>
              </c:numCache>
            </c:numRef>
          </c:val>
          <c:extLst xmlns:c16r2="http://schemas.microsoft.com/office/drawing/2015/06/chart">
            <c:ext xmlns:c16="http://schemas.microsoft.com/office/drawing/2014/chart" uri="{C3380CC4-5D6E-409C-BE32-E72D297353CC}">
              <c16:uniqueId val="{00000003-19F4-4F2B-B6C1-291185FBD49D}"/>
            </c:ext>
          </c:extLst>
        </c:ser>
        <c:dLbls>
          <c:showLegendKey val="0"/>
          <c:showVal val="1"/>
          <c:showCatName val="0"/>
          <c:showSerName val="0"/>
          <c:showPercent val="0"/>
          <c:showBubbleSize val="0"/>
        </c:dLbls>
        <c:gapWidth val="75"/>
        <c:axId val="315386864"/>
        <c:axId val="315394312"/>
      </c:barChart>
      <c:catAx>
        <c:axId val="315386864"/>
        <c:scaling>
          <c:orientation val="minMax"/>
        </c:scaling>
        <c:delete val="0"/>
        <c:axPos val="b"/>
        <c:numFmt formatCode="General" sourceLinked="0"/>
        <c:majorTickMark val="none"/>
        <c:minorTickMark val="none"/>
        <c:tickLblPos val="nextTo"/>
        <c:txPr>
          <a:bodyPr/>
          <a:lstStyle/>
          <a:p>
            <a:pPr>
              <a:defRPr>
                <a:latin typeface="Times New Roman" pitchFamily="18" charset="0"/>
                <a:cs typeface="Times New Roman" pitchFamily="18" charset="0"/>
              </a:defRPr>
            </a:pPr>
            <a:endParaRPr lang="lt-LT"/>
          </a:p>
        </c:txPr>
        <c:crossAx val="315394312"/>
        <c:crosses val="autoZero"/>
        <c:auto val="1"/>
        <c:lblAlgn val="ctr"/>
        <c:lblOffset val="100"/>
        <c:noMultiLvlLbl val="0"/>
      </c:catAx>
      <c:valAx>
        <c:axId val="315394312"/>
        <c:scaling>
          <c:orientation val="minMax"/>
        </c:scaling>
        <c:delete val="0"/>
        <c:axPos val="l"/>
        <c:numFmt formatCode="General" sourceLinked="1"/>
        <c:majorTickMark val="none"/>
        <c:minorTickMark val="none"/>
        <c:tickLblPos val="nextTo"/>
        <c:crossAx val="315386864"/>
        <c:crosses val="autoZero"/>
        <c:crossBetween val="between"/>
      </c:valAx>
    </c:plotArea>
    <c:legend>
      <c:legendPos val="b"/>
      <c:layout>
        <c:manualLayout>
          <c:xMode val="edge"/>
          <c:yMode val="edge"/>
          <c:x val="0.84118237824438613"/>
          <c:y val="1.0769864529265675E-2"/>
          <c:w val="0.15881769195811654"/>
          <c:h val="0.3405929639960924"/>
        </c:manualLayout>
      </c:layout>
      <c:overlay val="0"/>
      <c:txPr>
        <a:bodyPr/>
        <a:lstStyle/>
        <a:p>
          <a:pPr>
            <a:defRPr>
              <a:latin typeface="Times New Roman" pitchFamily="18" charset="0"/>
              <a:cs typeface="Times New Roman" pitchFamily="18" charset="0"/>
            </a:defRPr>
          </a:pPr>
          <a:endParaRPr lang="lt-LT"/>
        </a:p>
      </c:txPr>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lt-LT" sz="1100">
                <a:latin typeface="Times New Roman" pitchFamily="18" charset="0"/>
                <a:cs typeface="Times New Roman" pitchFamily="18" charset="0"/>
              </a:rPr>
              <a:t>Bendras sergamumas pagal priežastis 2019-20</a:t>
            </a:r>
            <a:r>
              <a:rPr lang="en-US" sz="1100">
                <a:latin typeface="Times New Roman" pitchFamily="18" charset="0"/>
                <a:cs typeface="Times New Roman" pitchFamily="18" charset="0"/>
              </a:rPr>
              <a:t>21</a:t>
            </a:r>
            <a:r>
              <a:rPr lang="lt-LT" sz="1100" baseline="0">
                <a:latin typeface="Times New Roman" pitchFamily="18" charset="0"/>
                <a:cs typeface="Times New Roman" pitchFamily="18" charset="0"/>
              </a:rPr>
              <a:t> m. Klaipėdos m. (1000 gyv.)</a:t>
            </a:r>
            <a:endParaRPr lang="en-US" sz="1100">
              <a:latin typeface="Times New Roman" pitchFamily="18" charset="0"/>
              <a:cs typeface="Times New Roman" pitchFamily="18" charset="0"/>
            </a:endParaRPr>
          </a:p>
        </c:rich>
      </c:tx>
      <c:layout>
        <c:manualLayout>
          <c:xMode val="edge"/>
          <c:yMode val="edge"/>
          <c:x val="0.10613003256428639"/>
          <c:y val="2.0855181654060525E-2"/>
        </c:manualLayout>
      </c:layout>
      <c:overlay val="1"/>
    </c:title>
    <c:autoTitleDeleted val="0"/>
    <c:plotArea>
      <c:layout>
        <c:manualLayout>
          <c:layoutTarget val="inner"/>
          <c:xMode val="edge"/>
          <c:yMode val="edge"/>
          <c:x val="0.48570764699277019"/>
          <c:y val="6.9306116216236183E-2"/>
          <c:w val="0.48444325435558128"/>
          <c:h val="0.88888319715027786"/>
        </c:manualLayout>
      </c:layout>
      <c:barChart>
        <c:barDir val="bar"/>
        <c:grouping val="clustered"/>
        <c:varyColors val="0"/>
        <c:ser>
          <c:idx val="0"/>
          <c:order val="0"/>
          <c:tx>
            <c:strRef>
              <c:f>Sheet1!$B$1</c:f>
              <c:strCache>
                <c:ptCount val="1"/>
                <c:pt idx="0">
                  <c:v>2019 m.</c:v>
                </c:pt>
              </c:strCache>
            </c:strRef>
          </c:tx>
          <c:invertIfNegative val="0"/>
          <c:dLbls>
            <c:spPr>
              <a:noFill/>
              <a:ln>
                <a:noFill/>
              </a:ln>
              <a:effectLst/>
            </c:spPr>
            <c:txPr>
              <a:bodyPr/>
              <a:lstStyle/>
              <a:p>
                <a:pPr>
                  <a:defRPr sz="900">
                    <a:latin typeface="Times New Roman" pitchFamily="18" charset="0"/>
                    <a:cs typeface="Times New Roman"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Sheet1!$A$2:$A$18</c:f>
              <c:strCache>
                <c:ptCount val="17"/>
                <c:pt idx="0">
                  <c:v>Akių ligos</c:v>
                </c:pt>
                <c:pt idx="1">
                  <c:v>Kraujotakos sistemos ligos</c:v>
                </c:pt>
                <c:pt idx="2">
                  <c:v>Kvėpavimo sistemos ligos</c:v>
                </c:pt>
                <c:pt idx="3">
                  <c:v>Jungiamojo audinio ir raumenų bei skeleto ligos</c:v>
                </c:pt>
                <c:pt idx="4">
                  <c:v>Infekcinės ir parazitinės ligos</c:v>
                </c:pt>
                <c:pt idx="5">
                  <c:v>Navikai</c:v>
                </c:pt>
                <c:pt idx="6">
                  <c:v>Kraujo ir kraujodaros organų ligos</c:v>
                </c:pt>
                <c:pt idx="7">
                  <c:v>Endokrininės sistemos ligos</c:v>
                </c:pt>
                <c:pt idx="8">
                  <c:v>Psichikos ir elgesio sutrikimai</c:v>
                </c:pt>
                <c:pt idx="9">
                  <c:v>Nervų sistemos ligos</c:v>
                </c:pt>
                <c:pt idx="10">
                  <c:v>Ausų ligos</c:v>
                </c:pt>
                <c:pt idx="11">
                  <c:v>Virškinimo sistemos ligos</c:v>
                </c:pt>
                <c:pt idx="12">
                  <c:v>Odos ir poodžio sistemos ligos</c:v>
                </c:pt>
                <c:pt idx="13">
                  <c:v>Urogenitalinės sistemos ligos</c:v>
                </c:pt>
                <c:pt idx="14">
                  <c:v>Įgimtos formavimosi įdos</c:v>
                </c:pt>
                <c:pt idx="15">
                  <c:v>Simptomai, požymiai ir nenormalūs klinikiniai bei laboratoriniai radiniai</c:v>
                </c:pt>
                <c:pt idx="16">
                  <c:v>Sužalojimai, apsinuodijimai ir tam tikrų išorinių poveikių padariniai</c:v>
                </c:pt>
              </c:strCache>
            </c:strRef>
          </c:cat>
          <c:val>
            <c:numRef>
              <c:f>Sheet1!$B$2:$B$18</c:f>
              <c:numCache>
                <c:formatCode>General</c:formatCode>
                <c:ptCount val="17"/>
                <c:pt idx="0">
                  <c:v>265.75</c:v>
                </c:pt>
                <c:pt idx="1">
                  <c:v>341.36</c:v>
                </c:pt>
                <c:pt idx="2">
                  <c:v>381.03</c:v>
                </c:pt>
                <c:pt idx="3">
                  <c:v>295.52999999999997</c:v>
                </c:pt>
                <c:pt idx="4">
                  <c:v>91.31</c:v>
                </c:pt>
                <c:pt idx="5">
                  <c:v>45.79</c:v>
                </c:pt>
                <c:pt idx="6">
                  <c:v>42.51</c:v>
                </c:pt>
                <c:pt idx="7">
                  <c:v>257.41000000000003</c:v>
                </c:pt>
                <c:pt idx="8">
                  <c:v>121.15</c:v>
                </c:pt>
                <c:pt idx="9">
                  <c:v>159.79</c:v>
                </c:pt>
                <c:pt idx="10">
                  <c:v>86.21</c:v>
                </c:pt>
                <c:pt idx="11">
                  <c:v>327.88</c:v>
                </c:pt>
                <c:pt idx="12">
                  <c:v>108.89</c:v>
                </c:pt>
                <c:pt idx="13">
                  <c:v>231.59</c:v>
                </c:pt>
                <c:pt idx="14">
                  <c:v>37.67</c:v>
                </c:pt>
                <c:pt idx="15">
                  <c:v>197.02</c:v>
                </c:pt>
                <c:pt idx="16">
                  <c:v>163.99</c:v>
                </c:pt>
              </c:numCache>
            </c:numRef>
          </c:val>
          <c:extLst xmlns:c16r2="http://schemas.microsoft.com/office/drawing/2015/06/chart">
            <c:ext xmlns:c16="http://schemas.microsoft.com/office/drawing/2014/chart" uri="{C3380CC4-5D6E-409C-BE32-E72D297353CC}">
              <c16:uniqueId val="{00000000-57FD-4D9E-9598-A66CF360A7A0}"/>
            </c:ext>
          </c:extLst>
        </c:ser>
        <c:ser>
          <c:idx val="1"/>
          <c:order val="1"/>
          <c:tx>
            <c:strRef>
              <c:f>Sheet1!$C$1</c:f>
              <c:strCache>
                <c:ptCount val="1"/>
                <c:pt idx="0">
                  <c:v>2021 m.</c:v>
                </c:pt>
              </c:strCache>
            </c:strRef>
          </c:tx>
          <c:invertIfNegative val="0"/>
          <c:dLbls>
            <c:spPr>
              <a:noFill/>
              <a:ln>
                <a:noFill/>
              </a:ln>
              <a:effectLst/>
            </c:spPr>
            <c:txPr>
              <a:bodyPr/>
              <a:lstStyle/>
              <a:p>
                <a:pPr>
                  <a:defRPr sz="900">
                    <a:latin typeface="Times New Roman" pitchFamily="18" charset="0"/>
                    <a:cs typeface="Times New Roman"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Sheet1!$A$2:$A$18</c:f>
              <c:strCache>
                <c:ptCount val="17"/>
                <c:pt idx="0">
                  <c:v>Akių ligos</c:v>
                </c:pt>
                <c:pt idx="1">
                  <c:v>Kraujotakos sistemos ligos</c:v>
                </c:pt>
                <c:pt idx="2">
                  <c:v>Kvėpavimo sistemos ligos</c:v>
                </c:pt>
                <c:pt idx="3">
                  <c:v>Jungiamojo audinio ir raumenų bei skeleto ligos</c:v>
                </c:pt>
                <c:pt idx="4">
                  <c:v>Infekcinės ir parazitinės ligos</c:v>
                </c:pt>
                <c:pt idx="5">
                  <c:v>Navikai</c:v>
                </c:pt>
                <c:pt idx="6">
                  <c:v>Kraujo ir kraujodaros organų ligos</c:v>
                </c:pt>
                <c:pt idx="7">
                  <c:v>Endokrininės sistemos ligos</c:v>
                </c:pt>
                <c:pt idx="8">
                  <c:v>Psichikos ir elgesio sutrikimai</c:v>
                </c:pt>
                <c:pt idx="9">
                  <c:v>Nervų sistemos ligos</c:v>
                </c:pt>
                <c:pt idx="10">
                  <c:v>Ausų ligos</c:v>
                </c:pt>
                <c:pt idx="11">
                  <c:v>Virškinimo sistemos ligos</c:v>
                </c:pt>
                <c:pt idx="12">
                  <c:v>Odos ir poodžio sistemos ligos</c:v>
                </c:pt>
                <c:pt idx="13">
                  <c:v>Urogenitalinės sistemos ligos</c:v>
                </c:pt>
                <c:pt idx="14">
                  <c:v>Įgimtos formavimosi įdos</c:v>
                </c:pt>
                <c:pt idx="15">
                  <c:v>Simptomai, požymiai ir nenormalūs klinikiniai bei laboratoriniai radiniai</c:v>
                </c:pt>
                <c:pt idx="16">
                  <c:v>Sužalojimai, apsinuodijimai ir tam tikrų išorinių poveikių padariniai</c:v>
                </c:pt>
              </c:strCache>
            </c:strRef>
          </c:cat>
          <c:val>
            <c:numRef>
              <c:f>Sheet1!$C$2:$C$18</c:f>
              <c:numCache>
                <c:formatCode>General</c:formatCode>
                <c:ptCount val="17"/>
                <c:pt idx="0">
                  <c:v>230.47</c:v>
                </c:pt>
                <c:pt idx="1">
                  <c:v>332.27</c:v>
                </c:pt>
                <c:pt idx="2">
                  <c:v>320.42</c:v>
                </c:pt>
                <c:pt idx="3">
                  <c:v>276.45999999999998</c:v>
                </c:pt>
                <c:pt idx="4">
                  <c:v>82.68</c:v>
                </c:pt>
                <c:pt idx="5">
                  <c:v>107.1</c:v>
                </c:pt>
                <c:pt idx="6">
                  <c:v>41.63</c:v>
                </c:pt>
                <c:pt idx="7">
                  <c:v>261.02999999999997</c:v>
                </c:pt>
                <c:pt idx="8">
                  <c:v>116.75</c:v>
                </c:pt>
                <c:pt idx="9">
                  <c:v>148.29</c:v>
                </c:pt>
                <c:pt idx="10">
                  <c:v>71.67</c:v>
                </c:pt>
                <c:pt idx="11">
                  <c:v>309.37</c:v>
                </c:pt>
                <c:pt idx="12">
                  <c:v>103.88</c:v>
                </c:pt>
                <c:pt idx="13">
                  <c:v>210.12</c:v>
                </c:pt>
                <c:pt idx="14">
                  <c:v>37.44</c:v>
                </c:pt>
                <c:pt idx="15">
                  <c:v>233.05</c:v>
                </c:pt>
                <c:pt idx="16">
                  <c:v>145.27000000000001</c:v>
                </c:pt>
              </c:numCache>
            </c:numRef>
          </c:val>
          <c:extLst xmlns:c16r2="http://schemas.microsoft.com/office/drawing/2015/06/chart">
            <c:ext xmlns:c16="http://schemas.microsoft.com/office/drawing/2014/chart" uri="{C3380CC4-5D6E-409C-BE32-E72D297353CC}">
              <c16:uniqueId val="{00000001-57FD-4D9E-9598-A66CF360A7A0}"/>
            </c:ext>
          </c:extLst>
        </c:ser>
        <c:dLbls>
          <c:showLegendKey val="0"/>
          <c:showVal val="1"/>
          <c:showCatName val="0"/>
          <c:showSerName val="0"/>
          <c:showPercent val="0"/>
          <c:showBubbleSize val="0"/>
        </c:dLbls>
        <c:gapWidth val="75"/>
        <c:axId val="315393528"/>
        <c:axId val="315393920"/>
      </c:barChart>
      <c:catAx>
        <c:axId val="315393528"/>
        <c:scaling>
          <c:orientation val="minMax"/>
        </c:scaling>
        <c:delete val="0"/>
        <c:axPos val="l"/>
        <c:numFmt formatCode="General" sourceLinked="0"/>
        <c:majorTickMark val="none"/>
        <c:minorTickMark val="none"/>
        <c:tickLblPos val="nextTo"/>
        <c:txPr>
          <a:bodyPr/>
          <a:lstStyle/>
          <a:p>
            <a:pPr>
              <a:defRPr sz="900">
                <a:latin typeface="Times New Roman" pitchFamily="18" charset="0"/>
                <a:cs typeface="Times New Roman" pitchFamily="18" charset="0"/>
              </a:defRPr>
            </a:pPr>
            <a:endParaRPr lang="lt-LT"/>
          </a:p>
        </c:txPr>
        <c:crossAx val="315393920"/>
        <c:crosses val="autoZero"/>
        <c:auto val="1"/>
        <c:lblAlgn val="ctr"/>
        <c:lblOffset val="100"/>
        <c:noMultiLvlLbl val="0"/>
      </c:catAx>
      <c:valAx>
        <c:axId val="315393920"/>
        <c:scaling>
          <c:orientation val="minMax"/>
        </c:scaling>
        <c:delete val="0"/>
        <c:axPos val="b"/>
        <c:numFmt formatCode="General" sourceLinked="1"/>
        <c:majorTickMark val="none"/>
        <c:minorTickMark val="none"/>
        <c:tickLblPos val="nextTo"/>
        <c:txPr>
          <a:bodyPr/>
          <a:lstStyle/>
          <a:p>
            <a:pPr>
              <a:defRPr>
                <a:latin typeface="Times New Roman" pitchFamily="18" charset="0"/>
                <a:cs typeface="Times New Roman" pitchFamily="18" charset="0"/>
              </a:defRPr>
            </a:pPr>
            <a:endParaRPr lang="lt-LT"/>
          </a:p>
        </c:txPr>
        <c:crossAx val="315393528"/>
        <c:crosses val="autoZero"/>
        <c:crossBetween val="between"/>
      </c:valAx>
    </c:plotArea>
    <c:legend>
      <c:legendPos val="b"/>
      <c:layout>
        <c:manualLayout>
          <c:xMode val="edge"/>
          <c:yMode val="edge"/>
          <c:x val="0.84826873742128861"/>
          <c:y val="7.8236404371880786E-2"/>
          <c:w val="0.15173134302837551"/>
          <c:h val="3.4744850442081837E-2"/>
        </c:manualLayout>
      </c:layout>
      <c:overlay val="0"/>
      <c:txPr>
        <a:bodyPr/>
        <a:lstStyle/>
        <a:p>
          <a:pPr>
            <a:defRPr>
              <a:latin typeface="Times New Roman" pitchFamily="18" charset="0"/>
              <a:cs typeface="Times New Roman" pitchFamily="18" charset="0"/>
            </a:defRPr>
          </a:pPr>
          <a:endParaRPr lang="lt-LT"/>
        </a:p>
      </c:txPr>
    </c:legend>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200" b="1">
                <a:solidFill>
                  <a:sysClr val="windowText" lastClr="000000"/>
                </a:solidFill>
                <a:effectLst/>
                <a:latin typeface="Times New Roman" panose="02020603050405020304" pitchFamily="18" charset="0"/>
                <a:cs typeface="Times New Roman" panose="02020603050405020304" pitchFamily="18" charset="0"/>
              </a:rPr>
              <a:t>2017-2021 m. Klaipėdos</a:t>
            </a:r>
            <a:r>
              <a:rPr lang="lt-LT" sz="1200" b="1" baseline="0">
                <a:solidFill>
                  <a:sysClr val="windowText" lastClr="000000"/>
                </a:solidFill>
                <a:effectLst/>
                <a:latin typeface="Times New Roman" panose="02020603050405020304" pitchFamily="18" charset="0"/>
                <a:cs typeface="Times New Roman" panose="02020603050405020304" pitchFamily="18" charset="0"/>
              </a:rPr>
              <a:t> m.,</a:t>
            </a:r>
            <a:r>
              <a:rPr lang="lt-LT" sz="1200" b="1">
                <a:solidFill>
                  <a:sysClr val="windowText" lastClr="000000"/>
                </a:solidFill>
                <a:effectLst/>
                <a:latin typeface="Times New Roman" panose="02020603050405020304" pitchFamily="18" charset="0"/>
                <a:cs typeface="Times New Roman" panose="02020603050405020304" pitchFamily="18" charset="0"/>
              </a:rPr>
              <a:t> Klaipėdos</a:t>
            </a:r>
            <a:r>
              <a:rPr lang="lt-LT" sz="1200" b="1" baseline="0">
                <a:solidFill>
                  <a:sysClr val="windowText" lastClr="000000"/>
                </a:solidFill>
                <a:effectLst/>
                <a:latin typeface="Times New Roman" panose="02020603050405020304" pitchFamily="18" charset="0"/>
                <a:cs typeface="Times New Roman" panose="02020603050405020304" pitchFamily="18" charset="0"/>
              </a:rPr>
              <a:t> apskrityje ir Lietuvoje</a:t>
            </a:r>
            <a:r>
              <a:rPr lang="lt-LT" sz="1200" b="1">
                <a:solidFill>
                  <a:sysClr val="windowText" lastClr="000000"/>
                </a:solidFill>
                <a:effectLst/>
                <a:latin typeface="Times New Roman" panose="02020603050405020304" pitchFamily="18" charset="0"/>
                <a:cs typeface="Times New Roman" panose="02020603050405020304" pitchFamily="18" charset="0"/>
              </a:rPr>
              <a:t> išrašytų kompensuojamų antibiotikų receptų skaičius, tenkantis 1000-čiui apdraustųjų vaikų (0–18 m.), prisirašiusių prie pirminės ASPĮ </a:t>
            </a:r>
            <a:endParaRPr lang="lt-LT" sz="1200">
              <a:solidFill>
                <a:sysClr val="windowText" lastClr="000000"/>
              </a:solidFill>
              <a:effectLst/>
              <a:latin typeface="Times New Roman" panose="02020603050405020304" pitchFamily="18" charset="0"/>
              <a:cs typeface="Times New Roman" panose="02020603050405020304" pitchFamily="18" charset="0"/>
            </a:endParaRPr>
          </a:p>
        </c:rich>
      </c:tx>
      <c:layout>
        <c:manualLayout>
          <c:xMode val="edge"/>
          <c:yMode val="edge"/>
          <c:x val="0.14226910814000596"/>
          <c:y val="0"/>
        </c:manualLayout>
      </c:layout>
      <c:overlay val="0"/>
      <c:spPr>
        <a:noFill/>
        <a:ln>
          <a:noFill/>
        </a:ln>
        <a:effectLst/>
      </c:spPr>
    </c:title>
    <c:autoTitleDeleted val="0"/>
    <c:plotArea>
      <c:layout>
        <c:manualLayout>
          <c:layoutTarget val="inner"/>
          <c:xMode val="edge"/>
          <c:yMode val="edge"/>
          <c:x val="0.12801661117863622"/>
          <c:y val="0.23949375438017892"/>
          <c:w val="0.86888288757293763"/>
          <c:h val="0.63795021368402249"/>
        </c:manualLayout>
      </c:layout>
      <c:barChart>
        <c:barDir val="col"/>
        <c:grouping val="clustered"/>
        <c:varyColors val="0"/>
        <c:ser>
          <c:idx val="0"/>
          <c:order val="0"/>
          <c:tx>
            <c:strRef>
              <c:f>Lapas1!$B$24</c:f>
              <c:strCache>
                <c:ptCount val="1"/>
                <c:pt idx="0">
                  <c:v>Klaipėda</c:v>
                </c:pt>
              </c:strCache>
            </c:strRef>
          </c:tx>
          <c:spPr>
            <a:solidFill>
              <a:srgbClr val="0070C0"/>
            </a:solidFill>
            <a:ln>
              <a:noFill/>
            </a:ln>
            <a:effectLst/>
          </c:spPr>
          <c:invertIfNegative val="0"/>
          <c:dPt>
            <c:idx val="0"/>
            <c:invertIfNegative val="0"/>
            <c:bubble3D val="0"/>
            <c:spPr>
              <a:solidFill>
                <a:srgbClr val="0070C0"/>
              </a:solidFill>
              <a:ln>
                <a:noFill/>
              </a:ln>
              <a:effectLst>
                <a:outerShdw blurRad="50800" dist="50800" dir="5400000" algn="ctr" rotWithShape="0">
                  <a:srgbClr val="000000"/>
                </a:outerShdw>
              </a:effectLst>
            </c:spPr>
            <c:extLst xmlns:c16r2="http://schemas.microsoft.com/office/drawing/2015/06/chart">
              <c:ext xmlns:c16="http://schemas.microsoft.com/office/drawing/2014/chart" uri="{C3380CC4-5D6E-409C-BE32-E72D297353CC}">
                <c16:uniqueId val="{00000001-DB2F-4272-A90F-A330AF6DFAA8}"/>
              </c:ext>
            </c:extLst>
          </c:dPt>
          <c:dLbls>
            <c:dLbl>
              <c:idx val="0"/>
              <c:layout>
                <c:manualLayout>
                  <c:x val="-2.7777777777777779E-3"/>
                  <c:y val="-4.2437781360066642E-17"/>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DB2F-4272-A90F-A330AF6DFAA8}"/>
                </c:ext>
                <c:ext xmlns:c15="http://schemas.microsoft.com/office/drawing/2012/chart" uri="{CE6537A1-D6FC-4f65-9D91-7224C49458BB}">
                  <c15:layout/>
                </c:ext>
              </c:extLst>
            </c:dLbl>
            <c:dLbl>
              <c:idx val="3"/>
              <c:layout>
                <c:manualLayout>
                  <c:x val="-2.7777777777777779E-3"/>
                  <c:y val="0"/>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DB2F-4272-A90F-A330AF6DFAA8}"/>
                </c:ext>
                <c:ext xmlns:c15="http://schemas.microsoft.com/office/drawing/2012/chart" uri="{CE6537A1-D6FC-4f65-9D91-7224C49458BB}">
                  <c15:layout/>
                </c:ext>
              </c:extLst>
            </c:dLbl>
            <c:dLbl>
              <c:idx val="4"/>
              <c:layout>
                <c:manualLayout>
                  <c:x val="-8.3333333333333332E-3"/>
                  <c:y val="0"/>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DB2F-4272-A90F-A330AF6DFAA8}"/>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Lapas1!$C$23:$G$23</c:f>
              <c:numCache>
                <c:formatCode>General</c:formatCode>
                <c:ptCount val="5"/>
                <c:pt idx="0">
                  <c:v>2017</c:v>
                </c:pt>
                <c:pt idx="1">
                  <c:v>2018</c:v>
                </c:pt>
                <c:pt idx="2">
                  <c:v>2019</c:v>
                </c:pt>
                <c:pt idx="3">
                  <c:v>2020</c:v>
                </c:pt>
                <c:pt idx="4">
                  <c:v>2021</c:v>
                </c:pt>
              </c:numCache>
            </c:numRef>
          </c:cat>
          <c:val>
            <c:numRef>
              <c:f>Lapas1!$C$24:$G$24</c:f>
              <c:numCache>
                <c:formatCode>General</c:formatCode>
                <c:ptCount val="5"/>
                <c:pt idx="0">
                  <c:v>400</c:v>
                </c:pt>
                <c:pt idx="1">
                  <c:v>332</c:v>
                </c:pt>
                <c:pt idx="2">
                  <c:v>332</c:v>
                </c:pt>
                <c:pt idx="3">
                  <c:v>143</c:v>
                </c:pt>
                <c:pt idx="4">
                  <c:v>146</c:v>
                </c:pt>
              </c:numCache>
            </c:numRef>
          </c:val>
          <c:extLst xmlns:c16r2="http://schemas.microsoft.com/office/drawing/2015/06/chart">
            <c:ext xmlns:c16="http://schemas.microsoft.com/office/drawing/2014/chart" uri="{C3380CC4-5D6E-409C-BE32-E72D297353CC}">
              <c16:uniqueId val="{00000004-DB2F-4272-A90F-A330AF6DFAA8}"/>
            </c:ext>
          </c:extLst>
        </c:ser>
        <c:ser>
          <c:idx val="1"/>
          <c:order val="1"/>
          <c:tx>
            <c:strRef>
              <c:f>Lapas1!$B$25</c:f>
              <c:strCache>
                <c:ptCount val="1"/>
                <c:pt idx="0">
                  <c:v>Klaipėdos apskritis</c:v>
                </c:pt>
              </c:strCache>
            </c:strRef>
          </c:tx>
          <c:spPr>
            <a:solidFill>
              <a:schemeClr val="accent2"/>
            </a:solidFill>
            <a:ln>
              <a:noFill/>
            </a:ln>
            <a:effectLst/>
          </c:spPr>
          <c:invertIfNegative val="0"/>
          <c:dLbls>
            <c:dLbl>
              <c:idx val="0"/>
              <c:layout>
                <c:manualLayout>
                  <c:x val="-8.3333333333333592E-3"/>
                  <c:y val="0"/>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DB2F-4272-A90F-A330AF6DFAA8}"/>
                </c:ext>
                <c:ext xmlns:c15="http://schemas.microsoft.com/office/drawing/2012/chart" uri="{CE6537A1-D6FC-4f65-9D91-7224C49458BB}">
                  <c15:layout/>
                </c:ext>
              </c:extLst>
            </c:dLbl>
            <c:dLbl>
              <c:idx val="1"/>
              <c:layout>
                <c:manualLayout>
                  <c:x val="-8.3333333333333835E-3"/>
                  <c:y val="0"/>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DB2F-4272-A90F-A330AF6DFAA8}"/>
                </c:ext>
                <c:ext xmlns:c15="http://schemas.microsoft.com/office/drawing/2012/chart" uri="{CE6537A1-D6FC-4f65-9D91-7224C49458BB}">
                  <c15:layout/>
                </c:ext>
              </c:extLst>
            </c:dLbl>
            <c:dLbl>
              <c:idx val="3"/>
              <c:layout>
                <c:manualLayout>
                  <c:x val="-2.7777777777778798E-3"/>
                  <c:y val="-8.4875562720133283E-17"/>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DB2F-4272-A90F-A330AF6DFAA8}"/>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Lapas1!$C$23:$G$23</c:f>
              <c:numCache>
                <c:formatCode>General</c:formatCode>
                <c:ptCount val="5"/>
                <c:pt idx="0">
                  <c:v>2017</c:v>
                </c:pt>
                <c:pt idx="1">
                  <c:v>2018</c:v>
                </c:pt>
                <c:pt idx="2">
                  <c:v>2019</c:v>
                </c:pt>
                <c:pt idx="3">
                  <c:v>2020</c:v>
                </c:pt>
                <c:pt idx="4">
                  <c:v>2021</c:v>
                </c:pt>
              </c:numCache>
            </c:numRef>
          </c:cat>
          <c:val>
            <c:numRef>
              <c:f>Lapas1!$C$25:$G$25</c:f>
              <c:numCache>
                <c:formatCode>General</c:formatCode>
                <c:ptCount val="5"/>
                <c:pt idx="0">
                  <c:v>559</c:v>
                </c:pt>
                <c:pt idx="1">
                  <c:v>478</c:v>
                </c:pt>
                <c:pt idx="2">
                  <c:v>477</c:v>
                </c:pt>
                <c:pt idx="3">
                  <c:v>191</c:v>
                </c:pt>
                <c:pt idx="4">
                  <c:v>223</c:v>
                </c:pt>
              </c:numCache>
            </c:numRef>
          </c:val>
          <c:extLst xmlns:c16r2="http://schemas.microsoft.com/office/drawing/2015/06/chart">
            <c:ext xmlns:c16="http://schemas.microsoft.com/office/drawing/2014/chart" uri="{C3380CC4-5D6E-409C-BE32-E72D297353CC}">
              <c16:uniqueId val="{00000008-DB2F-4272-A90F-A330AF6DFAA8}"/>
            </c:ext>
          </c:extLst>
        </c:ser>
        <c:ser>
          <c:idx val="2"/>
          <c:order val="2"/>
          <c:tx>
            <c:strRef>
              <c:f>Lapas1!$B$26</c:f>
              <c:strCache>
                <c:ptCount val="1"/>
                <c:pt idx="0">
                  <c:v>Lietuva</c:v>
                </c:pt>
              </c:strCache>
            </c:strRef>
          </c:tx>
          <c:spPr>
            <a:solidFill>
              <a:schemeClr val="accent3">
                <a:lumMod val="40000"/>
                <a:lumOff val="60000"/>
              </a:schemeClr>
            </a:solidFill>
            <a:ln>
              <a:noFill/>
            </a:ln>
            <a:effectLst/>
          </c:spPr>
          <c:invertIfNegative val="0"/>
          <c:dLbls>
            <c:dLbl>
              <c:idx val="2"/>
              <c:layout>
                <c:manualLayout>
                  <c:x val="1.1111111111111112E-2"/>
                  <c:y val="4.6296296296295869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DB2F-4272-A90F-A330AF6DFAA8}"/>
                </c:ext>
                <c:ext xmlns:c15="http://schemas.microsoft.com/office/drawing/2012/chart" uri="{CE6537A1-D6FC-4f65-9D91-7224C49458BB}">
                  <c15:layout/>
                </c:ext>
              </c:extLst>
            </c:dLbl>
            <c:dLbl>
              <c:idx val="4"/>
              <c:layout>
                <c:manualLayout>
                  <c:x val="1.6666666666666666E-2"/>
                  <c:y val="0"/>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DB2F-4272-A90F-A330AF6DFAA8}"/>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Lapas1!$C$23:$G$23</c:f>
              <c:numCache>
                <c:formatCode>General</c:formatCode>
                <c:ptCount val="5"/>
                <c:pt idx="0">
                  <c:v>2017</c:v>
                </c:pt>
                <c:pt idx="1">
                  <c:v>2018</c:v>
                </c:pt>
                <c:pt idx="2">
                  <c:v>2019</c:v>
                </c:pt>
                <c:pt idx="3">
                  <c:v>2020</c:v>
                </c:pt>
                <c:pt idx="4">
                  <c:v>2021</c:v>
                </c:pt>
              </c:numCache>
            </c:numRef>
          </c:cat>
          <c:val>
            <c:numRef>
              <c:f>Lapas1!$C$26:$G$26</c:f>
              <c:numCache>
                <c:formatCode>General</c:formatCode>
                <c:ptCount val="5"/>
                <c:pt idx="0">
                  <c:v>607</c:v>
                </c:pt>
                <c:pt idx="1">
                  <c:v>538</c:v>
                </c:pt>
                <c:pt idx="2">
                  <c:v>452</c:v>
                </c:pt>
                <c:pt idx="3">
                  <c:v>213</c:v>
                </c:pt>
                <c:pt idx="4">
                  <c:v>208</c:v>
                </c:pt>
              </c:numCache>
            </c:numRef>
          </c:val>
          <c:extLst xmlns:c16r2="http://schemas.microsoft.com/office/drawing/2015/06/chart">
            <c:ext xmlns:c16="http://schemas.microsoft.com/office/drawing/2014/chart" uri="{C3380CC4-5D6E-409C-BE32-E72D297353CC}">
              <c16:uniqueId val="{0000000B-DB2F-4272-A90F-A330AF6DFAA8}"/>
            </c:ext>
          </c:extLst>
        </c:ser>
        <c:dLbls>
          <c:dLblPos val="outEnd"/>
          <c:showLegendKey val="0"/>
          <c:showVal val="1"/>
          <c:showCatName val="0"/>
          <c:showSerName val="0"/>
          <c:showPercent val="0"/>
          <c:showBubbleSize val="0"/>
        </c:dLbls>
        <c:gapWidth val="219"/>
        <c:axId val="315387256"/>
        <c:axId val="315391568"/>
      </c:barChart>
      <c:catAx>
        <c:axId val="315387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315391568"/>
        <c:crosses val="autoZero"/>
        <c:auto val="1"/>
        <c:lblAlgn val="ctr"/>
        <c:lblOffset val="100"/>
        <c:noMultiLvlLbl val="0"/>
      </c:catAx>
      <c:valAx>
        <c:axId val="3153915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r>
                  <a:rPr lang="lt-LT" sz="900" b="1">
                    <a:solidFill>
                      <a:sysClr val="windowText" lastClr="000000"/>
                    </a:solidFill>
                    <a:latin typeface="Times New Roman" panose="02020603050405020304" pitchFamily="18" charset="0"/>
                    <a:cs typeface="Times New Roman" panose="02020603050405020304" pitchFamily="18" charset="0"/>
                  </a:rPr>
                  <a:t>Antibiotikų</a:t>
                </a:r>
                <a:r>
                  <a:rPr lang="lt-LT" sz="900" b="1" baseline="0">
                    <a:solidFill>
                      <a:sysClr val="windowText" lastClr="000000"/>
                    </a:solidFill>
                    <a:latin typeface="Times New Roman" panose="02020603050405020304" pitchFamily="18" charset="0"/>
                    <a:cs typeface="Times New Roman" panose="02020603050405020304" pitchFamily="18" charset="0"/>
                  </a:rPr>
                  <a:t> receptų skaičius 1000-iui prisirašiusių vaikų (0-18 m.)</a:t>
                </a:r>
                <a:endParaRPr lang="lt-LT" sz="900"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1.3056115919394373E-3"/>
              <c:y val="0.22910223981069724"/>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315387256"/>
        <c:crosses val="autoZero"/>
        <c:crossBetween val="between"/>
      </c:valAx>
      <c:spPr>
        <a:noFill/>
        <a:ln>
          <a:noFill/>
        </a:ln>
        <a:effectLst/>
      </c:spPr>
    </c:plotArea>
    <c:legend>
      <c:legendPos val="b"/>
      <c:layout>
        <c:manualLayout>
          <c:xMode val="edge"/>
          <c:yMode val="edge"/>
          <c:x val="0.30009886557804433"/>
          <c:y val="0.93129577716398015"/>
          <c:w val="0.4858199457450369"/>
          <c:h val="5.9445039919748248E-2"/>
        </c:manualLayout>
      </c:layou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lt-LT"/>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75" b="1" i="0" u="none" strike="noStrike" baseline="0">
                <a:solidFill>
                  <a:srgbClr val="000000"/>
                </a:solidFill>
                <a:latin typeface="Times New Roman"/>
                <a:ea typeface="Times New Roman"/>
                <a:cs typeface="Times New Roman"/>
              </a:defRPr>
            </a:pPr>
            <a:r>
              <a:rPr lang="lt-LT" sz="1200" b="1" i="0" u="none" strike="noStrike" baseline="0">
                <a:solidFill>
                  <a:srgbClr val="000000"/>
                </a:solidFill>
                <a:latin typeface="Times New Roman"/>
                <a:cs typeface="Times New Roman"/>
              </a:rPr>
              <a:t>ŽIV plitimo dinamika Lietuvoje ir Klaipėdos mieste</a:t>
            </a:r>
          </a:p>
          <a:p>
            <a:pPr>
              <a:defRPr sz="1075" b="1" i="0" u="none" strike="noStrike" baseline="0">
                <a:solidFill>
                  <a:srgbClr val="000000"/>
                </a:solidFill>
                <a:latin typeface="Times New Roman"/>
                <a:ea typeface="Times New Roman"/>
                <a:cs typeface="Times New Roman"/>
              </a:defRPr>
            </a:pPr>
            <a:r>
              <a:rPr lang="lt-LT" sz="1200" b="1" i="0" u="none" strike="noStrike" baseline="0">
                <a:solidFill>
                  <a:srgbClr val="000000"/>
                </a:solidFill>
                <a:latin typeface="Times New Roman"/>
                <a:cs typeface="Times New Roman"/>
              </a:rPr>
              <a:t> 1999 - 2021 metais</a:t>
            </a:r>
          </a:p>
        </c:rich>
      </c:tx>
      <c:layout>
        <c:manualLayout>
          <c:xMode val="edge"/>
          <c:yMode val="edge"/>
          <c:x val="0.27424652784005643"/>
          <c:y val="1.9228307668437996E-2"/>
        </c:manualLayout>
      </c:layout>
      <c:overlay val="0"/>
      <c:spPr>
        <a:noFill/>
        <a:ln w="25400">
          <a:noFill/>
        </a:ln>
      </c:spPr>
    </c:title>
    <c:autoTitleDeleted val="0"/>
    <c:plotArea>
      <c:layout>
        <c:manualLayout>
          <c:layoutTarget val="inner"/>
          <c:xMode val="edge"/>
          <c:yMode val="edge"/>
          <c:x val="8.5281318662528749E-2"/>
          <c:y val="0.16373395135952834"/>
          <c:w val="0.90160934280609062"/>
          <c:h val="0.62489203935714943"/>
        </c:manualLayout>
      </c:layout>
      <c:lineChart>
        <c:grouping val="standard"/>
        <c:varyColors val="0"/>
        <c:ser>
          <c:idx val="0"/>
          <c:order val="0"/>
          <c:tx>
            <c:strRef>
              <c:f>Sheet1!$B$5</c:f>
              <c:strCache>
                <c:ptCount val="1"/>
                <c:pt idx="0">
                  <c:v>Lietuva</c:v>
                </c:pt>
              </c:strCache>
            </c:strRef>
          </c:tx>
          <c:spPr>
            <a:ln w="25400">
              <a:solidFill>
                <a:srgbClr val="3366FF"/>
              </a:solidFill>
              <a:prstDash val="solid"/>
            </a:ln>
          </c:spPr>
          <c:marker>
            <c:symbol val="diamond"/>
            <c:size val="7"/>
            <c:spPr>
              <a:solidFill>
                <a:srgbClr val="3366FF"/>
              </a:solidFill>
              <a:ln>
                <a:solidFill>
                  <a:srgbClr val="3366FF"/>
                </a:solidFill>
                <a:prstDash val="solid"/>
              </a:ln>
            </c:spPr>
          </c:marker>
          <c:dLbls>
            <c:dLbl>
              <c:idx val="0"/>
              <c:layout>
                <c:manualLayout>
                  <c:x val="-1.737242128121607E-2"/>
                  <c:y val="-5.0536780247601797E-2"/>
                </c:manualLayout>
              </c:layout>
              <c:spPr>
                <a:noFill/>
                <a:ln w="25400">
                  <a:noFill/>
                </a:ln>
              </c:spPr>
              <c:txPr>
                <a:bodyPr/>
                <a:lstStyle/>
                <a:p>
                  <a:pPr>
                    <a:defRPr sz="900"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DAC3-4863-8836-D77D7258197C}"/>
                </c:ext>
                <c:ext xmlns:c15="http://schemas.microsoft.com/office/drawing/2012/chart" uri="{CE6537A1-D6FC-4f65-9D91-7224C49458BB}">
                  <c15:layout/>
                </c:ext>
              </c:extLst>
            </c:dLbl>
            <c:dLbl>
              <c:idx val="1"/>
              <c:layout>
                <c:manualLayout>
                  <c:x val="-2.0456026058631883E-2"/>
                  <c:y val="-3.8956867117274169E-2"/>
                </c:manualLayout>
              </c:layout>
              <c:spPr>
                <a:noFill/>
                <a:ln w="25400">
                  <a:noFill/>
                </a:ln>
              </c:spPr>
              <c:txPr>
                <a:bodyPr/>
                <a:lstStyle/>
                <a:p>
                  <a:pPr>
                    <a:defRPr sz="900"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DAC3-4863-8836-D77D7258197C}"/>
                </c:ext>
                <c:ext xmlns:c15="http://schemas.microsoft.com/office/drawing/2012/chart" uri="{CE6537A1-D6FC-4f65-9D91-7224C49458BB}">
                  <c15:layout/>
                </c:ext>
              </c:extLst>
            </c:dLbl>
            <c:dLbl>
              <c:idx val="2"/>
              <c:layout>
                <c:manualLayout>
                  <c:x val="-1.137380628724341E-2"/>
                  <c:y val="-3.2448294198809707E-2"/>
                </c:manualLayout>
              </c:layout>
              <c:spPr>
                <a:noFill/>
                <a:ln w="25400">
                  <a:noFill/>
                </a:ln>
              </c:spPr>
              <c:txPr>
                <a:bodyPr/>
                <a:lstStyle/>
                <a:p>
                  <a:pPr>
                    <a:defRPr sz="900"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DAC3-4863-8836-D77D7258197C}"/>
                </c:ext>
                <c:ext xmlns:c15="http://schemas.microsoft.com/office/drawing/2012/chart" uri="{CE6537A1-D6FC-4f65-9D91-7224C49458BB}">
                  <c15:layout/>
                </c:ext>
              </c:extLst>
            </c:dLbl>
            <c:dLbl>
              <c:idx val="3"/>
              <c:layout>
                <c:manualLayout>
                  <c:x val="-3.265151269671538E-2"/>
                  <c:y val="-3.4237103105474648E-2"/>
                </c:manualLayout>
              </c:layout>
              <c:spPr>
                <a:noFill/>
                <a:ln w="25400">
                  <a:noFill/>
                </a:ln>
              </c:spPr>
              <c:txPr>
                <a:bodyPr/>
                <a:lstStyle/>
                <a:p>
                  <a:pPr>
                    <a:defRPr sz="900"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DAC3-4863-8836-D77D7258197C}"/>
                </c:ext>
                <c:ext xmlns:c15="http://schemas.microsoft.com/office/drawing/2012/chart" uri="{CE6537A1-D6FC-4f65-9D91-7224C49458BB}">
                  <c15:layout/>
                </c:ext>
              </c:extLst>
            </c:dLbl>
            <c:dLbl>
              <c:idx val="4"/>
              <c:layout>
                <c:manualLayout>
                  <c:x val="-2.2412550960731664E-2"/>
                  <c:y val="-5.3412392793966521E-2"/>
                </c:manualLayout>
              </c:layout>
              <c:spPr>
                <a:noFill/>
                <a:ln w="25400">
                  <a:noFill/>
                </a:ln>
              </c:spPr>
              <c:txPr>
                <a:bodyPr/>
                <a:lstStyle/>
                <a:p>
                  <a:pPr>
                    <a:defRPr sz="900"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DAC3-4863-8836-D77D7258197C}"/>
                </c:ext>
                <c:ext xmlns:c15="http://schemas.microsoft.com/office/drawing/2012/chart" uri="{CE6537A1-D6FC-4f65-9D91-7224C49458BB}">
                  <c15:layout/>
                </c:ext>
              </c:extLst>
            </c:dLbl>
            <c:dLbl>
              <c:idx val="5"/>
              <c:layout>
                <c:manualLayout>
                  <c:x val="-2.1959014080894651E-2"/>
                  <c:y val="-3.5606810210670678E-2"/>
                </c:manualLayout>
              </c:layout>
              <c:spPr>
                <a:noFill/>
                <a:ln w="25400">
                  <a:noFill/>
                </a:ln>
              </c:spPr>
              <c:txPr>
                <a:bodyPr/>
                <a:lstStyle/>
                <a:p>
                  <a:pPr>
                    <a:defRPr sz="900"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DAC3-4863-8836-D77D7258197C}"/>
                </c:ext>
                <c:ext xmlns:c15="http://schemas.microsoft.com/office/drawing/2012/chart" uri="{CE6537A1-D6FC-4f65-9D91-7224C49458BB}">
                  <c15:layout/>
                </c:ext>
              </c:extLst>
            </c:dLbl>
            <c:dLbl>
              <c:idx val="6"/>
              <c:layout>
                <c:manualLayout>
                  <c:x val="-2.0132686997187239E-2"/>
                  <c:y val="-3.8015578431874836E-2"/>
                </c:manualLayout>
              </c:layout>
              <c:spPr>
                <a:noFill/>
                <a:ln w="25400">
                  <a:noFill/>
                </a:ln>
              </c:spPr>
              <c:txPr>
                <a:bodyPr/>
                <a:lstStyle/>
                <a:p>
                  <a:pPr>
                    <a:defRPr sz="900"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DAC3-4863-8836-D77D7258197C}"/>
                </c:ext>
                <c:ext xmlns:c15="http://schemas.microsoft.com/office/drawing/2012/chart" uri="{CE6537A1-D6FC-4f65-9D91-7224C49458BB}">
                  <c15:layout>
                    <c:manualLayout>
                      <c:w val="4.2345276872964167E-2"/>
                      <c:h val="5.988350626016934E-2"/>
                    </c:manualLayout>
                  </c15:layout>
                </c:ext>
              </c:extLst>
            </c:dLbl>
            <c:dLbl>
              <c:idx val="7"/>
              <c:layout>
                <c:manualLayout>
                  <c:x val="-1.8338163755589262E-2"/>
                  <c:y val="-5.1478078365624985E-2"/>
                </c:manualLayout>
              </c:layout>
              <c:spPr>
                <a:noFill/>
                <a:ln w="25400">
                  <a:noFill/>
                </a:ln>
              </c:spPr>
              <c:txPr>
                <a:bodyPr/>
                <a:lstStyle/>
                <a:p>
                  <a:pPr>
                    <a:defRPr sz="900"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DAC3-4863-8836-D77D7258197C}"/>
                </c:ext>
                <c:ext xmlns:c15="http://schemas.microsoft.com/office/drawing/2012/chart" uri="{CE6537A1-D6FC-4f65-9D91-7224C49458BB}">
                  <c15:layout/>
                </c:ext>
              </c:extLst>
            </c:dLbl>
            <c:dLbl>
              <c:idx val="8"/>
              <c:layout>
                <c:manualLayout>
                  <c:x val="-2.2801302931596091E-2"/>
                  <c:y val="-4.4497993954480085E-2"/>
                </c:manualLayout>
              </c:layout>
              <c:spPr>
                <a:noFill/>
                <a:ln w="25400">
                  <a:noFill/>
                </a:ln>
              </c:spPr>
              <c:txPr>
                <a:bodyPr/>
                <a:lstStyle/>
                <a:p>
                  <a:pPr>
                    <a:defRPr sz="900"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DAC3-4863-8836-D77D7258197C}"/>
                </c:ext>
                <c:ext xmlns:c15="http://schemas.microsoft.com/office/drawing/2012/chart" uri="{CE6537A1-D6FC-4f65-9D91-7224C49458BB}">
                  <c15:layout/>
                </c:ext>
              </c:extLst>
            </c:dLbl>
            <c:dLbl>
              <c:idx val="9"/>
              <c:spPr>
                <a:noFill/>
                <a:ln w="25400">
                  <a:noFill/>
                </a:ln>
              </c:spPr>
              <c:txPr>
                <a:bodyPr wrap="square" lIns="38100" tIns="19050" rIns="38100" bIns="19050" anchor="ctr">
                  <a:noAutofit/>
                </a:bodyPr>
                <a:lstStyle/>
                <a:p>
                  <a:pPr>
                    <a:defRPr sz="900" b="1" i="0" u="none" strike="noStrike" baseline="0">
                      <a:solidFill>
                        <a:sysClr val="windowText" lastClr="000000"/>
                      </a:solidFill>
                      <a:latin typeface="Times New Roman"/>
                      <a:ea typeface="Times New Roman"/>
                      <a:cs typeface="Times New Roman"/>
                    </a:defRPr>
                  </a:pPr>
                  <a:endParaRPr lang="lt-LT"/>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BE8B-4C7E-8AED-9B29B8C51D07}"/>
                </c:ext>
                <c:ext xmlns:c15="http://schemas.microsoft.com/office/drawing/2012/chart" uri="{CE6537A1-D6FC-4f65-9D91-7224C49458BB}">
                  <c15:spPr xmlns:c15="http://schemas.microsoft.com/office/drawing/2012/chart">
                    <a:prstGeom prst="rect">
                      <a:avLst/>
                    </a:prstGeom>
                  </c15:spPr>
                </c:ext>
              </c:extLst>
            </c:dLbl>
            <c:dLbl>
              <c:idx val="10"/>
              <c:layout>
                <c:manualLayout>
                  <c:x val="-3.1261813723901799E-2"/>
                  <c:y val="-3.2448377581120944E-2"/>
                </c:manualLayout>
              </c:layout>
              <c:spPr>
                <a:noFill/>
                <a:ln w="25400">
                  <a:noFill/>
                </a:ln>
              </c:spPr>
              <c:txPr>
                <a:bodyPr/>
                <a:lstStyle/>
                <a:p>
                  <a:pPr>
                    <a:defRPr sz="900" b="1" i="0" u="none" strike="noStrike" baseline="0">
                      <a:solidFill>
                        <a:sysClr val="windowText" lastClr="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DAC3-4863-8836-D77D7258197C}"/>
                </c:ext>
                <c:ext xmlns:c15="http://schemas.microsoft.com/office/drawing/2012/chart" uri="{CE6537A1-D6FC-4f65-9D91-7224C49458BB}">
                  <c15:layout/>
                </c:ext>
              </c:extLst>
            </c:dLbl>
            <c:dLbl>
              <c:idx val="11"/>
              <c:layout>
                <c:manualLayout>
                  <c:x val="-2.1291202969919459E-2"/>
                  <c:y val="-3.834798934804682E-2"/>
                </c:manualLayout>
              </c:layout>
              <c:spPr>
                <a:noFill/>
                <a:ln w="25400">
                  <a:noFill/>
                </a:ln>
              </c:spPr>
              <c:txPr>
                <a:bodyPr/>
                <a:lstStyle/>
                <a:p>
                  <a:pPr>
                    <a:defRPr sz="900"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DAC3-4863-8836-D77D7258197C}"/>
                </c:ext>
                <c:ext xmlns:c15="http://schemas.microsoft.com/office/drawing/2012/chart" uri="{CE6537A1-D6FC-4f65-9D91-7224C49458BB}">
                  <c15:layout/>
                </c:ext>
              </c:extLst>
            </c:dLbl>
            <c:dLbl>
              <c:idx val="12"/>
              <c:layout>
                <c:manualLayout>
                  <c:x val="-1.4823322004017528E-2"/>
                  <c:y val="-3.834798934804682E-2"/>
                </c:manualLayout>
              </c:layout>
              <c:spPr>
                <a:noFill/>
                <a:ln w="25400">
                  <a:noFill/>
                </a:ln>
              </c:spPr>
              <c:txPr>
                <a:bodyPr/>
                <a:lstStyle/>
                <a:p>
                  <a:pPr>
                    <a:defRPr sz="900"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DAC3-4863-8836-D77D7258197C}"/>
                </c:ext>
                <c:ext xmlns:c15="http://schemas.microsoft.com/office/drawing/2012/chart" uri="{CE6537A1-D6FC-4f65-9D91-7224C49458BB}">
                  <c15:layout/>
                </c:ext>
              </c:extLst>
            </c:dLbl>
            <c:dLbl>
              <c:idx val="13"/>
              <c:layout>
                <c:manualLayout>
                  <c:x val="-1.737242128121607E-2"/>
                  <c:y val="-3.5398230088495575E-2"/>
                </c:manualLayout>
              </c:layout>
              <c:spPr>
                <a:noFill/>
                <a:ln w="25400">
                  <a:noFill/>
                </a:ln>
              </c:spPr>
              <c:txPr>
                <a:bodyPr/>
                <a:lstStyle/>
                <a:p>
                  <a:pPr>
                    <a:defRPr sz="900"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DAC3-4863-8836-D77D7258197C}"/>
                </c:ext>
                <c:ext xmlns:c15="http://schemas.microsoft.com/office/drawing/2012/chart" uri="{CE6537A1-D6FC-4f65-9D91-7224C49458BB}">
                  <c15:layout/>
                </c:ext>
              </c:extLst>
            </c:dLbl>
            <c:dLbl>
              <c:idx val="14"/>
              <c:layout>
                <c:manualLayout>
                  <c:x val="-1.737242128121615E-2"/>
                  <c:y val="-3.2448377581121055E-2"/>
                </c:manualLayout>
              </c:layout>
              <c:spPr>
                <a:noFill/>
                <a:ln w="25400">
                  <a:noFill/>
                </a:ln>
              </c:spPr>
              <c:txPr>
                <a:bodyPr/>
                <a:lstStyle/>
                <a:p>
                  <a:pPr>
                    <a:defRPr sz="900"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DAC3-4863-8836-D77D7258197C}"/>
                </c:ext>
                <c:ext xmlns:c15="http://schemas.microsoft.com/office/drawing/2012/chart" uri="{CE6537A1-D6FC-4f65-9D91-7224C49458BB}">
                  <c15:layout/>
                </c:ext>
              </c:extLst>
            </c:dLbl>
            <c:dLbl>
              <c:idx val="15"/>
              <c:layout>
                <c:manualLayout>
                  <c:x val="-2.5256887291671963E-2"/>
                  <c:y val="-3.3553652508764874E-2"/>
                </c:manualLayout>
              </c:layout>
              <c:spPr>
                <a:noFill/>
                <a:ln w="25400">
                  <a:noFill/>
                </a:ln>
              </c:spPr>
              <c:txPr>
                <a:bodyPr/>
                <a:lstStyle/>
                <a:p>
                  <a:pPr>
                    <a:defRPr sz="900"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DAC3-4863-8836-D77D7258197C}"/>
                </c:ext>
                <c:ext xmlns:c15="http://schemas.microsoft.com/office/drawing/2012/chart" uri="{CE6537A1-D6FC-4f65-9D91-7224C49458BB}">
                  <c15:layout/>
                </c:ext>
              </c:extLst>
            </c:dLbl>
            <c:dLbl>
              <c:idx val="16"/>
              <c:layout>
                <c:manualLayout>
                  <c:x val="-3.3234673027435171E-2"/>
                  <c:y val="-4.7322534313006703E-2"/>
                </c:manualLayout>
              </c:layout>
              <c:spPr>
                <a:noFill/>
                <a:ln w="25400">
                  <a:noFill/>
                </a:ln>
              </c:spPr>
              <c:txPr>
                <a:bodyPr/>
                <a:lstStyle/>
                <a:p>
                  <a:pPr>
                    <a:defRPr sz="900"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0-DAC3-4863-8836-D77D7258197C}"/>
                </c:ext>
                <c:ext xmlns:c15="http://schemas.microsoft.com/office/drawing/2012/chart" uri="{CE6537A1-D6FC-4f65-9D91-7224C49458BB}">
                  <c15:layout/>
                </c:ext>
              </c:extLst>
            </c:dLbl>
            <c:dLbl>
              <c:idx val="17"/>
              <c:layout>
                <c:manualLayout>
                  <c:x val="-3.8286183282464283E-2"/>
                  <c:y val="-3.8347887689717496E-2"/>
                </c:manualLayout>
              </c:layout>
              <c:spPr>
                <a:noFill/>
                <a:ln w="25400">
                  <a:noFill/>
                </a:ln>
              </c:spPr>
              <c:txPr>
                <a:bodyPr/>
                <a:lstStyle/>
                <a:p>
                  <a:pPr>
                    <a:defRPr sz="900"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1-DAC3-4863-8836-D77D7258197C}"/>
                </c:ext>
                <c:ext xmlns:c15="http://schemas.microsoft.com/office/drawing/2012/chart" uri="{CE6537A1-D6FC-4f65-9D91-7224C49458BB}">
                  <c15:layout/>
                </c:ext>
              </c:extLst>
            </c:dLbl>
            <c:dLbl>
              <c:idx val="18"/>
              <c:layout>
                <c:manualLayout>
                  <c:x val="-2.7488423473438262E-2"/>
                  <c:y val="-4.1663952589867874E-2"/>
                </c:manualLayout>
              </c:layout>
              <c:spPr>
                <a:noFill/>
                <a:ln w="25400">
                  <a:noFill/>
                </a:ln>
              </c:spPr>
              <c:txPr>
                <a:bodyPr/>
                <a:lstStyle/>
                <a:p>
                  <a:pPr>
                    <a:defRPr sz="900"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2-DAC3-4863-8836-D77D7258197C}"/>
                </c:ext>
                <c:ext xmlns:c15="http://schemas.microsoft.com/office/drawing/2012/chart" uri="{CE6537A1-D6FC-4f65-9D91-7224C49458BB}">
                  <c15:layout/>
                </c:ext>
              </c:extLst>
            </c:dLbl>
            <c:dLbl>
              <c:idx val="19"/>
              <c:layout>
                <c:manualLayout>
                  <c:x val="-2.2231538187356337E-2"/>
                  <c:y val="-3.2448377581120832E-2"/>
                </c:manualLayout>
              </c:layout>
              <c:spPr>
                <a:noFill/>
                <a:ln w="25400">
                  <a:noFill/>
                </a:ln>
              </c:spPr>
              <c:txPr>
                <a:bodyPr/>
                <a:lstStyle/>
                <a:p>
                  <a:pPr>
                    <a:defRPr sz="900"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3-DAC3-4863-8836-D77D7258197C}"/>
                </c:ext>
                <c:ext xmlns:c15="http://schemas.microsoft.com/office/drawing/2012/chart" uri="{CE6537A1-D6FC-4f65-9D91-7224C49458BB}">
                  <c15:layout/>
                </c:ext>
              </c:extLst>
            </c:dLbl>
            <c:dLbl>
              <c:idx val="20"/>
              <c:layout>
                <c:manualLayout>
                  <c:x val="-1.1943539630836048E-2"/>
                  <c:y val="-3.5398230088495575E-2"/>
                </c:manualLayout>
              </c:layout>
              <c:spPr>
                <a:noFill/>
                <a:ln w="25400">
                  <a:noFill/>
                </a:ln>
              </c:spPr>
              <c:txPr>
                <a:bodyPr/>
                <a:lstStyle/>
                <a:p>
                  <a:pPr>
                    <a:defRPr sz="900"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4-DAC3-4863-8836-D77D7258197C}"/>
                </c:ext>
                <c:ext xmlns:c15="http://schemas.microsoft.com/office/drawing/2012/chart" uri="{CE6537A1-D6FC-4f65-9D91-7224C49458BB}">
                  <c15:layout/>
                </c:ext>
              </c:extLst>
            </c:dLbl>
            <c:dLbl>
              <c:idx val="21"/>
              <c:layout>
                <c:manualLayout>
                  <c:x val="-3.1321141860524766E-2"/>
                  <c:y val="-3.91464192396637E-2"/>
                </c:manualLayout>
              </c:layout>
              <c:spPr>
                <a:noFill/>
                <a:ln w="25400">
                  <a:noFill/>
                </a:ln>
              </c:spPr>
              <c:txPr>
                <a:bodyPr/>
                <a:lstStyle/>
                <a:p>
                  <a:pPr>
                    <a:defRPr sz="900"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5-DAC3-4863-8836-D77D7258197C}"/>
                </c:ext>
                <c:ext xmlns:c15="http://schemas.microsoft.com/office/drawing/2012/chart" uri="{CE6537A1-D6FC-4f65-9D91-7224C49458BB}">
                  <c15:layout/>
                </c:ext>
              </c:extLst>
            </c:dLbl>
            <c:dLbl>
              <c:idx val="22"/>
              <c:layout>
                <c:manualLayout>
                  <c:x val="-1.5678229572100893E-2"/>
                  <c:y val="-4.1297855009503198E-2"/>
                </c:manualLayout>
              </c:layout>
              <c:spPr>
                <a:noFill/>
                <a:ln w="25400">
                  <a:noFill/>
                </a:ln>
              </c:spPr>
              <c:txPr>
                <a:bodyPr/>
                <a:lstStyle/>
                <a:p>
                  <a:pPr>
                    <a:defRPr sz="900"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6-DAC3-4863-8836-D77D7258197C}"/>
                </c:ext>
                <c:ext xmlns:c15="http://schemas.microsoft.com/office/drawing/2012/chart" uri="{CE6537A1-D6FC-4f65-9D91-7224C49458BB}">
                  <c15:layout/>
                </c:ext>
              </c:extLst>
            </c:dLbl>
            <c:spPr>
              <a:noFill/>
              <a:ln w="25400">
                <a:noFill/>
              </a:ln>
            </c:spPr>
            <c:txPr>
              <a:bodyPr wrap="square" lIns="38100" tIns="19050" rIns="38100" bIns="19050" anchor="ctr">
                <a:spAutoFit/>
              </a:bodyPr>
              <a:lstStyle/>
              <a:p>
                <a:pPr>
                  <a:defRPr sz="900" b="1"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Sheet1!$C$4:$Y$4</c:f>
              <c:numCache>
                <c:formatCode>General</c:formatCode>
                <c:ptCount val="23"/>
                <c:pt idx="0">
                  <c:v>1999</c:v>
                </c:pt>
                <c:pt idx="1">
                  <c:v>2000</c:v>
                </c:pt>
                <c:pt idx="2">
                  <c:v>2001</c:v>
                </c:pt>
                <c:pt idx="3">
                  <c:v>2002</c:v>
                </c:pt>
                <c:pt idx="4">
                  <c:v>2003</c:v>
                </c:pt>
                <c:pt idx="5">
                  <c:v>2004</c:v>
                </c:pt>
                <c:pt idx="6">
                  <c:v>2005</c:v>
                </c:pt>
                <c:pt idx="7">
                  <c:v>2006</c:v>
                </c:pt>
                <c:pt idx="8">
                  <c:v>2007</c:v>
                </c:pt>
                <c:pt idx="9">
                  <c:v>2008</c:v>
                </c:pt>
                <c:pt idx="10">
                  <c:v>2009</c:v>
                </c:pt>
                <c:pt idx="11">
                  <c:v>2010</c:v>
                </c:pt>
                <c:pt idx="12">
                  <c:v>2011</c:v>
                </c:pt>
                <c:pt idx="13">
                  <c:v>2012</c:v>
                </c:pt>
                <c:pt idx="14">
                  <c:v>2013</c:v>
                </c:pt>
                <c:pt idx="15">
                  <c:v>2014</c:v>
                </c:pt>
                <c:pt idx="16">
                  <c:v>2015</c:v>
                </c:pt>
                <c:pt idx="17">
                  <c:v>2016</c:v>
                </c:pt>
                <c:pt idx="18">
                  <c:v>2017</c:v>
                </c:pt>
                <c:pt idx="19">
                  <c:v>2018</c:v>
                </c:pt>
                <c:pt idx="20">
                  <c:v>2019</c:v>
                </c:pt>
                <c:pt idx="21">
                  <c:v>2020</c:v>
                </c:pt>
                <c:pt idx="22">
                  <c:v>2021</c:v>
                </c:pt>
              </c:numCache>
            </c:numRef>
          </c:cat>
          <c:val>
            <c:numRef>
              <c:f>Sheet1!$C$5:$Y$5</c:f>
              <c:numCache>
                <c:formatCode>General</c:formatCode>
                <c:ptCount val="23"/>
                <c:pt idx="0">
                  <c:v>66</c:v>
                </c:pt>
                <c:pt idx="1">
                  <c:v>65</c:v>
                </c:pt>
                <c:pt idx="2">
                  <c:v>72</c:v>
                </c:pt>
                <c:pt idx="3">
                  <c:v>397</c:v>
                </c:pt>
                <c:pt idx="4">
                  <c:v>110</c:v>
                </c:pt>
                <c:pt idx="5">
                  <c:v>135</c:v>
                </c:pt>
                <c:pt idx="6">
                  <c:v>114</c:v>
                </c:pt>
                <c:pt idx="7">
                  <c:v>96</c:v>
                </c:pt>
                <c:pt idx="8">
                  <c:v>93</c:v>
                </c:pt>
                <c:pt idx="9">
                  <c:v>95</c:v>
                </c:pt>
                <c:pt idx="10">
                  <c:v>168</c:v>
                </c:pt>
                <c:pt idx="11">
                  <c:v>153</c:v>
                </c:pt>
                <c:pt idx="12">
                  <c:v>167</c:v>
                </c:pt>
                <c:pt idx="13">
                  <c:v>160</c:v>
                </c:pt>
                <c:pt idx="14">
                  <c:v>177</c:v>
                </c:pt>
                <c:pt idx="15">
                  <c:v>141</c:v>
                </c:pt>
                <c:pt idx="16">
                  <c:v>157</c:v>
                </c:pt>
                <c:pt idx="17">
                  <c:v>207</c:v>
                </c:pt>
                <c:pt idx="18">
                  <c:v>263</c:v>
                </c:pt>
                <c:pt idx="19">
                  <c:v>160</c:v>
                </c:pt>
                <c:pt idx="20">
                  <c:v>151</c:v>
                </c:pt>
                <c:pt idx="21">
                  <c:v>102</c:v>
                </c:pt>
                <c:pt idx="22">
                  <c:v>110</c:v>
                </c:pt>
              </c:numCache>
            </c:numRef>
          </c:val>
          <c:smooth val="0"/>
          <c:extLst xmlns:c16r2="http://schemas.microsoft.com/office/drawing/2015/06/chart">
            <c:ext xmlns:c16="http://schemas.microsoft.com/office/drawing/2014/chart" uri="{C3380CC4-5D6E-409C-BE32-E72D297353CC}">
              <c16:uniqueId val="{00000017-DAC3-4863-8836-D77D7258197C}"/>
            </c:ext>
          </c:extLst>
        </c:ser>
        <c:ser>
          <c:idx val="1"/>
          <c:order val="1"/>
          <c:tx>
            <c:strRef>
              <c:f>Sheet1!$B$6</c:f>
              <c:strCache>
                <c:ptCount val="1"/>
                <c:pt idx="0">
                  <c:v>Klaipėdos miestas</c:v>
                </c:pt>
              </c:strCache>
            </c:strRef>
          </c:tx>
          <c:spPr>
            <a:ln w="25400">
              <a:solidFill>
                <a:srgbClr val="FF0000"/>
              </a:solidFill>
              <a:prstDash val="solid"/>
            </a:ln>
          </c:spPr>
          <c:marker>
            <c:symbol val="triangle"/>
            <c:size val="7"/>
            <c:spPr>
              <a:solidFill>
                <a:srgbClr val="FF0000"/>
              </a:solidFill>
              <a:ln>
                <a:solidFill>
                  <a:srgbClr val="FF0000"/>
                </a:solidFill>
                <a:prstDash val="solid"/>
              </a:ln>
            </c:spPr>
          </c:marker>
          <c:dLbls>
            <c:dLbl>
              <c:idx val="0"/>
              <c:layout>
                <c:manualLayout>
                  <c:x val="-3.0401737242128132E-2"/>
                  <c:y val="-3.1327876701075369E-2"/>
                </c:manualLayout>
              </c:layout>
              <c:spPr>
                <a:noFill/>
                <a:ln w="25400">
                  <a:noFill/>
                </a:ln>
              </c:spPr>
              <c:txPr>
                <a:bodyPr/>
                <a:lstStyle/>
                <a:p>
                  <a:pPr>
                    <a:defRPr sz="900" b="1" i="0" u="none" strike="noStrike" baseline="0">
                      <a:solidFill>
                        <a:sysClr val="windowText" lastClr="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8-DAC3-4863-8836-D77D7258197C}"/>
                </c:ext>
                <c:ext xmlns:c15="http://schemas.microsoft.com/office/drawing/2012/chart" uri="{CE6537A1-D6FC-4f65-9D91-7224C49458BB}">
                  <c15:layout/>
                </c:ext>
              </c:extLst>
            </c:dLbl>
            <c:dLbl>
              <c:idx val="1"/>
              <c:layout>
                <c:manualLayout>
                  <c:x val="-2.9104961228380674E-2"/>
                  <c:y val="-3.1593582774331885E-2"/>
                </c:manualLayout>
              </c:layout>
              <c:spPr>
                <a:noFill/>
                <a:ln w="25400">
                  <a:noFill/>
                </a:ln>
              </c:spPr>
              <c:txPr>
                <a:bodyPr/>
                <a:lstStyle/>
                <a:p>
                  <a:pPr>
                    <a:defRPr sz="900" b="1" i="0" u="none" strike="noStrike" baseline="0">
                      <a:solidFill>
                        <a:sysClr val="windowText" lastClr="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9-DAC3-4863-8836-D77D7258197C}"/>
                </c:ext>
                <c:ext xmlns:c15="http://schemas.microsoft.com/office/drawing/2012/chart" uri="{CE6537A1-D6FC-4f65-9D91-7224C49458BB}">
                  <c15:layout/>
                </c:ext>
              </c:extLst>
            </c:dLbl>
            <c:dLbl>
              <c:idx val="2"/>
              <c:layout>
                <c:manualLayout>
                  <c:x val="-2.6786187557174247E-2"/>
                  <c:y val="3.75468828119618E-2"/>
                </c:manualLayout>
              </c:layout>
              <c:spPr>
                <a:noFill/>
                <a:ln w="25400">
                  <a:noFill/>
                </a:ln>
              </c:spPr>
              <c:txPr>
                <a:bodyPr/>
                <a:lstStyle/>
                <a:p>
                  <a:pPr>
                    <a:defRPr sz="900" b="1" i="0" u="none" strike="noStrike" baseline="0">
                      <a:solidFill>
                        <a:sysClr val="windowText" lastClr="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A-DAC3-4863-8836-D77D7258197C}"/>
                </c:ext>
                <c:ext xmlns:c15="http://schemas.microsoft.com/office/drawing/2012/chart" uri="{CE6537A1-D6FC-4f65-9D91-7224C49458BB}">
                  <c15:layout/>
                </c:ext>
              </c:extLst>
            </c:dLbl>
            <c:dLbl>
              <c:idx val="3"/>
              <c:layout>
                <c:manualLayout>
                  <c:x val="-2.1183667188181283E-2"/>
                  <c:y val="-4.3592316447169877E-2"/>
                </c:manualLayout>
              </c:layout>
              <c:spPr>
                <a:noFill/>
                <a:ln w="25400">
                  <a:noFill/>
                </a:ln>
              </c:spPr>
              <c:txPr>
                <a:bodyPr/>
                <a:lstStyle/>
                <a:p>
                  <a:pPr>
                    <a:defRPr sz="900" b="1" i="0" u="none" strike="noStrike" baseline="0">
                      <a:solidFill>
                        <a:sysClr val="windowText" lastClr="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B-DAC3-4863-8836-D77D7258197C}"/>
                </c:ext>
                <c:ext xmlns:c15="http://schemas.microsoft.com/office/drawing/2012/chart" uri="{CE6537A1-D6FC-4f65-9D91-7224C49458BB}">
                  <c15:layout/>
                </c:ext>
              </c:extLst>
            </c:dLbl>
            <c:dLbl>
              <c:idx val="4"/>
              <c:layout>
                <c:manualLayout>
                  <c:x val="-2.810194328314828E-2"/>
                  <c:y val="-4.2839804324437007E-2"/>
                </c:manualLayout>
              </c:layout>
              <c:spPr>
                <a:noFill/>
                <a:ln w="25400">
                  <a:noFill/>
                </a:ln>
              </c:spPr>
              <c:txPr>
                <a:bodyPr/>
                <a:lstStyle/>
                <a:p>
                  <a:pPr>
                    <a:defRPr sz="900" b="1" i="0" u="none" strike="noStrike" baseline="0">
                      <a:solidFill>
                        <a:sysClr val="windowText" lastClr="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C-DAC3-4863-8836-D77D7258197C}"/>
                </c:ext>
                <c:ext xmlns:c15="http://schemas.microsoft.com/office/drawing/2012/chart" uri="{CE6537A1-D6FC-4f65-9D91-7224C49458BB}">
                  <c15:layout/>
                </c:ext>
              </c:extLst>
            </c:dLbl>
            <c:dLbl>
              <c:idx val="5"/>
              <c:layout>
                <c:manualLayout>
                  <c:x val="-2.8382022279788355E-2"/>
                  <c:y val="-3.8461660768957698E-2"/>
                </c:manualLayout>
              </c:layout>
              <c:spPr>
                <a:noFill/>
                <a:ln w="25400">
                  <a:noFill/>
                </a:ln>
              </c:spPr>
              <c:txPr>
                <a:bodyPr/>
                <a:lstStyle/>
                <a:p>
                  <a:pPr>
                    <a:defRPr sz="900" b="1" i="0" u="none" strike="noStrike" baseline="0">
                      <a:solidFill>
                        <a:sysClr val="windowText" lastClr="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D-DAC3-4863-8836-D77D7258197C}"/>
                </c:ext>
                <c:ext xmlns:c15="http://schemas.microsoft.com/office/drawing/2012/chart" uri="{CE6537A1-D6FC-4f65-9D91-7224C49458BB}">
                  <c15:layout/>
                </c:ext>
              </c:extLst>
            </c:dLbl>
            <c:dLbl>
              <c:idx val="6"/>
              <c:layout>
                <c:manualLayout>
                  <c:x val="-1.9543973941368076E-2"/>
                  <c:y val="-3.8642743697872489E-2"/>
                </c:manualLayout>
              </c:layout>
              <c:spPr>
                <a:noFill/>
                <a:ln w="25400">
                  <a:noFill/>
                </a:ln>
              </c:spPr>
              <c:txPr>
                <a:bodyPr/>
                <a:lstStyle/>
                <a:p>
                  <a:pPr>
                    <a:defRPr sz="900" b="1" i="0" u="none" strike="noStrike" baseline="0">
                      <a:solidFill>
                        <a:sysClr val="windowText" lastClr="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E-DAC3-4863-8836-D77D7258197C}"/>
                </c:ext>
                <c:ext xmlns:c15="http://schemas.microsoft.com/office/drawing/2012/chart" uri="{CE6537A1-D6FC-4f65-9D91-7224C49458BB}">
                  <c15:layout>
                    <c:manualLayout>
                      <c:w val="3.2573289902280131E-2"/>
                      <c:h val="5.539618294852474E-2"/>
                    </c:manualLayout>
                  </c15:layout>
                </c:ext>
              </c:extLst>
            </c:dLbl>
            <c:dLbl>
              <c:idx val="7"/>
              <c:layout>
                <c:manualLayout>
                  <c:x val="-1.6927513690418328E-2"/>
                  <c:y val="-2.5261189696420692E-2"/>
                </c:manualLayout>
              </c:layout>
              <c:spPr>
                <a:noFill/>
                <a:ln w="25400">
                  <a:noFill/>
                </a:ln>
              </c:spPr>
              <c:txPr>
                <a:bodyPr/>
                <a:lstStyle/>
                <a:p>
                  <a:pPr>
                    <a:defRPr sz="900" b="1" i="0" u="none" strike="noStrike" baseline="0">
                      <a:solidFill>
                        <a:sysClr val="windowText" lastClr="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F-DAC3-4863-8836-D77D7258197C}"/>
                </c:ext>
                <c:ext xmlns:c15="http://schemas.microsoft.com/office/drawing/2012/chart" uri="{CE6537A1-D6FC-4f65-9D91-7224C49458BB}">
                  <c15:layout/>
                </c:ext>
              </c:extLst>
            </c:dLbl>
            <c:dLbl>
              <c:idx val="8"/>
              <c:layout>
                <c:manualLayout>
                  <c:x val="-1.9775228713694738E-2"/>
                  <c:y val="-2.6548672566371789E-2"/>
                </c:manualLayout>
              </c:layout>
              <c:spPr>
                <a:noFill/>
                <a:ln w="25400">
                  <a:noFill/>
                </a:ln>
              </c:spPr>
              <c:txPr>
                <a:bodyPr/>
                <a:lstStyle/>
                <a:p>
                  <a:pPr>
                    <a:defRPr sz="900" b="1" i="0" u="none" strike="noStrike" baseline="0">
                      <a:solidFill>
                        <a:sysClr val="windowText" lastClr="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0-DAC3-4863-8836-D77D7258197C}"/>
                </c:ext>
                <c:ext xmlns:c15="http://schemas.microsoft.com/office/drawing/2012/chart" uri="{CE6537A1-D6FC-4f65-9D91-7224C49458BB}">
                  <c15:layout/>
                </c:ext>
              </c:extLst>
            </c:dLbl>
            <c:dLbl>
              <c:idx val="9"/>
              <c:layout>
                <c:manualLayout>
                  <c:x val="-2.509126945551559E-2"/>
                  <c:y val="-3.3083303395175026E-2"/>
                </c:manualLayout>
              </c:layout>
              <c:spPr>
                <a:noFill/>
                <a:ln w="25400">
                  <a:noFill/>
                </a:ln>
              </c:spPr>
              <c:txPr>
                <a:bodyPr/>
                <a:lstStyle/>
                <a:p>
                  <a:pPr>
                    <a:defRPr sz="900" b="1" i="0" u="none" strike="noStrike" baseline="0">
                      <a:solidFill>
                        <a:sysClr val="windowText" lastClr="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1-DAC3-4863-8836-D77D7258197C}"/>
                </c:ext>
                <c:ext xmlns:c15="http://schemas.microsoft.com/office/drawing/2012/chart" uri="{CE6537A1-D6FC-4f65-9D91-7224C49458BB}">
                  <c15:layout>
                    <c:manualLayout>
                      <c:w val="3.4744842562432141E-2"/>
                      <c:h val="4.7116894772268339E-2"/>
                    </c:manualLayout>
                  </c15:layout>
                </c:ext>
              </c:extLst>
            </c:dLbl>
            <c:dLbl>
              <c:idx val="10"/>
              <c:layout>
                <c:manualLayout>
                  <c:x val="-2.1682078491534158E-2"/>
                  <c:y val="-4.2769380104859228E-2"/>
                </c:manualLayout>
              </c:layout>
              <c:spPr>
                <a:noFill/>
                <a:ln w="25400">
                  <a:noFill/>
                </a:ln>
              </c:spPr>
              <c:txPr>
                <a:bodyPr/>
                <a:lstStyle/>
                <a:p>
                  <a:pPr>
                    <a:defRPr sz="900" b="1" i="0" u="none" strike="noStrike" baseline="0">
                      <a:solidFill>
                        <a:sysClr val="windowText" lastClr="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2-DAC3-4863-8836-D77D7258197C}"/>
                </c:ext>
                <c:ext xmlns:c15="http://schemas.microsoft.com/office/drawing/2012/chart" uri="{CE6537A1-D6FC-4f65-9D91-7224C49458BB}">
                  <c15:layout/>
                </c:ext>
              </c:extLst>
            </c:dLbl>
            <c:dLbl>
              <c:idx val="11"/>
              <c:layout>
                <c:manualLayout>
                  <c:x val="-2.1145890714278061E-2"/>
                  <c:y val="-2.6548672566371681E-2"/>
                </c:manualLayout>
              </c:layout>
              <c:spPr>
                <a:noFill/>
                <a:ln w="25400">
                  <a:noFill/>
                </a:ln>
              </c:spPr>
              <c:txPr>
                <a:bodyPr/>
                <a:lstStyle/>
                <a:p>
                  <a:pPr>
                    <a:defRPr sz="900" b="1" i="0" u="none" strike="noStrike" baseline="0">
                      <a:solidFill>
                        <a:sysClr val="windowText" lastClr="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3-DAC3-4863-8836-D77D7258197C}"/>
                </c:ext>
                <c:ext xmlns:c15="http://schemas.microsoft.com/office/drawing/2012/chart" uri="{CE6537A1-D6FC-4f65-9D91-7224C49458BB}">
                  <c15:layout/>
                </c:ext>
              </c:extLst>
            </c:dLbl>
            <c:dLbl>
              <c:idx val="12"/>
              <c:layout>
                <c:manualLayout>
                  <c:x val="-2.1145890714277998E-2"/>
                  <c:y val="-3.5398230088495575E-2"/>
                </c:manualLayout>
              </c:layout>
              <c:spPr>
                <a:noFill/>
                <a:ln w="25400">
                  <a:noFill/>
                </a:ln>
              </c:spPr>
              <c:txPr>
                <a:bodyPr/>
                <a:lstStyle/>
                <a:p>
                  <a:pPr>
                    <a:defRPr sz="900" b="1" i="0" u="none" strike="noStrike" baseline="0">
                      <a:solidFill>
                        <a:sysClr val="windowText" lastClr="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4-DAC3-4863-8836-D77D7258197C}"/>
                </c:ext>
                <c:ext xmlns:c15="http://schemas.microsoft.com/office/drawing/2012/chart" uri="{CE6537A1-D6FC-4f65-9D91-7224C49458BB}">
                  <c15:layout/>
                </c:ext>
              </c:extLst>
            </c:dLbl>
            <c:dLbl>
              <c:idx val="13"/>
              <c:layout>
                <c:manualLayout>
                  <c:x val="-1.737242128121607E-2"/>
                  <c:y val="-2.9498525073746312E-2"/>
                </c:manualLayout>
              </c:layout>
              <c:spPr>
                <a:noFill/>
                <a:ln w="25400">
                  <a:noFill/>
                </a:ln>
              </c:spPr>
              <c:txPr>
                <a:bodyPr/>
                <a:lstStyle/>
                <a:p>
                  <a:pPr>
                    <a:defRPr sz="900" b="1" i="0" u="none" strike="noStrike" baseline="0">
                      <a:solidFill>
                        <a:sysClr val="windowText" lastClr="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5-DAC3-4863-8836-D77D7258197C}"/>
                </c:ext>
                <c:ext xmlns:c15="http://schemas.microsoft.com/office/drawing/2012/chart" uri="{CE6537A1-D6FC-4f65-9D91-7224C49458BB}">
                  <c15:layout/>
                </c:ext>
              </c:extLst>
            </c:dLbl>
            <c:dLbl>
              <c:idx val="14"/>
              <c:layout>
                <c:manualLayout>
                  <c:x val="-1.520086862106414E-2"/>
                  <c:y val="-3.2448377581120944E-2"/>
                </c:manualLayout>
              </c:layout>
              <c:spPr>
                <a:noFill/>
                <a:ln w="25400">
                  <a:noFill/>
                </a:ln>
              </c:spPr>
              <c:txPr>
                <a:bodyPr/>
                <a:lstStyle/>
                <a:p>
                  <a:pPr>
                    <a:defRPr sz="900" b="1" i="0" u="none" strike="noStrike" baseline="0">
                      <a:solidFill>
                        <a:sysClr val="windowText" lastClr="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6-DAC3-4863-8836-D77D7258197C}"/>
                </c:ext>
                <c:ext xmlns:c15="http://schemas.microsoft.com/office/drawing/2012/chart" uri="{CE6537A1-D6FC-4f65-9D91-7224C49458BB}">
                  <c15:layout/>
                </c:ext>
              </c:extLst>
            </c:dLbl>
            <c:dLbl>
              <c:idx val="15"/>
              <c:layout>
                <c:manualLayout>
                  <c:x val="-1.4115092290988056E-2"/>
                  <c:y val="-3.2448377581121055E-2"/>
                </c:manualLayout>
              </c:layout>
              <c:spPr>
                <a:noFill/>
                <a:ln w="25400">
                  <a:noFill/>
                </a:ln>
              </c:spPr>
              <c:txPr>
                <a:bodyPr/>
                <a:lstStyle/>
                <a:p>
                  <a:pPr>
                    <a:defRPr sz="900" b="1" i="0" u="none" strike="noStrike" baseline="0">
                      <a:solidFill>
                        <a:sysClr val="windowText" lastClr="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7-DAC3-4863-8836-D77D7258197C}"/>
                </c:ext>
                <c:ext xmlns:c15="http://schemas.microsoft.com/office/drawing/2012/chart" uri="{CE6537A1-D6FC-4f65-9D91-7224C49458BB}">
                  <c15:layout/>
                </c:ext>
              </c:extLst>
            </c:dLbl>
            <c:dLbl>
              <c:idx val="16"/>
              <c:layout>
                <c:manualLayout>
                  <c:x val="-1.8458197611292075E-2"/>
                  <c:y val="-3.5398230088495575E-2"/>
                </c:manualLayout>
              </c:layout>
              <c:spPr>
                <a:noFill/>
                <a:ln w="25400">
                  <a:noFill/>
                </a:ln>
              </c:spPr>
              <c:txPr>
                <a:bodyPr/>
                <a:lstStyle/>
                <a:p>
                  <a:pPr>
                    <a:defRPr sz="900" b="1" i="0" u="none" strike="noStrike" baseline="0">
                      <a:solidFill>
                        <a:sysClr val="windowText" lastClr="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8-DAC3-4863-8836-D77D7258197C}"/>
                </c:ext>
                <c:ext xmlns:c15="http://schemas.microsoft.com/office/drawing/2012/chart" uri="{CE6537A1-D6FC-4f65-9D91-7224C49458BB}">
                  <c15:layout/>
                </c:ext>
              </c:extLst>
            </c:dLbl>
            <c:dLbl>
              <c:idx val="17"/>
              <c:layout>
                <c:manualLayout>
                  <c:x val="-1.6286644951140225E-2"/>
                  <c:y val="-4.4247787610619468E-2"/>
                </c:manualLayout>
              </c:layout>
              <c:spPr>
                <a:noFill/>
                <a:ln w="25400">
                  <a:noFill/>
                </a:ln>
              </c:spPr>
              <c:txPr>
                <a:bodyPr/>
                <a:lstStyle/>
                <a:p>
                  <a:pPr>
                    <a:defRPr sz="900" b="1" i="0" u="none" strike="noStrike" baseline="0">
                      <a:solidFill>
                        <a:sysClr val="windowText" lastClr="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9-DAC3-4863-8836-D77D7258197C}"/>
                </c:ext>
                <c:ext xmlns:c15="http://schemas.microsoft.com/office/drawing/2012/chart" uri="{CE6537A1-D6FC-4f65-9D91-7224C49458BB}">
                  <c15:layout/>
                </c:ext>
              </c:extLst>
            </c:dLbl>
            <c:dLbl>
              <c:idx val="18"/>
              <c:layout>
                <c:manualLayout>
                  <c:x val="-1.5200868621064061E-2"/>
                  <c:y val="-3.8348082595870206E-2"/>
                </c:manualLayout>
              </c:layout>
              <c:spPr>
                <a:noFill/>
                <a:ln w="25400">
                  <a:noFill/>
                </a:ln>
              </c:spPr>
              <c:txPr>
                <a:bodyPr/>
                <a:lstStyle/>
                <a:p>
                  <a:pPr>
                    <a:defRPr sz="900" b="1" i="0" u="none" strike="noStrike" baseline="0">
                      <a:solidFill>
                        <a:sysClr val="windowText" lastClr="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A-DAC3-4863-8836-D77D7258197C}"/>
                </c:ext>
                <c:ext xmlns:c15="http://schemas.microsoft.com/office/drawing/2012/chart" uri="{CE6537A1-D6FC-4f65-9D91-7224C49458BB}">
                  <c15:layout/>
                </c:ext>
              </c:extLst>
            </c:dLbl>
            <c:dLbl>
              <c:idx val="19"/>
              <c:layout>
                <c:manualLayout>
                  <c:x val="-2.0629750271444081E-2"/>
                  <c:y val="-4.1297935103244837E-2"/>
                </c:manualLayout>
              </c:layout>
              <c:spPr>
                <a:noFill/>
                <a:ln w="25400">
                  <a:noFill/>
                </a:ln>
              </c:spPr>
              <c:txPr>
                <a:bodyPr/>
                <a:lstStyle/>
                <a:p>
                  <a:pPr>
                    <a:defRPr sz="900" b="1" i="0" u="none" strike="noStrike" baseline="0">
                      <a:solidFill>
                        <a:sysClr val="windowText" lastClr="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B-DAC3-4863-8836-D77D7258197C}"/>
                </c:ext>
                <c:ext xmlns:c15="http://schemas.microsoft.com/office/drawing/2012/chart" uri="{CE6537A1-D6FC-4f65-9D91-7224C49458BB}">
                  <c15:layout/>
                </c:ext>
              </c:extLst>
            </c:dLbl>
            <c:dLbl>
              <c:idx val="20"/>
              <c:layout>
                <c:manualLayout>
                  <c:x val="-1.6286644951140065E-2"/>
                  <c:y val="-4.1297935103244837E-2"/>
                </c:manualLayout>
              </c:layout>
              <c:spPr>
                <a:noFill/>
                <a:ln w="25400">
                  <a:noFill/>
                </a:ln>
              </c:spPr>
              <c:txPr>
                <a:bodyPr/>
                <a:lstStyle/>
                <a:p>
                  <a:pPr>
                    <a:defRPr sz="900" b="1" i="0" u="none" strike="noStrike" baseline="0">
                      <a:solidFill>
                        <a:sysClr val="windowText" lastClr="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C-DAC3-4863-8836-D77D7258197C}"/>
                </c:ext>
                <c:ext xmlns:c15="http://schemas.microsoft.com/office/drawing/2012/chart" uri="{CE6537A1-D6FC-4f65-9D91-7224C49458BB}">
                  <c15:layout/>
                </c:ext>
              </c:extLst>
            </c:dLbl>
            <c:dLbl>
              <c:idx val="21"/>
              <c:layout>
                <c:manualLayout>
                  <c:x val="-1.6286644951140065E-2"/>
                  <c:y val="-4.1297935103244837E-2"/>
                </c:manualLayout>
              </c:layout>
              <c:spPr>
                <a:noFill/>
                <a:ln w="25400">
                  <a:noFill/>
                </a:ln>
              </c:spPr>
              <c:txPr>
                <a:bodyPr/>
                <a:lstStyle/>
                <a:p>
                  <a:pPr>
                    <a:defRPr sz="900" b="1" i="0" u="none" strike="noStrike" baseline="0">
                      <a:solidFill>
                        <a:sysClr val="windowText" lastClr="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D-DAC3-4863-8836-D77D7258197C}"/>
                </c:ext>
                <c:ext xmlns:c15="http://schemas.microsoft.com/office/drawing/2012/chart" uri="{CE6537A1-D6FC-4f65-9D91-7224C49458BB}">
                  <c15:layout/>
                </c:ext>
              </c:extLst>
            </c:dLbl>
            <c:dLbl>
              <c:idx val="22"/>
              <c:layout>
                <c:manualLayout>
                  <c:x val="-2.0629707524344475E-2"/>
                  <c:y val="-4.4247787610619468E-2"/>
                </c:manualLayout>
              </c:layout>
              <c:spPr>
                <a:noFill/>
                <a:ln w="25400">
                  <a:noFill/>
                </a:ln>
              </c:spPr>
              <c:txPr>
                <a:bodyPr/>
                <a:lstStyle/>
                <a:p>
                  <a:pPr>
                    <a:defRPr sz="900" b="1" i="0" u="none" strike="noStrike" baseline="0">
                      <a:solidFill>
                        <a:sysClr val="windowText" lastClr="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E-DAC3-4863-8836-D77D7258197C}"/>
                </c:ext>
                <c:ext xmlns:c15="http://schemas.microsoft.com/office/drawing/2012/chart" uri="{CE6537A1-D6FC-4f65-9D91-7224C49458BB}">
                  <c15:layout/>
                </c:ext>
              </c:extLst>
            </c:dLbl>
            <c:spPr>
              <a:noFill/>
              <a:ln w="25400">
                <a:noFill/>
              </a:ln>
            </c:spPr>
            <c:txPr>
              <a:bodyPr wrap="square" lIns="38100" tIns="19050" rIns="38100" bIns="19050" anchor="ctr">
                <a:spAutoFit/>
              </a:bodyPr>
              <a:lstStyle/>
              <a:p>
                <a:pPr>
                  <a:defRPr sz="900" b="1" i="0" u="none" strike="noStrike" baseline="0">
                    <a:solidFill>
                      <a:sysClr val="windowText" lastClr="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Sheet1!$C$4:$Y$4</c:f>
              <c:numCache>
                <c:formatCode>General</c:formatCode>
                <c:ptCount val="23"/>
                <c:pt idx="0">
                  <c:v>1999</c:v>
                </c:pt>
                <c:pt idx="1">
                  <c:v>2000</c:v>
                </c:pt>
                <c:pt idx="2">
                  <c:v>2001</c:v>
                </c:pt>
                <c:pt idx="3">
                  <c:v>2002</c:v>
                </c:pt>
                <c:pt idx="4">
                  <c:v>2003</c:v>
                </c:pt>
                <c:pt idx="5">
                  <c:v>2004</c:v>
                </c:pt>
                <c:pt idx="6">
                  <c:v>2005</c:v>
                </c:pt>
                <c:pt idx="7">
                  <c:v>2006</c:v>
                </c:pt>
                <c:pt idx="8">
                  <c:v>2007</c:v>
                </c:pt>
                <c:pt idx="9">
                  <c:v>2008</c:v>
                </c:pt>
                <c:pt idx="10">
                  <c:v>2009</c:v>
                </c:pt>
                <c:pt idx="11">
                  <c:v>2010</c:v>
                </c:pt>
                <c:pt idx="12">
                  <c:v>2011</c:v>
                </c:pt>
                <c:pt idx="13">
                  <c:v>2012</c:v>
                </c:pt>
                <c:pt idx="14">
                  <c:v>2013</c:v>
                </c:pt>
                <c:pt idx="15">
                  <c:v>2014</c:v>
                </c:pt>
                <c:pt idx="16">
                  <c:v>2015</c:v>
                </c:pt>
                <c:pt idx="17">
                  <c:v>2016</c:v>
                </c:pt>
                <c:pt idx="18">
                  <c:v>2017</c:v>
                </c:pt>
                <c:pt idx="19">
                  <c:v>2018</c:v>
                </c:pt>
                <c:pt idx="20">
                  <c:v>2019</c:v>
                </c:pt>
                <c:pt idx="21">
                  <c:v>2020</c:v>
                </c:pt>
                <c:pt idx="22">
                  <c:v>2021</c:v>
                </c:pt>
              </c:numCache>
            </c:numRef>
          </c:cat>
          <c:val>
            <c:numRef>
              <c:f>Sheet1!$C$6:$Y$6</c:f>
              <c:numCache>
                <c:formatCode>General</c:formatCode>
                <c:ptCount val="23"/>
                <c:pt idx="0">
                  <c:v>11</c:v>
                </c:pt>
                <c:pt idx="1">
                  <c:v>16</c:v>
                </c:pt>
                <c:pt idx="2">
                  <c:v>46</c:v>
                </c:pt>
                <c:pt idx="3">
                  <c:v>25</c:v>
                </c:pt>
                <c:pt idx="4">
                  <c:v>22</c:v>
                </c:pt>
                <c:pt idx="5">
                  <c:v>56</c:v>
                </c:pt>
                <c:pt idx="6">
                  <c:v>57</c:v>
                </c:pt>
                <c:pt idx="7">
                  <c:v>35</c:v>
                </c:pt>
                <c:pt idx="8">
                  <c:v>25</c:v>
                </c:pt>
                <c:pt idx="9">
                  <c:v>17</c:v>
                </c:pt>
                <c:pt idx="10">
                  <c:v>34</c:v>
                </c:pt>
                <c:pt idx="11">
                  <c:v>19</c:v>
                </c:pt>
                <c:pt idx="12">
                  <c:v>22</c:v>
                </c:pt>
                <c:pt idx="13">
                  <c:v>14</c:v>
                </c:pt>
                <c:pt idx="14">
                  <c:v>20</c:v>
                </c:pt>
                <c:pt idx="15">
                  <c:v>22</c:v>
                </c:pt>
                <c:pt idx="16">
                  <c:v>18</c:v>
                </c:pt>
                <c:pt idx="17">
                  <c:v>25</c:v>
                </c:pt>
                <c:pt idx="18">
                  <c:v>26</c:v>
                </c:pt>
                <c:pt idx="19">
                  <c:v>13</c:v>
                </c:pt>
                <c:pt idx="20">
                  <c:v>13</c:v>
                </c:pt>
                <c:pt idx="21">
                  <c:v>10</c:v>
                </c:pt>
                <c:pt idx="22">
                  <c:v>8</c:v>
                </c:pt>
              </c:numCache>
            </c:numRef>
          </c:val>
          <c:smooth val="0"/>
          <c:extLst xmlns:c16r2="http://schemas.microsoft.com/office/drawing/2015/06/chart">
            <c:ext xmlns:c16="http://schemas.microsoft.com/office/drawing/2014/chart" uri="{C3380CC4-5D6E-409C-BE32-E72D297353CC}">
              <c16:uniqueId val="{0000002F-DAC3-4863-8836-D77D7258197C}"/>
            </c:ext>
          </c:extLst>
        </c:ser>
        <c:dLbls>
          <c:showLegendKey val="0"/>
          <c:showVal val="0"/>
          <c:showCatName val="0"/>
          <c:showSerName val="0"/>
          <c:showPercent val="0"/>
          <c:showBubbleSize val="0"/>
        </c:dLbls>
        <c:marker val="1"/>
        <c:smooth val="0"/>
        <c:axId val="315392744"/>
        <c:axId val="315388824"/>
      </c:lineChart>
      <c:catAx>
        <c:axId val="315392744"/>
        <c:scaling>
          <c:orientation val="minMax"/>
        </c:scaling>
        <c:delete val="0"/>
        <c:axPos val="b"/>
        <c:numFmt formatCode="General" sourceLinked="1"/>
        <c:majorTickMark val="out"/>
        <c:minorTickMark val="none"/>
        <c:tickLblPos val="nextTo"/>
        <c:spPr>
          <a:ln w="3175">
            <a:solidFill>
              <a:srgbClr val="000000"/>
            </a:solidFill>
            <a:prstDash val="solid"/>
          </a:ln>
        </c:spPr>
        <c:txPr>
          <a:bodyPr rot="-5400000" vert="horz"/>
          <a:lstStyle/>
          <a:p>
            <a:pPr>
              <a:defRPr sz="900" b="1" i="0" u="none" strike="noStrike" baseline="0">
                <a:solidFill>
                  <a:srgbClr val="000000"/>
                </a:solidFill>
                <a:latin typeface="Times New Roman"/>
                <a:ea typeface="Times New Roman"/>
                <a:cs typeface="Times New Roman"/>
              </a:defRPr>
            </a:pPr>
            <a:endParaRPr lang="lt-LT"/>
          </a:p>
        </c:txPr>
        <c:crossAx val="315388824"/>
        <c:crosses val="autoZero"/>
        <c:auto val="1"/>
        <c:lblAlgn val="ctr"/>
        <c:lblOffset val="100"/>
        <c:tickLblSkip val="1"/>
        <c:tickMarkSkip val="1"/>
        <c:noMultiLvlLbl val="0"/>
      </c:catAx>
      <c:valAx>
        <c:axId val="315388824"/>
        <c:scaling>
          <c:orientation val="minMax"/>
        </c:scaling>
        <c:delete val="0"/>
        <c:axPos val="l"/>
        <c:title>
          <c:tx>
            <c:rich>
              <a:bodyPr/>
              <a:lstStyle/>
              <a:p>
                <a:pPr>
                  <a:defRPr sz="900" b="1" i="0" u="none" strike="noStrike" baseline="0">
                    <a:solidFill>
                      <a:srgbClr val="000000"/>
                    </a:solidFill>
                    <a:latin typeface="Times New Roman"/>
                    <a:ea typeface="Times New Roman"/>
                    <a:cs typeface="Times New Roman"/>
                  </a:defRPr>
                </a:pPr>
                <a:r>
                  <a:rPr lang="lt-LT" sz="900"/>
                  <a:t>Absoliutūs skaičiai</a:t>
                </a:r>
              </a:p>
            </c:rich>
          </c:tx>
          <c:layout>
            <c:manualLayout>
              <c:xMode val="edge"/>
              <c:yMode val="edge"/>
              <c:x val="1.4630004962363757E-3"/>
              <c:y val="0.30826319123902618"/>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900" b="1" i="0" u="none" strike="noStrike" baseline="0">
                <a:solidFill>
                  <a:sysClr val="windowText" lastClr="000000"/>
                </a:solidFill>
                <a:latin typeface="Times New Roman"/>
                <a:ea typeface="Times New Roman"/>
                <a:cs typeface="Times New Roman"/>
              </a:defRPr>
            </a:pPr>
            <a:endParaRPr lang="lt-LT"/>
          </a:p>
        </c:txPr>
        <c:crossAx val="315392744"/>
        <c:crosses val="autoZero"/>
        <c:crossBetween val="between"/>
      </c:valAx>
      <c:spPr>
        <a:solidFill>
          <a:srgbClr val="FFFFFF"/>
        </a:solidFill>
        <a:ln w="12700">
          <a:solidFill>
            <a:srgbClr val="808080"/>
          </a:solidFill>
          <a:prstDash val="solid"/>
        </a:ln>
      </c:spPr>
    </c:plotArea>
    <c:legend>
      <c:legendPos val="r"/>
      <c:layout>
        <c:manualLayout>
          <c:xMode val="edge"/>
          <c:yMode val="edge"/>
          <c:x val="0.11425742126690569"/>
          <c:y val="0.90969340511268204"/>
          <c:w val="0.81667031204432772"/>
          <c:h val="7.7502380786472536E-2"/>
        </c:manualLayout>
      </c:layout>
      <c:overlay val="0"/>
      <c:spPr>
        <a:solidFill>
          <a:srgbClr val="FFFFFF"/>
        </a:solidFill>
        <a:ln w="3175">
          <a:solidFill>
            <a:srgbClr val="000000"/>
          </a:solidFill>
          <a:prstDash val="solid"/>
        </a:ln>
      </c:spPr>
      <c:txPr>
        <a:bodyPr/>
        <a:lstStyle/>
        <a:p>
          <a:pPr>
            <a:defRPr sz="900" b="1" i="0" u="none" strike="noStrike" baseline="0">
              <a:solidFill>
                <a:srgbClr val="000000"/>
              </a:solidFill>
              <a:latin typeface="Times New Roman"/>
              <a:ea typeface="Times New Roman"/>
              <a:cs typeface="Times New Roman"/>
            </a:defRPr>
          </a:pPr>
          <a:endParaRPr lang="lt-LT"/>
        </a:p>
      </c:txPr>
    </c:legend>
    <c:plotVisOnly val="1"/>
    <c:dispBlanksAs val="gap"/>
    <c:showDLblsOverMax val="0"/>
  </c:chart>
  <c:spPr>
    <a:solidFill>
      <a:srgbClr val="FFFFFF"/>
    </a:solidFill>
    <a:ln w="3175">
      <a:solidFill>
        <a:srgbClr val="000000"/>
      </a:solidFill>
      <a:prstDash val="solid"/>
    </a:ln>
  </c:spPr>
  <c:txPr>
    <a:bodyPr/>
    <a:lstStyle/>
    <a:p>
      <a:pPr>
        <a:defRPr sz="1075" b="1" i="0" u="none" strike="noStrike" baseline="0">
          <a:solidFill>
            <a:srgbClr val="000000"/>
          </a:solidFill>
          <a:latin typeface="Times New Roman"/>
          <a:ea typeface="Times New Roman"/>
          <a:cs typeface="Times New Roman"/>
        </a:defRPr>
      </a:pPr>
      <a:endParaRPr lang="lt-LT"/>
    </a:p>
  </c:txPr>
  <c:externalData r:id="rId2">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E69CD1-304C-4962-805F-34ACBD79A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16385</Words>
  <Characters>9340</Characters>
  <Application>Microsoft Office Word</Application>
  <DocSecurity>4</DocSecurity>
  <Lines>77</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2023-06-23T07:49:00Z</dcterms:created>
  <dcterms:modified xsi:type="dcterms:W3CDTF">2023-06-23T07:49:00Z</dcterms:modified>
</cp:coreProperties>
</file>