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D08E9" w14:textId="5053BBEB" w:rsidR="00960CA5" w:rsidRPr="00B330F2" w:rsidRDefault="00960CA5" w:rsidP="00E567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0" w:name="_GoBack"/>
      <w:bookmarkEnd w:id="0"/>
      <w:r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>SUSITARIMAS DĖL</w:t>
      </w:r>
      <w:r w:rsidR="003B28E4"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2C1C1E"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>202</w:t>
      </w:r>
      <w:r w:rsidR="00444A19"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="002C1C1E"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M. </w:t>
      </w:r>
      <w:r w:rsidR="00676CC4"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>GRUODŽIO 7</w:t>
      </w:r>
      <w:r w:rsidR="002C1C1E"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D. PARTNERYSTĖS</w:t>
      </w:r>
      <w:r w:rsidR="00444A19"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(KONCESIJOS)</w:t>
      </w:r>
      <w:r w:rsidR="002C1C1E"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SUTARTIES </w:t>
      </w:r>
      <w:r w:rsidR="00444A19"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>DĖL PROJEKTO „SPORTO IR LAISVALAIKIO KOMPLEKSO STATYBA“ ĮGYVENDINIMO</w:t>
      </w:r>
      <w:r w:rsidR="00B330F2"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B330F2" w:rsidRPr="00B330F2">
        <w:rPr>
          <w:rFonts w:ascii="Times New Roman" w:hAnsi="Times New Roman" w:cs="Times New Roman"/>
          <w:b/>
          <w:sz w:val="24"/>
          <w:szCs w:val="24"/>
        </w:rPr>
        <w:t>KONCESIJOS SUTEIKIMO IR VYKDYMO</w:t>
      </w:r>
      <w:r w:rsidR="00B330F2"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NR. J9-3891</w:t>
      </w:r>
      <w:r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PAKEITIMO</w:t>
      </w:r>
    </w:p>
    <w:p w14:paraId="095AD551" w14:textId="7CB6466F" w:rsidR="00976C33" w:rsidRPr="00B330F2" w:rsidRDefault="00976C33" w:rsidP="00E567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7B9117F" w14:textId="3E065AFD" w:rsidR="00976C33" w:rsidRPr="00472BE1" w:rsidRDefault="00472BE1" w:rsidP="00E5672E">
      <w:pPr>
        <w:spacing w:after="0" w:line="276" w:lineRule="auto"/>
        <w:jc w:val="center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472BE1">
        <w:rPr>
          <w:rFonts w:ascii="Times New Roman" w:hAnsi="Times New Roman" w:cs="Times New Roman"/>
          <w:iCs/>
          <w:sz w:val="24"/>
          <w:szCs w:val="24"/>
          <w:lang w:val="lt-LT"/>
        </w:rPr>
        <w:t>2023 m. _____</w:t>
      </w:r>
      <w:r w:rsidR="00ED31FD" w:rsidRPr="00472BE1">
        <w:rPr>
          <w:rFonts w:ascii="Times New Roman" w:hAnsi="Times New Roman" w:cs="Times New Roman"/>
          <w:iCs/>
          <w:sz w:val="24"/>
          <w:szCs w:val="24"/>
          <w:lang w:val="lt-LT"/>
        </w:rPr>
        <w:t>___</w:t>
      </w:r>
      <w:r w:rsidR="00976C33" w:rsidRPr="00472BE1">
        <w:rPr>
          <w:rFonts w:ascii="Times New Roman" w:hAnsi="Times New Roman" w:cs="Times New Roman"/>
          <w:iCs/>
          <w:sz w:val="24"/>
          <w:szCs w:val="24"/>
          <w:lang w:val="lt-LT"/>
        </w:rPr>
        <w:t>, Klaipėda</w:t>
      </w:r>
    </w:p>
    <w:p w14:paraId="0F9491DA" w14:textId="77777777" w:rsidR="00960CA5" w:rsidRPr="00B330F2" w:rsidRDefault="00960CA5" w:rsidP="00E567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37BD24C" w14:textId="786EBCAC" w:rsidR="00960CA5" w:rsidRPr="00B330F2" w:rsidRDefault="00444A19" w:rsidP="00B330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Klaipėdos miesto savivaldybės administracija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, kurios buveinė yra Liepų g. 11, 91502, Klaipėda, atstovaujama administracijos direktoriaus, veikiančio pagal </w:t>
      </w:r>
      <w:r w:rsidRPr="00B330F2">
        <w:rPr>
          <w:rFonts w:ascii="Times New Roman" w:hAnsi="Times New Roman" w:cs="Times New Roman"/>
          <w:sz w:val="24"/>
          <w:szCs w:val="24"/>
          <w:lang w:val="lt-LT" w:eastAsia="lt-LT"/>
        </w:rPr>
        <w:t>Klaipėdos miesto savivaldybės tarybos 2022 m. gegužės 26 d. sprendimą Nr. T2-137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(toliau –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Suteikiančioji institucija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960CA5" w:rsidRPr="00B330F2"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14:paraId="32611FC0" w14:textId="6F33BCCF" w:rsidR="00960CA5" w:rsidRPr="00B330F2" w:rsidRDefault="00960CA5" w:rsidP="00B330F2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ir</w:t>
      </w:r>
    </w:p>
    <w:p w14:paraId="06F58F94" w14:textId="08D6A540" w:rsidR="00960CA5" w:rsidRPr="00B330F2" w:rsidRDefault="00444A19" w:rsidP="00B330F2">
      <w:pPr>
        <w:shd w:val="clear" w:color="auto" w:fill="FFFFFF"/>
        <w:tabs>
          <w:tab w:val="left" w:pos="164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UAB „Partnerystės projektai septyni“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, pagal Lietuvos Respublikos</w:t>
      </w:r>
      <w:r w:rsidRPr="00B330F2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įstatymus įsteigta ir veikianti uždaroji akcinė bendrovė,</w:t>
      </w:r>
      <w:r w:rsidRPr="00B330F2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>kurios adresas yra</w:t>
      </w:r>
      <w:r w:rsidRPr="00B330F2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A. Goštauto g. 40B</w:t>
      </w:r>
      <w:r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>, Vilnius, 03163, juridinio asmens kodas</w:t>
      </w:r>
      <w:r w:rsidRPr="00B330F2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305433026</w:t>
      </w:r>
      <w:r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>, atstovaujama</w:t>
      </w:r>
      <w:r w:rsidRPr="00B330F2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direktoriaus Artūro Klangausko</w:t>
      </w:r>
      <w:r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>, veikiančio pagal</w:t>
      </w:r>
      <w:r w:rsidRPr="00B330F2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bendrovės įstatus,</w:t>
      </w:r>
      <w:r w:rsidRPr="00B330F2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kurio Pasiūlymas buvo pripažintas naudingiausiu ir kuris laimėjo Konkursą</w:t>
      </w:r>
      <w:r w:rsidRPr="00B330F2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Investuotojas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960CA5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</w:p>
    <w:p w14:paraId="171AB99A" w14:textId="7CD57531" w:rsidR="00960CA5" w:rsidRPr="00B330F2" w:rsidRDefault="00960CA5" w:rsidP="00B330F2">
      <w:pPr>
        <w:shd w:val="clear" w:color="auto" w:fill="FFFFFF"/>
        <w:tabs>
          <w:tab w:val="left" w:pos="1649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ir</w:t>
      </w:r>
    </w:p>
    <w:p w14:paraId="2F24CB27" w14:textId="4268B7FB" w:rsidR="00960CA5" w:rsidRPr="00B330F2" w:rsidRDefault="00444A19" w:rsidP="00B330F2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UAB „3P Projektai“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, pagal Lietuvos Respublikos įstatymus įsteigta ir veikianti uždaroji akcinė bendrovė, kurios adresas yra A. Goštauto g. 40B, Vilnius, 03163, juridinio asmens kodas </w:t>
      </w:r>
      <w:r w:rsidRPr="00B330F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306097308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, atstovaujama direktoriaus Artūro Klangausko, veikiančio pagal bendrovės įstatus (toliau –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Koncesininkas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9320EF" w:rsidRPr="00B330F2">
        <w:rPr>
          <w:rFonts w:ascii="Times New Roman" w:eastAsia="Calibri" w:hAnsi="Times New Roman" w:cs="Times New Roman"/>
          <w:sz w:val="24"/>
          <w:szCs w:val="24"/>
          <w:lang w:val="lt-LT"/>
        </w:rPr>
        <w:t>,</w:t>
      </w:r>
    </w:p>
    <w:p w14:paraId="31926F36" w14:textId="0AD2A5B9" w:rsidR="00960CA5" w:rsidRPr="00B330F2" w:rsidRDefault="00960CA5" w:rsidP="00B330F2">
      <w:pPr>
        <w:shd w:val="clear" w:color="auto" w:fill="FFFFFF"/>
        <w:tabs>
          <w:tab w:val="left" w:pos="1649"/>
        </w:tabs>
        <w:spacing w:after="0"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toliau </w:t>
      </w:r>
      <w:r w:rsidR="00444A19"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>Suteikiančioji institucija</w:t>
      </w:r>
      <w:r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Investuotojas ir </w:t>
      </w:r>
      <w:r w:rsidR="00444A19"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>Koncesininkas</w:t>
      </w:r>
      <w:r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atskirai vadinami </w:t>
      </w:r>
      <w:r w:rsidRPr="00B330F2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Šalimi, </w:t>
      </w:r>
      <w:r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o kartu – </w:t>
      </w:r>
      <w:r w:rsidRPr="00B330F2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Šalimis</w:t>
      </w: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</w:t>
      </w:r>
      <w:r w:rsidR="0089258F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</w:p>
    <w:p w14:paraId="59C12E80" w14:textId="77777777" w:rsidR="00960CA5" w:rsidRPr="00B330F2" w:rsidRDefault="00960CA5" w:rsidP="00E5672E">
      <w:pPr>
        <w:shd w:val="clear" w:color="auto" w:fill="FFFFFF"/>
        <w:tabs>
          <w:tab w:val="left" w:pos="1649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6321D411" w14:textId="77777777" w:rsidR="00960CA5" w:rsidRPr="00B330F2" w:rsidRDefault="00960CA5" w:rsidP="00B330F2">
      <w:pPr>
        <w:shd w:val="clear" w:color="auto" w:fill="FFFFFF"/>
        <w:tabs>
          <w:tab w:val="left" w:pos="1649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ATSIŽVELGDAMOS Į TAI, JOG:</w:t>
      </w:r>
    </w:p>
    <w:p w14:paraId="23D17BC6" w14:textId="77777777" w:rsidR="00960CA5" w:rsidRPr="00B330F2" w:rsidRDefault="00960CA5" w:rsidP="00B330F2">
      <w:pPr>
        <w:shd w:val="clear" w:color="auto" w:fill="FFFFFF"/>
        <w:tabs>
          <w:tab w:val="left" w:pos="1649"/>
        </w:tabs>
        <w:spacing w:after="0"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793196BE" w14:textId="071C7C3A" w:rsidR="009C0E2A" w:rsidRPr="00ED31FD" w:rsidRDefault="00960CA5" w:rsidP="00ED31FD">
      <w:pPr>
        <w:pStyle w:val="Sraopastraipa"/>
        <w:numPr>
          <w:ilvl w:val="0"/>
          <w:numId w:val="7"/>
        </w:numPr>
        <w:shd w:val="clear" w:color="auto" w:fill="FFFFFF"/>
        <w:tabs>
          <w:tab w:val="left" w:pos="16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202</w:t>
      </w:r>
      <w:r w:rsidR="00444A19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2</w:t>
      </w: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m. </w:t>
      </w:r>
      <w:r w:rsidR="00444A19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gruodžio</w:t>
      </w: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="00676CC4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7</w:t>
      </w: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d. Šalys sudarė Partnerystės</w:t>
      </w:r>
      <w:r w:rsidR="00444A19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(koncesijos)</w:t>
      </w: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sutartį dėl </w:t>
      </w:r>
      <w:r w:rsidR="00444A19" w:rsidRPr="00B330F2">
        <w:rPr>
          <w:rFonts w:ascii="Times New Roman" w:hAnsi="Times New Roman" w:cs="Times New Roman"/>
          <w:sz w:val="24"/>
          <w:szCs w:val="24"/>
          <w:lang w:val="lt-LT"/>
        </w:rPr>
        <w:t>projekto „Sporto ir laisvalaikio komplekso statyba“ įgyvendinimo</w:t>
      </w:r>
      <w:r w:rsidR="00676CC4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Nr. J9-3891</w:t>
      </w: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(toliau – </w:t>
      </w:r>
      <w:r w:rsidRPr="00B330F2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Sutartis</w:t>
      </w: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);</w:t>
      </w:r>
    </w:p>
    <w:p w14:paraId="4E1425E4" w14:textId="4EB2925F" w:rsidR="009C0E2A" w:rsidRPr="00ED31FD" w:rsidRDefault="00094E4A" w:rsidP="00ED31FD">
      <w:pPr>
        <w:pStyle w:val="Sraopastraipa"/>
        <w:numPr>
          <w:ilvl w:val="0"/>
          <w:numId w:val="7"/>
        </w:numPr>
        <w:shd w:val="clear" w:color="auto" w:fill="FFFFFF"/>
        <w:tabs>
          <w:tab w:val="left" w:pos="16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Po Investuotojo Pasiūlymo pateikimo atsirado objektyvios aplinkybės, kurių Šalys, net elgdamosi deramai </w:t>
      </w:r>
      <w:r w:rsidR="00C56880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stropiai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negalėjo numatyti ar kontroliuoti, t.</w:t>
      </w:r>
      <w:r w:rsidR="00676CC4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y.  Lietuvoje buvo fiksuojamas rekordinis infliacijos augimas</w:t>
      </w:r>
      <w:r w:rsidR="00866429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(hiperinfliacija)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866429" w:rsidRPr="00B330F2">
        <w:rPr>
          <w:rFonts w:ascii="Times New Roman" w:hAnsi="Times New Roman" w:cs="Times New Roman"/>
          <w:sz w:val="24"/>
          <w:szCs w:val="24"/>
          <w:lang w:val="lt-LT"/>
        </w:rPr>
        <w:t>tame tarpe,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didėjo kainos statybų sektoriuje</w:t>
      </w:r>
      <w:r w:rsidR="00866429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(daugiau, nei 24 proc.)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, ženkliai (keletą kartų) augo energijos išteklių (elektros, dujų ir kt.) kainos</w:t>
      </w:r>
      <w:r w:rsidR="00C3774F" w:rsidRPr="00B330F2">
        <w:rPr>
          <w:rFonts w:ascii="Times New Roman" w:hAnsi="Times New Roman" w:cs="Times New Roman"/>
          <w:sz w:val="24"/>
          <w:szCs w:val="24"/>
          <w:lang w:val="lt-LT"/>
        </w:rPr>
        <w:t>, iš esmės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pasikeitė kredito įstaigų teikiamo finansavimo (skolinimo) sąlygos</w:t>
      </w:r>
      <w:r w:rsidR="00C3774F" w:rsidRPr="00B330F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158F0ED9" w14:textId="1086792F" w:rsidR="009C0E2A" w:rsidRPr="00ED31FD" w:rsidRDefault="00927247" w:rsidP="00ED31FD">
      <w:pPr>
        <w:pStyle w:val="Sraopastraipa"/>
        <w:numPr>
          <w:ilvl w:val="0"/>
          <w:numId w:val="7"/>
        </w:numPr>
        <w:shd w:val="clear" w:color="auto" w:fill="FFFFFF"/>
        <w:tabs>
          <w:tab w:val="left" w:pos="16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Šalių atstovai</w:t>
      </w:r>
      <w:r w:rsidR="00C3774F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="00717FD6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2022 m. spalio 6 d. surengė susitikimą, kuriame aptarė </w:t>
      </w:r>
      <w:r w:rsidR="00A847B3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p</w:t>
      </w:r>
      <w:r w:rsidR="00866429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reambulės (B) punkte nurodytą situaciją bei konstatavo šių aplinkybių esminę neigiamą įtaką Sutarties vykdymui. Šalys</w:t>
      </w:r>
      <w:r w:rsidR="00717FD6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surašė </w:t>
      </w:r>
      <w:r w:rsidR="00866429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minėto </w:t>
      </w: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susitikimo protokolą, kuriame</w:t>
      </w:r>
      <w:r w:rsidR="00866429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</w:t>
      </w:r>
      <w:r w:rsidR="0034141A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konstatavo</w:t>
      </w:r>
      <w:r w:rsidR="00960CA5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="00866429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būtinybę peržiūrėti Sutarties sąlygas</w:t>
      </w:r>
      <w:r w:rsidR="00866429" w:rsidRPr="00B330F2">
        <w:rPr>
          <w:rFonts w:ascii="Times New Roman" w:hAnsi="Times New Roman" w:cs="Times New Roman"/>
          <w:sz w:val="24"/>
          <w:szCs w:val="24"/>
          <w:lang w:val="lt-LT"/>
        </w:rPr>
        <w:t>, ta</w:t>
      </w:r>
      <w:r w:rsidR="00A847B3">
        <w:rPr>
          <w:rFonts w:ascii="Times New Roman" w:hAnsi="Times New Roman" w:cs="Times New Roman"/>
          <w:sz w:val="24"/>
          <w:szCs w:val="24"/>
          <w:lang w:val="lt-LT"/>
        </w:rPr>
        <w:t>rp</w:t>
      </w:r>
      <w:r w:rsidR="00866429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847B3">
        <w:rPr>
          <w:rFonts w:ascii="Times New Roman" w:hAnsi="Times New Roman" w:cs="Times New Roman"/>
          <w:sz w:val="24"/>
          <w:szCs w:val="24"/>
          <w:lang w:val="lt-LT"/>
        </w:rPr>
        <w:t>jų</w:t>
      </w:r>
      <w:r w:rsidR="00866429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Finansin</w:t>
      </w:r>
      <w:r w:rsidR="00A847B3">
        <w:rPr>
          <w:rFonts w:ascii="Times New Roman" w:hAnsi="Times New Roman" w:cs="Times New Roman"/>
          <w:sz w:val="24"/>
          <w:szCs w:val="24"/>
          <w:lang w:val="lt-LT"/>
        </w:rPr>
        <w:t>io</w:t>
      </w:r>
      <w:r w:rsidR="00866429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veiklos modelio sąlygas </w:t>
      </w:r>
      <w:r w:rsidR="00A847B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866429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Atlygio dydį bei nustatė esminius Sutarties pakeitimo principus;</w:t>
      </w:r>
    </w:p>
    <w:p w14:paraId="07B3873F" w14:textId="36347591" w:rsidR="00960CA5" w:rsidRPr="00B330F2" w:rsidRDefault="00C56880" w:rsidP="00B330F2">
      <w:pPr>
        <w:pStyle w:val="Sraopastraipa"/>
        <w:numPr>
          <w:ilvl w:val="0"/>
          <w:numId w:val="7"/>
        </w:numPr>
        <w:shd w:val="clear" w:color="auto" w:fill="FFFFFF"/>
        <w:tabs>
          <w:tab w:val="left" w:pos="16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Suteikiančioji institucija</w:t>
      </w:r>
      <w:r w:rsidR="00960CA5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įvertino, kad susidariusioje situacijoje egzistuoja visos Sutarties </w:t>
      </w:r>
      <w:r w:rsidR="00960CA5" w:rsidRPr="00B330F2">
        <w:rPr>
          <w:rFonts w:ascii="Times New Roman" w:hAnsi="Times New Roman" w:cs="Times New Roman"/>
          <w:sz w:val="24"/>
          <w:szCs w:val="24"/>
          <w:lang w:val="lt-LT"/>
        </w:rPr>
        <w:t>37.2.3 punkt</w:t>
      </w:r>
      <w:r w:rsidR="006869AF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o </w:t>
      </w:r>
      <w:r w:rsidR="00960CA5" w:rsidRPr="00B330F2">
        <w:rPr>
          <w:rFonts w:ascii="Times New Roman" w:hAnsi="Times New Roman" w:cs="Times New Roman"/>
          <w:sz w:val="24"/>
          <w:szCs w:val="24"/>
          <w:lang w:val="lt-LT"/>
        </w:rPr>
        <w:t>sąlygos peržiūrėti Sutart</w:t>
      </w:r>
      <w:r w:rsidR="00094E4A" w:rsidRPr="00B330F2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960CA5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, t. y. (1) būtinybė atlikti pakeitimą atsirado dėl aplinkybių, kurių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Šalys, deramai stropiai</w:t>
      </w:r>
      <w:r w:rsidR="00960CA5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veikdamos</w:t>
      </w:r>
      <w:r w:rsidR="00D52153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60CA5" w:rsidRPr="00B330F2">
        <w:rPr>
          <w:rFonts w:ascii="Times New Roman" w:hAnsi="Times New Roman" w:cs="Times New Roman"/>
          <w:sz w:val="24"/>
          <w:szCs w:val="24"/>
          <w:lang w:val="lt-LT"/>
        </w:rPr>
        <w:t>negalėjo numatyti, (2) pakeitimu nekeičiamas bendras Sutarties pobūdis, (3) 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kainos už Darbus ar Paslaugas padidėjimas</w:t>
      </w:r>
      <w:r w:rsidR="00960CA5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neviršija 50 proc. pradinės Sutarties vertės;</w:t>
      </w:r>
    </w:p>
    <w:p w14:paraId="3110153F" w14:textId="77777777" w:rsidR="009C0E2A" w:rsidRPr="00B330F2" w:rsidRDefault="009C0E2A" w:rsidP="009C0E2A">
      <w:pPr>
        <w:pStyle w:val="Sraopastraipa"/>
        <w:shd w:val="clear" w:color="auto" w:fill="FFFFFF"/>
        <w:tabs>
          <w:tab w:val="left" w:pos="1649"/>
        </w:tabs>
        <w:spacing w:after="0" w:line="276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0B968F07" w14:textId="248A945B" w:rsidR="00960CA5" w:rsidRDefault="00960CA5" w:rsidP="00ED31FD">
      <w:pPr>
        <w:pStyle w:val="Sraopastraipa"/>
        <w:numPr>
          <w:ilvl w:val="0"/>
          <w:numId w:val="7"/>
        </w:numPr>
        <w:shd w:val="clear" w:color="auto" w:fill="FFFFFF"/>
        <w:tabs>
          <w:tab w:val="left" w:pos="16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lastRenderedPageBreak/>
        <w:t>Šalys siekia atstatyti Sutartyje įtvirtintą Šalių ekonominę pusiausvyrą, kokia buvo prieš atsirandant</w:t>
      </w:r>
      <w:r w:rsidR="0034141A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Preambulėje nurodytoms</w:t>
      </w: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 Šalių nenumatytoms aplinkybėms, ir užtikrinti tinkamą bei savalaikį Sutarties vykdymą</w:t>
      </w:r>
      <w:r w:rsidR="00321319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 nekeičiant Sutarties vykdymo rizikų paskirstymo tarp Šalių</w:t>
      </w:r>
      <w:r w:rsidR="00A847B3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,</w:t>
      </w:r>
    </w:p>
    <w:p w14:paraId="6E12F8EE" w14:textId="508C6AF0" w:rsidR="00960CA5" w:rsidRPr="00B330F2" w:rsidRDefault="00960CA5" w:rsidP="00ED31F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 xml:space="preserve">Šalys sudaro šį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susitarimą dėl Sutarties pakeitimo (toliau – </w:t>
      </w:r>
      <w:r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>Susitarimas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):</w:t>
      </w:r>
    </w:p>
    <w:p w14:paraId="3F25902D" w14:textId="31793B73" w:rsidR="00D66498" w:rsidRPr="00ED31FD" w:rsidRDefault="00D66498" w:rsidP="00ED31FD">
      <w:pPr>
        <w:pStyle w:val="Sraopastraipa"/>
        <w:numPr>
          <w:ilvl w:val="0"/>
          <w:numId w:val="8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Šalys susitaria pakeisti žemiau nurodytas Finansinio veiklos modelio dalis</w:t>
      </w:r>
      <w:r w:rsidR="001552FF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="00401966" w:rsidRPr="00B330F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1552FF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atsižvelg</w:t>
      </w:r>
      <w:r w:rsidR="00A847B3">
        <w:rPr>
          <w:rFonts w:ascii="Times New Roman" w:hAnsi="Times New Roman" w:cs="Times New Roman"/>
          <w:sz w:val="24"/>
          <w:szCs w:val="24"/>
          <w:lang w:val="lt-LT"/>
        </w:rPr>
        <w:t xml:space="preserve">damos </w:t>
      </w:r>
      <w:r w:rsidR="001552FF" w:rsidRPr="00B330F2">
        <w:rPr>
          <w:rFonts w:ascii="Times New Roman" w:hAnsi="Times New Roman" w:cs="Times New Roman"/>
          <w:sz w:val="24"/>
          <w:szCs w:val="24"/>
          <w:lang w:val="lt-LT"/>
        </w:rPr>
        <w:t>į tai</w:t>
      </w:r>
      <w:r w:rsidR="00401966" w:rsidRPr="00B330F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1552FF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pakeistą Finansinį veiklos modelį išdėstyti nauja redakcija, kuri yra pridedama kaip šio Susitarimo priedas (toliau </w:t>
      </w:r>
      <w:r w:rsidR="00A847B3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="001552FF"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>Atnaujintas FVM</w:t>
      </w:r>
      <w:r w:rsidR="001552FF" w:rsidRPr="00B330F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651907D" w14:textId="418415E0" w:rsidR="00D66498" w:rsidRPr="00B330F2" w:rsidRDefault="009C0E2A" w:rsidP="00ED31FD">
      <w:pPr>
        <w:pStyle w:val="Sraopastraip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1.1. </w:t>
      </w:r>
      <w:r w:rsidR="00C27768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Atnaujintame FVM numatoma nauja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Investicijų sum</w:t>
      </w:r>
      <w:r w:rsidR="00C27768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a, kuri sudaro </w:t>
      </w:r>
      <w:r w:rsidR="000339F9" w:rsidRPr="00B330F2">
        <w:rPr>
          <w:rFonts w:ascii="Times New Roman" w:hAnsi="Times New Roman" w:cs="Times New Roman"/>
          <w:sz w:val="24"/>
          <w:szCs w:val="24"/>
          <w:lang w:val="lt-LT"/>
        </w:rPr>
        <w:t>22 322 134</w:t>
      </w:r>
      <w:r w:rsidR="00C27768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EUR be PVM ir yra</w:t>
      </w:r>
      <w:r w:rsidR="00C27768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27768" w:rsidRPr="00B330F2">
        <w:rPr>
          <w:rFonts w:ascii="Times New Roman" w:hAnsi="Times New Roman" w:cs="Times New Roman"/>
          <w:sz w:val="24"/>
          <w:szCs w:val="24"/>
          <w:lang w:val="lt-LT"/>
        </w:rPr>
        <w:t>aps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kaičiuojama pagal formulę:</w:t>
      </w:r>
    </w:p>
    <w:p w14:paraId="46732F19" w14:textId="708FB0FE" w:rsidR="009C0E2A" w:rsidRPr="00B330F2" w:rsidRDefault="009C0E2A" w:rsidP="00ED31FD">
      <w:pPr>
        <w:pStyle w:val="Sraopastraip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086AA03" w14:textId="19DE7990" w:rsidR="009C0E2A" w:rsidRPr="00B330F2" w:rsidRDefault="00C27768" w:rsidP="00ED31FD">
      <w:pPr>
        <w:spacing w:line="276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lt-LT"/>
            </w:rPr>
            <m:t>I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lt-LT"/>
            </w:rPr>
            <m:t xml:space="preserve">=I x SSKI </m:t>
          </m:r>
        </m:oMath>
      </m:oMathPara>
    </w:p>
    <w:p w14:paraId="326FED4F" w14:textId="1E4F7C08" w:rsidR="00C27768" w:rsidRPr="00ED31FD" w:rsidRDefault="00C27768" w:rsidP="00ED31FD">
      <w:pPr>
        <w:spacing w:line="276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kur:</w:t>
      </w:r>
    </w:p>
    <w:p w14:paraId="2CDCD737" w14:textId="628628C8" w:rsidR="00C27768" w:rsidRPr="00B330F2" w:rsidRDefault="00C27768" w:rsidP="00ED31FD">
      <w:pPr>
        <w:spacing w:line="276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lt-LT"/>
          </w:rPr>
          <m:t>I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lt-LT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lt-LT"/>
              </w:rPr>
              <m:t>n</m:t>
            </m:r>
          </m:e>
        </m:d>
      </m:oMath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– Atnaujintame FVM nurodyta Investicijų suma.</w:t>
      </w:r>
    </w:p>
    <w:p w14:paraId="1B6F1D04" w14:textId="130188DC" w:rsidR="003207B4" w:rsidRPr="00B330F2" w:rsidRDefault="003207B4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I – Finansiniame veiklos modelyje nurodyta Investicijų suma</w:t>
      </w:r>
      <w:r w:rsidR="00101953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, kuri sudaro </w:t>
      </w:r>
      <w:r w:rsidR="000339F9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>18 676 000</w:t>
      </w:r>
      <w:r w:rsidR="00101953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EUR be PVM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A1371DD" w14:textId="1CA97A6C" w:rsidR="00C27768" w:rsidRPr="00B330F2" w:rsidRDefault="00C27768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SSKI </w:t>
      </w:r>
      <w:r w:rsidR="00A847B3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statistikos departamento skelbiamo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rodiklio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„Statybos sąnaudų elementų kainų indeksai (2015 m. – 100)“, duomenų rinkinys „Statinių pagal tipą klasifikatorius“, dimensijos: negyvenamieji pastatai,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reikšmių pokytis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nuo </w:t>
      </w:r>
      <w:r w:rsidR="00B14770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Pasiūlymo pateikimo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iki </w:t>
      </w:r>
      <w:r w:rsidR="000339F9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Sutarties pasirašymo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, išreikštas kaip procentinis dydis, kuris</w:t>
      </w:r>
      <w:r w:rsidR="00B14770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sudaro </w:t>
      </w:r>
      <w:r w:rsidR="000339F9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19,5231 proc.</w:t>
      </w:r>
      <w:r w:rsidR="00B14770" w:rsidRPr="00B330F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ir yra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apskaičiuojamas pagal formulę:</w:t>
      </w:r>
    </w:p>
    <w:p w14:paraId="2709A15F" w14:textId="378073CF" w:rsidR="00B14770" w:rsidRPr="00B330F2" w:rsidRDefault="00B14770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D53A2D4" w14:textId="3A3F1906" w:rsidR="00B14770" w:rsidRPr="00B330F2" w:rsidRDefault="00B14770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SSKI </w:t>
      </w:r>
      <w:r w:rsidRPr="00B330F2">
        <w:rPr>
          <w:rFonts w:ascii="Times New Roman" w:eastAsiaTheme="minorEastAsia" w:hAnsi="Times New Roman" w:cs="Times New Roman"/>
          <w:sz w:val="24"/>
          <w:szCs w:val="24"/>
          <w:lang w:val="de-DE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lt-L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SSKI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lt-LT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SSKI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SSKI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0</m:t>
                </m:r>
              </m:sub>
            </m:sSub>
          </m:den>
        </m:f>
      </m:oMath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x 100</w:t>
      </w:r>
    </w:p>
    <w:p w14:paraId="1D7C86FF" w14:textId="4CD8A217" w:rsidR="00B14770" w:rsidRPr="00B330F2" w:rsidRDefault="00B14770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kur:</w:t>
      </w:r>
    </w:p>
    <w:p w14:paraId="0AEFB6CF" w14:textId="1D99E96D" w:rsidR="00C27768" w:rsidRPr="00B330F2" w:rsidRDefault="00C27768" w:rsidP="00A847B3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SSKI</w:t>
      </w:r>
      <w:r w:rsidRPr="00B330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n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– Lietuvos Respublikos statistikos departamento skelbiamo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rodiklio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„Statybos sąnaudų elementų kainų indeksai (2015 m. – 100)“, duomenų rinkinys „Statinių pagal tipą klasifikatorius“, dimensijos: </w:t>
      </w:r>
      <w:r w:rsidR="00101953" w:rsidRPr="00B330F2">
        <w:rPr>
          <w:rFonts w:ascii="Times New Roman" w:hAnsi="Times New Roman" w:cs="Times New Roman"/>
          <w:sz w:val="24"/>
          <w:szCs w:val="24"/>
          <w:lang w:val="lt-LT"/>
        </w:rPr>
        <w:t>negyvenamieji pastatai</w:t>
      </w:r>
      <w:r w:rsidR="00101953"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reikšmė</w:t>
      </w:r>
      <w:r w:rsidRPr="00B330F2">
        <w:rPr>
          <w:rFonts w:ascii="Times New Roman" w:hAnsi="Times New Roman" w:cs="Times New Roman"/>
          <w:bCs/>
          <w:sz w:val="24"/>
          <w:szCs w:val="24"/>
          <w:lang w:val="lt-LT"/>
        </w:rPr>
        <w:t>, nustatyta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atsižvelgiant į 2022 m. </w:t>
      </w:r>
      <w:r w:rsidR="00B14770" w:rsidRPr="00B330F2">
        <w:rPr>
          <w:rFonts w:ascii="Times New Roman" w:hAnsi="Times New Roman" w:cs="Times New Roman"/>
          <w:sz w:val="24"/>
          <w:szCs w:val="24"/>
          <w:lang w:val="lt-LT"/>
        </w:rPr>
        <w:t>lapkričio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mėnesio duomenis</w:t>
      </w:r>
      <w:r w:rsidR="00B14770" w:rsidRPr="00B330F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kuri sudaro </w:t>
      </w:r>
      <w:r w:rsidR="000339F9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152,6053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77D7EA9" w14:textId="5F239555" w:rsidR="00571B9A" w:rsidRPr="00B330F2" w:rsidRDefault="00C27768" w:rsidP="00A847B3">
      <w:pPr>
        <w:pStyle w:val="Sraopastraip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SSKI</w:t>
      </w:r>
      <w:r w:rsidRPr="00B330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0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– Lietuvos Respublikos statistikos departamento skelbiamo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rodiklio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„Statybos sąnaudų elementų kainų indeksai (2015 m. – 100)“, duomenų rinkinys „Statinių pagal tipą klasifikatorius“, dimensijos: </w:t>
      </w:r>
      <w:r w:rsidR="00101953" w:rsidRPr="00B330F2">
        <w:rPr>
          <w:rFonts w:ascii="Times New Roman" w:hAnsi="Times New Roman" w:cs="Times New Roman"/>
          <w:sz w:val="24"/>
          <w:szCs w:val="24"/>
          <w:lang w:val="lt-LT"/>
        </w:rPr>
        <w:t>negyvenamieji pastatai</w:t>
      </w:r>
      <w:r w:rsidR="00101953"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reikšmė, </w:t>
      </w:r>
      <w:r w:rsidRPr="00B330F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nustatyta pagal 2021 m. </w:t>
      </w:r>
      <w:r w:rsidR="00B14770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rugsėjo</w:t>
      </w:r>
      <w:r w:rsidRPr="00B330F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mėnesio duomenis</w:t>
      </w:r>
      <w:r w:rsidR="00B14770" w:rsidRPr="00B330F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kuri sudaro </w:t>
      </w:r>
      <w:r w:rsidR="000339F9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127,6785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E7784CB" w14:textId="1B959B5F" w:rsidR="00101953" w:rsidRPr="00B330F2" w:rsidRDefault="00101953" w:rsidP="00ED31FD">
      <w:pPr>
        <w:pStyle w:val="Sraopastraipa"/>
        <w:numPr>
          <w:ilvl w:val="0"/>
          <w:numId w:val="23"/>
        </w:numPr>
        <w:tabs>
          <w:tab w:val="left" w:pos="567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Atnaujintame FVM numatoma nauja</w:t>
      </w:r>
      <w:r w:rsidR="00DC57E8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metinė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techninės priežiūros</w:t>
      </w:r>
      <w:r w:rsidR="000339F9" w:rsidRPr="00B330F2">
        <w:rPr>
          <w:rFonts w:ascii="Times New Roman" w:hAnsi="Times New Roman" w:cs="Times New Roman"/>
          <w:sz w:val="24"/>
          <w:szCs w:val="24"/>
          <w:lang w:val="lt-LT"/>
        </w:rPr>
        <w:t>, valdymo ir operavimo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sąnaudų suma, kuri sudaro </w:t>
      </w:r>
      <w:r w:rsidR="005471A7" w:rsidRPr="00B330F2">
        <w:rPr>
          <w:rFonts w:ascii="Times New Roman" w:hAnsi="Times New Roman" w:cs="Times New Roman"/>
          <w:sz w:val="24"/>
          <w:szCs w:val="24"/>
          <w:lang w:val="lt-LT"/>
        </w:rPr>
        <w:t>103</w:t>
      </w:r>
      <w:r w:rsidR="00ED502A" w:rsidRPr="00B330F2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5471A7" w:rsidRPr="00B330F2">
        <w:rPr>
          <w:rFonts w:ascii="Times New Roman" w:hAnsi="Times New Roman" w:cs="Times New Roman"/>
          <w:sz w:val="24"/>
          <w:szCs w:val="24"/>
          <w:lang w:val="lt-LT"/>
        </w:rPr>
        <w:t>051</w:t>
      </w:r>
      <w:r w:rsidR="00ED502A" w:rsidRPr="00B330F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5471A7" w:rsidRPr="00B330F2">
        <w:rPr>
          <w:rFonts w:ascii="Times New Roman" w:hAnsi="Times New Roman" w:cs="Times New Roman"/>
          <w:sz w:val="24"/>
          <w:szCs w:val="24"/>
          <w:lang w:val="lt-LT"/>
        </w:rPr>
        <w:t>09</w:t>
      </w:r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EUR be PVM ir yra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apskaičiuojama pagal formulę:</w:t>
      </w:r>
    </w:p>
    <w:p w14:paraId="139D96E6" w14:textId="4BB21F43" w:rsidR="00101953" w:rsidRPr="00B330F2" w:rsidRDefault="00101953" w:rsidP="00ED31FD">
      <w:pPr>
        <w:spacing w:line="276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lt-LT"/>
            </w:rPr>
            <m:t>TP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lt-LT"/>
            </w:rPr>
            <m:t>=TP x SVKI(X)</m:t>
          </m:r>
        </m:oMath>
      </m:oMathPara>
    </w:p>
    <w:p w14:paraId="27687001" w14:textId="2BAECB12" w:rsidR="00DC57E8" w:rsidRPr="00B330F2" w:rsidRDefault="00DC57E8" w:rsidP="00ED31FD">
      <w:pPr>
        <w:spacing w:line="276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kur:</w:t>
      </w:r>
    </w:p>
    <w:p w14:paraId="7863ADB9" w14:textId="467394FB" w:rsidR="00DC57E8" w:rsidRPr="00B330F2" w:rsidRDefault="00DC57E8" w:rsidP="00ED31FD">
      <w:pPr>
        <w:spacing w:line="276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TP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  <w:lang w:val="lt-LT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lt-LT"/>
              </w:rPr>
              <m:t>n</m:t>
            </m:r>
          </m:e>
        </m:d>
      </m:oMath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– Atnaujintame FVM nurodyta metinė techninės priežiūros</w:t>
      </w:r>
      <w:r w:rsidR="000339F9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>,</w:t>
      </w:r>
      <w:r w:rsidR="000339F9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valdymo ir operavimo</w:t>
      </w:r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sąnaudų suma.</w:t>
      </w:r>
    </w:p>
    <w:p w14:paraId="230C90C3" w14:textId="20E0DE92" w:rsidR="00DC57E8" w:rsidRPr="00B330F2" w:rsidRDefault="00DC57E8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lastRenderedPageBreak/>
        <w:t>TP – Finansiniame veiklos modelyje nurodyta</w:t>
      </w:r>
      <w:r w:rsidR="00ED502A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metinė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techninės priežiūros</w:t>
      </w:r>
      <w:r w:rsidR="00ED502A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>,</w:t>
      </w:r>
      <w:r w:rsidR="00ED502A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valdymo ir operavimo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sąnaudų suma, </w:t>
      </w:r>
      <w:r w:rsidR="005471A7" w:rsidRPr="00B330F2">
        <w:rPr>
          <w:rFonts w:ascii="Times New Roman" w:hAnsi="Times New Roman" w:cs="Times New Roman"/>
          <w:sz w:val="24"/>
          <w:szCs w:val="24"/>
          <w:lang w:val="lt-LT"/>
        </w:rPr>
        <w:t>t.</w:t>
      </w:r>
      <w:r w:rsidR="00F158C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471A7" w:rsidRPr="00B330F2">
        <w:rPr>
          <w:rFonts w:ascii="Times New Roman" w:hAnsi="Times New Roman" w:cs="Times New Roman"/>
          <w:sz w:val="24"/>
          <w:szCs w:val="24"/>
          <w:lang w:val="lt-LT"/>
        </w:rPr>
        <w:t>y.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471A7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>89 245</w:t>
      </w:r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EUR be PVM</w:t>
      </w:r>
      <w:r w:rsidR="005471A7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, kurią sudaro bendra darbalaukio </w:t>
      </w:r>
      <w:r w:rsidR="005471A7" w:rsidRPr="00B330F2">
        <w:rPr>
          <w:rFonts w:ascii="Times New Roman" w:eastAsiaTheme="minorEastAsia" w:hAnsi="Times New Roman" w:cs="Times New Roman"/>
          <w:i/>
          <w:iCs/>
          <w:sz w:val="24"/>
          <w:szCs w:val="24"/>
          <w:lang w:val="lt-LT"/>
        </w:rPr>
        <w:t>Sąnaudų prielaidos</w:t>
      </w:r>
      <w:r w:rsidR="005471A7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laukelių E12:E30 ir E33:E34 suma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41A5ABD" w14:textId="678B16CD" w:rsidR="00DC57E8" w:rsidRPr="00B330F2" w:rsidRDefault="00DC57E8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SVKI(X) </w:t>
      </w:r>
      <w:r w:rsidR="00A847B3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statistikos departamento skelbiamo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rodiklio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„Suderinti vartotojų kainų indeksai (2015 m. – 100)“, duomenų rinkinys „Europos individualaus vartojimo išlaidų pagal paskirtį klasifikatorius</w:t>
      </w:r>
      <w:r w:rsidR="00A5190E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(ECOICOP)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“, dimensijos: </w:t>
      </w:r>
      <w:r w:rsidR="00A5190E" w:rsidRPr="00B330F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5471A7" w:rsidRPr="00B330F2"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A5190E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5471A7" w:rsidRPr="00B330F2">
        <w:rPr>
          <w:rFonts w:ascii="Times New Roman" w:hAnsi="Times New Roman" w:cs="Times New Roman"/>
          <w:sz w:val="24"/>
          <w:szCs w:val="24"/>
          <w:lang w:val="lt-LT"/>
        </w:rPr>
        <w:t>įvairios</w:t>
      </w:r>
      <w:r w:rsidR="00A5190E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prekės ir paslaugos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reikšmių pokytis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nuo Pasiūlymo pateikimo iki </w:t>
      </w:r>
      <w:r w:rsidR="00ED502A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Sutarties pasirašymo</w:t>
      </w: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.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, išreikštas kaip procentinis dydis, kuris sudaro </w:t>
      </w:r>
      <w:r w:rsidR="008821D9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15</w:t>
      </w:r>
      <w:r w:rsidR="00ED502A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8821D9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47</w:t>
      </w:r>
      <w:r w:rsidR="00ED502A" w:rsidRPr="00B330F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proc.</w:t>
      </w:r>
      <w:r w:rsidRPr="00B330F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ir yra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apskaičiuojamas pagal formulę:</w:t>
      </w:r>
    </w:p>
    <w:p w14:paraId="1610A515" w14:textId="2314CBA7" w:rsidR="00DC57E8" w:rsidRPr="00B330F2" w:rsidRDefault="00DC57E8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>S</w:t>
      </w:r>
      <w:r w:rsidR="00A5190E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>V</w:t>
      </w:r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>KI</w:t>
      </w:r>
      <w:r w:rsidR="00A5190E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>(X)</w:t>
      </w:r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</w:t>
      </w:r>
      <w:r w:rsidRPr="00B330F2">
        <w:rPr>
          <w:rFonts w:ascii="Times New Roman" w:eastAsiaTheme="minorEastAsia" w:hAnsi="Times New Roman" w:cs="Times New Roman"/>
          <w:sz w:val="24"/>
          <w:szCs w:val="24"/>
          <w:lang w:val="de-DE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lt-L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SVKI(X)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lt-LT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SVKI(X)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SVKI(X)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0</m:t>
                </m:r>
              </m:sub>
            </m:sSub>
          </m:den>
        </m:f>
      </m:oMath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x 100</w:t>
      </w:r>
    </w:p>
    <w:p w14:paraId="1799E395" w14:textId="77777777" w:rsidR="00DC57E8" w:rsidRPr="00B330F2" w:rsidRDefault="00DC57E8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kur:</w:t>
      </w:r>
    </w:p>
    <w:p w14:paraId="05BC9383" w14:textId="0BADF116" w:rsidR="00DC57E8" w:rsidRPr="00B330F2" w:rsidRDefault="00DC57E8" w:rsidP="00A847B3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5190E" w:rsidRPr="00B330F2"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KI</w:t>
      </w:r>
      <w:r w:rsidR="00A5190E" w:rsidRPr="00B330F2">
        <w:rPr>
          <w:rFonts w:ascii="Times New Roman" w:hAnsi="Times New Roman" w:cs="Times New Roman"/>
          <w:sz w:val="24"/>
          <w:szCs w:val="24"/>
          <w:lang w:val="lt-LT"/>
        </w:rPr>
        <w:t>(X)</w:t>
      </w:r>
      <w:r w:rsidRPr="00B330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n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– Lietuvos Respublikos statistikos departamento skelbiamo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rodiklio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190E" w:rsidRPr="00B330F2">
        <w:rPr>
          <w:rFonts w:ascii="Times New Roman" w:hAnsi="Times New Roman" w:cs="Times New Roman"/>
          <w:sz w:val="24"/>
          <w:szCs w:val="24"/>
          <w:lang w:val="lt-LT"/>
        </w:rPr>
        <w:t>„Suderinti vartotojų kainų indeksai (2015 m. – 100)“, duomenų rinkinys „Europos individualaus vartojimo išlaidų pagal paskirtį klasifikatorius (ECOICOP)“, dimensijos: (</w:t>
      </w:r>
      <w:r w:rsidR="00CB0C2F" w:rsidRPr="00B330F2"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A5190E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CB0C2F" w:rsidRPr="00B330F2">
        <w:rPr>
          <w:rFonts w:ascii="Times New Roman" w:hAnsi="Times New Roman" w:cs="Times New Roman"/>
          <w:sz w:val="24"/>
          <w:szCs w:val="24"/>
          <w:lang w:val="lt-LT"/>
        </w:rPr>
        <w:t>įvairios</w:t>
      </w:r>
      <w:r w:rsidR="00A5190E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prekės ir paslaugos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reikšmė</w:t>
      </w:r>
      <w:r w:rsidRPr="00B330F2">
        <w:rPr>
          <w:rFonts w:ascii="Times New Roman" w:hAnsi="Times New Roman" w:cs="Times New Roman"/>
          <w:bCs/>
          <w:sz w:val="24"/>
          <w:szCs w:val="24"/>
          <w:lang w:val="lt-LT"/>
        </w:rPr>
        <w:t>, nustatyta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atsižvelgiant į 2022 m. lapkričio mėnesio duomenis</w:t>
      </w:r>
      <w:r w:rsidRPr="00B330F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kuri sudaro </w:t>
      </w:r>
      <w:r w:rsidR="00ED502A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14</w:t>
      </w:r>
      <w:r w:rsidR="008821D9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3</w:t>
      </w:r>
      <w:r w:rsidR="00ED502A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8821D9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76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E1F58C7" w14:textId="502E297D" w:rsidR="00F17095" w:rsidRPr="00B330F2" w:rsidRDefault="00DC57E8" w:rsidP="00A847B3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SSKI</w:t>
      </w:r>
      <w:r w:rsidR="00A5190E" w:rsidRPr="00B330F2">
        <w:rPr>
          <w:rFonts w:ascii="Times New Roman" w:hAnsi="Times New Roman" w:cs="Times New Roman"/>
          <w:sz w:val="24"/>
          <w:szCs w:val="24"/>
          <w:lang w:val="lt-LT"/>
        </w:rPr>
        <w:t>(X)</w:t>
      </w:r>
      <w:r w:rsidRPr="00B330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0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– Lietuvos Respublikos statistikos departamento skelbiamo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rodiklio </w:t>
      </w:r>
      <w:r w:rsidR="00A5190E" w:rsidRPr="00B330F2">
        <w:rPr>
          <w:rFonts w:ascii="Times New Roman" w:hAnsi="Times New Roman" w:cs="Times New Roman"/>
          <w:sz w:val="24"/>
          <w:szCs w:val="24"/>
          <w:lang w:val="lt-LT"/>
        </w:rPr>
        <w:t>„Suderinti vartotojų kainų indeksai (2015 m. – 100)“, duomenų rinkinys „Europos individualaus vartojimo išlaidų pagal paskirtį klasifikatorius (ECOICOP)“, dimensijos: (</w:t>
      </w:r>
      <w:r w:rsidR="00CB0C2F" w:rsidRPr="00B330F2"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A5190E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CB0C2F" w:rsidRPr="00B330F2">
        <w:rPr>
          <w:rFonts w:ascii="Times New Roman" w:hAnsi="Times New Roman" w:cs="Times New Roman"/>
          <w:sz w:val="24"/>
          <w:szCs w:val="24"/>
          <w:lang w:val="lt-LT"/>
        </w:rPr>
        <w:t>įvairios</w:t>
      </w:r>
      <w:r w:rsidR="00A5190E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prekės ir paslaugos</w:t>
      </w:r>
      <w:r w:rsidR="00A5190E"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reikšmė, </w:t>
      </w:r>
      <w:r w:rsidRPr="00B330F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nustatyta pagal 2021 m. rugsėjo mėnesio duomenis, kuri sudaro </w:t>
      </w:r>
      <w:r w:rsidR="008821D9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124</w:t>
      </w:r>
      <w:r w:rsidR="00ED502A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8821D9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50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8FD9B35" w14:textId="2D453FB5" w:rsidR="00835D4E" w:rsidRPr="00B330F2" w:rsidRDefault="00F17095" w:rsidP="00ED31FD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1.3. </w:t>
      </w:r>
      <w:r w:rsidR="00A23527" w:rsidRPr="00B330F2">
        <w:rPr>
          <w:rFonts w:ascii="Times New Roman" w:hAnsi="Times New Roman" w:cs="Times New Roman"/>
          <w:sz w:val="24"/>
          <w:szCs w:val="24"/>
          <w:lang w:val="lt-LT"/>
        </w:rPr>
        <w:t>Atnaujintame FVM numatoma nauja metinė darbo užmokesčio suma, kuri sudaro 348 948 EUR</w:t>
      </w:r>
      <w:r w:rsidR="00A23527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ir yra</w:t>
      </w:r>
      <w:r w:rsidR="00A23527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apskaičiuojama pagal formulę:</w:t>
      </w:r>
    </w:p>
    <w:p w14:paraId="54A9D39A" w14:textId="1227946A" w:rsidR="00A23527" w:rsidRPr="00B330F2" w:rsidRDefault="00A23527" w:rsidP="00ED31FD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3755557" w14:textId="09014BAE" w:rsidR="00A23527" w:rsidRPr="00B330F2" w:rsidRDefault="00A23527" w:rsidP="00ED31FD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lt-LT"/>
            </w:rPr>
            <m:t>DU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lt-LT"/>
            </w:rPr>
            <m:t xml:space="preserve">=DU x DUI </m:t>
          </m:r>
        </m:oMath>
      </m:oMathPara>
    </w:p>
    <w:p w14:paraId="73E403B4" w14:textId="203424E9" w:rsidR="00835D4E" w:rsidRPr="00B330F2" w:rsidRDefault="00835D4E" w:rsidP="00ED31FD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DCDD558" w14:textId="77777777" w:rsidR="00A23527" w:rsidRPr="00B330F2" w:rsidRDefault="00A23527" w:rsidP="00ED31FD">
      <w:pPr>
        <w:spacing w:line="276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kur:</w:t>
      </w:r>
    </w:p>
    <w:p w14:paraId="241D7B81" w14:textId="51AECFBE" w:rsidR="00A23527" w:rsidRPr="00B330F2" w:rsidRDefault="00A23527" w:rsidP="00ED31FD">
      <w:pPr>
        <w:spacing w:line="276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DU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  <w:lang w:val="lt-LT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lt-LT"/>
              </w:rPr>
              <m:t>n</m:t>
            </m:r>
          </m:e>
        </m:d>
      </m:oMath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– Atnaujintame FVM nurodyta metinė darbu užmokesčio sąnaudų suma.</w:t>
      </w:r>
    </w:p>
    <w:p w14:paraId="37936520" w14:textId="4662A026" w:rsidR="00A23527" w:rsidRPr="00B330F2" w:rsidRDefault="00A23527" w:rsidP="00ED31FD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DU – Finansiniame veiklos modelyje nurodyta metinė darbo užmokesčio sąnaudų suma, kuri sudaro </w:t>
      </w:r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>310 176 EUR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216CED1" w14:textId="3F656FA7" w:rsidR="00A23527" w:rsidRPr="00B330F2" w:rsidRDefault="00A23527" w:rsidP="00ED31FD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DUI </w:t>
      </w:r>
      <w:r w:rsidR="00A847B3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statistikos departamento skelbiam</w:t>
      </w:r>
      <w:r w:rsidR="00442DF3" w:rsidRPr="00B330F2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rodikli</w:t>
      </w:r>
      <w:r w:rsidR="00442DF3" w:rsidRPr="00B330F2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„Darbo užmokesčio indeksas (mėnesinis, eksperimentinė statistika</w:t>
      </w:r>
      <w:r w:rsidR="00442DF3" w:rsidRPr="00B330F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“, </w:t>
      </w:r>
      <w:r w:rsidR="00442DF3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už laikotarpį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nuo </w:t>
      </w:r>
      <w:r w:rsidR="00442DF3" w:rsidRPr="00B330F2">
        <w:rPr>
          <w:rFonts w:ascii="Times New Roman" w:hAnsi="Times New Roman" w:cs="Times New Roman"/>
          <w:sz w:val="24"/>
          <w:szCs w:val="24"/>
          <w:lang w:val="lt-LT"/>
        </w:rPr>
        <w:t>2021 m. spalio mėn.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iki </w:t>
      </w:r>
      <w:r w:rsidR="00442DF3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2022 m. spalio mėn</w:t>
      </w: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.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, išreikštas kaip procentinis dydis, kuris sudaro </w:t>
      </w:r>
      <w:r w:rsidR="00442DF3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12</w:t>
      </w:r>
      <w:r w:rsidRPr="00B330F2">
        <w:rPr>
          <w:rFonts w:ascii="Times New Roman" w:hAnsi="Times New Roman" w:cs="Times New Roman"/>
          <w:bCs/>
          <w:sz w:val="24"/>
          <w:szCs w:val="24"/>
          <w:lang w:val="lt-LT"/>
        </w:rPr>
        <w:t>,5</w:t>
      </w:r>
      <w:r w:rsidR="00442DF3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0</w:t>
      </w:r>
      <w:r w:rsidRPr="00B330F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proc.</w:t>
      </w:r>
    </w:p>
    <w:p w14:paraId="699002CE" w14:textId="33A135D7" w:rsidR="00F17095" w:rsidRPr="00B330F2" w:rsidRDefault="00835D4E" w:rsidP="00ED31FD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1.4. </w:t>
      </w:r>
      <w:r w:rsidR="00F17095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Atnaujintame FVM numatoma nauja metinė pajamų suma, kuri sudaro </w:t>
      </w:r>
      <w:r w:rsidR="00ED502A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>1 356 837,39</w:t>
      </w:r>
      <w:r w:rsidR="00F17095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EUR be PVM ir yra</w:t>
      </w:r>
      <w:r w:rsidR="00F17095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apskaičiuojama pagal formulę:</w:t>
      </w:r>
    </w:p>
    <w:p w14:paraId="54C893F1" w14:textId="6F63DAAF" w:rsidR="00F17095" w:rsidRPr="00B330F2" w:rsidRDefault="00F17095" w:rsidP="00ED31FD">
      <w:pPr>
        <w:spacing w:line="276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lt-LT"/>
            </w:rPr>
            <m:t>P</m:t>
          </m:r>
          <m:d>
            <m:dPr>
              <m:ctrlP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n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lt-LT"/>
            </w:rPr>
            <m:t>=P x SVKI(X)</m:t>
          </m:r>
        </m:oMath>
      </m:oMathPara>
    </w:p>
    <w:p w14:paraId="1612F72A" w14:textId="77777777" w:rsidR="00F17095" w:rsidRPr="00B330F2" w:rsidRDefault="00F17095" w:rsidP="00ED31FD">
      <w:pPr>
        <w:spacing w:line="276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kur:</w:t>
      </w:r>
    </w:p>
    <w:p w14:paraId="70A0BB01" w14:textId="564950B8" w:rsidR="00F17095" w:rsidRPr="00B330F2" w:rsidRDefault="00F17095" w:rsidP="00ED31FD">
      <w:pPr>
        <w:spacing w:line="276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P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  <w:lang w:val="lt-LT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lt-LT"/>
              </w:rPr>
              <m:t>n</m:t>
            </m:r>
          </m:e>
        </m:d>
      </m:oMath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– Atnaujintame FVM nurodyta metinė pajamų suma.</w:t>
      </w:r>
    </w:p>
    <w:p w14:paraId="613310C5" w14:textId="3515EA9E" w:rsidR="00F17095" w:rsidRPr="00B330F2" w:rsidRDefault="00F17095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P – Finansiniame veiklos modelyje nurodyta</w:t>
      </w:r>
      <w:r w:rsidR="00ED502A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metinė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pajamų suma, kuri sudaro </w:t>
      </w:r>
      <w:r w:rsidR="00ED502A"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1 200 513 </w:t>
      </w:r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>EUR be PVM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F1735B2" w14:textId="58920D25" w:rsidR="00F17095" w:rsidRPr="00B330F2" w:rsidRDefault="00F17095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SVKI(X) </w:t>
      </w:r>
      <w:r w:rsidR="00A847B3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statistikos departamento skelbiamo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rodiklio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„Suderinti vartotojų kainų indeksai (2015 m. – 100)“, duomenų rinkinys „Europos individualaus vartojimo išlaidų pagal paskirtį klasifikatorius (ECOICOP)“, dimensijos: (09) poilsis ir kultūra,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reikšmių pokytis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nuo Pasiūlymo pateikimo iki </w:t>
      </w:r>
      <w:r w:rsidR="009D6B9C"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Sutarties pasirašymo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, išreikštas kaip procentinis dydis (nurodant ne mažiau, nei dešimta tūkstantąją dalį), kuris sudaro </w:t>
      </w:r>
      <w:r w:rsidR="009D6B9C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13,0214 proc.</w:t>
      </w:r>
      <w:r w:rsidRPr="00B330F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ir yra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apskaičiuojamas pagal formulę:</w:t>
      </w:r>
    </w:p>
    <w:p w14:paraId="3873EF97" w14:textId="77777777" w:rsidR="00F17095" w:rsidRPr="00B330F2" w:rsidRDefault="00F17095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2BB4C7F" w14:textId="77777777" w:rsidR="00F17095" w:rsidRPr="00B330F2" w:rsidRDefault="00F17095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SVKI(X) </w:t>
      </w:r>
      <w:r w:rsidRPr="00B330F2">
        <w:rPr>
          <w:rFonts w:ascii="Times New Roman" w:eastAsiaTheme="minorEastAsia" w:hAnsi="Times New Roman" w:cs="Times New Roman"/>
          <w:sz w:val="24"/>
          <w:szCs w:val="24"/>
          <w:lang w:val="de-DE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  <w:lang w:val="lt-L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SVKI(X)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lt-LT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SVKI(X)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SVKI(X)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0</m:t>
                </m:r>
              </m:sub>
            </m:sSub>
          </m:den>
        </m:f>
      </m:oMath>
      <w:r w:rsidRPr="00B330F2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x 100</w:t>
      </w:r>
    </w:p>
    <w:p w14:paraId="76727967" w14:textId="77777777" w:rsidR="00F17095" w:rsidRPr="00B330F2" w:rsidRDefault="00F17095" w:rsidP="00ED31F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kur:</w:t>
      </w:r>
    </w:p>
    <w:p w14:paraId="4222BA32" w14:textId="77777777" w:rsidR="00A847B3" w:rsidRDefault="00F17095" w:rsidP="00A847B3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SVKI(X)</w:t>
      </w:r>
      <w:r w:rsidRPr="00B330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n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– Lietuvos Respublikos statistikos departamento skelbiamo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>rodiklio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„Suderinti vartotojų kainų indeksai (2015 m. – 100)“, duomenų rinkinys „Europos individualaus vartojimo išlaidų pagal paskirtį klasifikatorius (ECOICOP)“, dimensijos: (09) poilsis ir kultūra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reikšmė</w:t>
      </w:r>
      <w:r w:rsidRPr="00B330F2">
        <w:rPr>
          <w:rFonts w:ascii="Times New Roman" w:hAnsi="Times New Roman" w:cs="Times New Roman"/>
          <w:bCs/>
          <w:sz w:val="24"/>
          <w:szCs w:val="24"/>
          <w:lang w:val="lt-LT"/>
        </w:rPr>
        <w:t>, nustatyta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atsižvelgiant į 2022 m. lapkričio mėnesio duomenis</w:t>
      </w:r>
      <w:r w:rsidRPr="00B330F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kuri sudaro </w:t>
      </w:r>
      <w:r w:rsidR="009D6B9C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129,2400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1C8C0E8" w14:textId="3F3728BD" w:rsidR="009653A9" w:rsidRPr="00B330F2" w:rsidRDefault="00F17095" w:rsidP="00A847B3">
      <w:pPr>
        <w:tabs>
          <w:tab w:val="left" w:pos="567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SSKI(X)</w:t>
      </w:r>
      <w:r w:rsidRPr="00B330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0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– Lietuvos Respublikos statistikos departamento skelbiamo 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rodiklio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„Suderinti vartotojų kainų indeksai (2015 m. – 100)“, duomenų rinkinys „Europos individualaus vartojimo išlaidų pagal paskirtį klasifikatorius (ECOICOP)“, dimensijos: (09) </w:t>
      </w:r>
      <w:r w:rsidR="00F71EB3" w:rsidRPr="00B330F2">
        <w:rPr>
          <w:rFonts w:ascii="Times New Roman" w:hAnsi="Times New Roman" w:cs="Times New Roman"/>
          <w:sz w:val="24"/>
          <w:szCs w:val="24"/>
          <w:lang w:val="lt-LT"/>
        </w:rPr>
        <w:t>poilsis ir kultūra</w:t>
      </w:r>
      <w:r w:rsidRPr="00B330F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reikšmė, </w:t>
      </w:r>
      <w:r w:rsidRPr="00B330F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nustatyta pagal 2021 m. rugsėjo mėnesio duomenis, kuri sudaro </w:t>
      </w:r>
      <w:r w:rsidR="009D6B9C" w:rsidRPr="00B330F2">
        <w:rPr>
          <w:rFonts w:ascii="Times New Roman" w:hAnsi="Times New Roman" w:cs="Times New Roman"/>
          <w:bCs/>
          <w:sz w:val="24"/>
          <w:szCs w:val="24"/>
          <w:lang w:val="lt-LT"/>
        </w:rPr>
        <w:t>114,3500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4822AF4" w14:textId="3784FCA3" w:rsidR="00CE795E" w:rsidRPr="00ED31FD" w:rsidRDefault="00F71EB3" w:rsidP="00ED31FD">
      <w:pPr>
        <w:pStyle w:val="Sraopastraipa"/>
        <w:numPr>
          <w:ilvl w:val="0"/>
          <w:numId w:val="8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Atsižvelgiant į Susitarimo 1 p. atliktus Finansinio veiklos modelio pakeitimus </w:t>
      </w:r>
      <w:r w:rsidR="009D6B9C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nauja </w:t>
      </w:r>
      <w:r w:rsidR="00F8403F" w:rsidRPr="00B330F2">
        <w:rPr>
          <w:rFonts w:ascii="Times New Roman" w:hAnsi="Times New Roman" w:cs="Times New Roman"/>
          <w:sz w:val="24"/>
          <w:szCs w:val="24"/>
          <w:lang w:val="lt-LT"/>
        </w:rPr>
        <w:t>metinė Atlygio suma</w:t>
      </w:r>
      <w:r w:rsidR="001552FF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sudaro </w:t>
      </w:r>
      <w:r w:rsidR="009D6B9C" w:rsidRPr="00ED31FD">
        <w:rPr>
          <w:rFonts w:ascii="Times New Roman" w:eastAsiaTheme="minorEastAsia" w:hAnsi="Times New Roman" w:cs="Times New Roman"/>
          <w:sz w:val="24"/>
          <w:szCs w:val="24"/>
          <w:lang w:val="lt-LT"/>
        </w:rPr>
        <w:t>1 </w:t>
      </w:r>
      <w:r w:rsidR="009653A9" w:rsidRPr="00ED31FD">
        <w:rPr>
          <w:rFonts w:ascii="Times New Roman" w:eastAsiaTheme="minorEastAsia" w:hAnsi="Times New Roman" w:cs="Times New Roman"/>
          <w:sz w:val="24"/>
          <w:szCs w:val="24"/>
          <w:lang w:val="lt-LT"/>
        </w:rPr>
        <w:t>404</w:t>
      </w:r>
      <w:r w:rsidR="009D6B9C" w:rsidRPr="00ED31FD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 000 </w:t>
      </w:r>
      <w:r w:rsidR="001552FF" w:rsidRPr="00ED31FD">
        <w:rPr>
          <w:rFonts w:ascii="Times New Roman" w:eastAsiaTheme="minorEastAsia" w:hAnsi="Times New Roman" w:cs="Times New Roman"/>
          <w:sz w:val="24"/>
          <w:szCs w:val="24"/>
          <w:lang w:val="lt-LT"/>
        </w:rPr>
        <w:t xml:space="preserve"> EUR be PVM</w:t>
      </w:r>
      <w:r w:rsidR="001552FF" w:rsidRPr="00B330F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3E37032" w14:textId="45228012" w:rsidR="001A7B76" w:rsidRPr="00ED31FD" w:rsidRDefault="009653A9" w:rsidP="00ED31FD">
      <w:pPr>
        <w:pStyle w:val="Sraopastraipa"/>
        <w:numPr>
          <w:ilvl w:val="0"/>
          <w:numId w:val="8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Šalys susitaria, kad jei </w:t>
      </w:r>
      <w:r w:rsidR="00B51243" w:rsidRPr="00B330F2">
        <w:rPr>
          <w:rFonts w:ascii="Times New Roman" w:hAnsi="Times New Roman" w:cs="Times New Roman"/>
          <w:sz w:val="24"/>
          <w:szCs w:val="24"/>
          <w:lang w:val="lt-LT"/>
        </w:rPr>
        <w:t>Paslaugų teikimo laikotarpiu Koncesininko</w:t>
      </w:r>
      <w:r w:rsidR="00CB0C2F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bet kur</w:t>
      </w:r>
      <w:r w:rsidR="00976C33" w:rsidRPr="00B330F2">
        <w:rPr>
          <w:rFonts w:ascii="Times New Roman" w:hAnsi="Times New Roman" w:cs="Times New Roman"/>
          <w:sz w:val="24"/>
          <w:szCs w:val="24"/>
          <w:lang w:val="lt-LT"/>
        </w:rPr>
        <w:t>į mėnesį</w:t>
      </w:r>
      <w:r w:rsidR="00CB0C2F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51243" w:rsidRPr="00B330F2">
        <w:rPr>
          <w:rFonts w:ascii="Times New Roman" w:hAnsi="Times New Roman" w:cs="Times New Roman"/>
          <w:sz w:val="24"/>
          <w:szCs w:val="24"/>
          <w:lang w:val="lt-LT"/>
        </w:rPr>
        <w:t>patirta</w:t>
      </w:r>
      <w:r w:rsidR="00CB0C2F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m</w:t>
      </w:r>
      <w:r w:rsidR="00976C33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ėnesinė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faktin</w:t>
      </w:r>
      <w:r w:rsidR="00B51243" w:rsidRPr="00B330F2">
        <w:rPr>
          <w:rFonts w:ascii="Times New Roman" w:hAnsi="Times New Roman" w:cs="Times New Roman"/>
          <w:sz w:val="24"/>
          <w:szCs w:val="24"/>
          <w:lang w:val="lt-LT"/>
        </w:rPr>
        <w:t>ių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energetikos sąnaud</w:t>
      </w:r>
      <w:r w:rsidR="00B51243" w:rsidRPr="00B330F2">
        <w:rPr>
          <w:rFonts w:ascii="Times New Roman" w:hAnsi="Times New Roman" w:cs="Times New Roman"/>
          <w:sz w:val="24"/>
          <w:szCs w:val="24"/>
          <w:lang w:val="lt-LT"/>
        </w:rPr>
        <w:t>ų suma</w:t>
      </w:r>
      <w:r w:rsidR="007D5E6C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bus didesnė, nei Atnaujintame FVM nurodyta</w:t>
      </w:r>
      <w:r w:rsidR="00CB0C2F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metinė</w:t>
      </w:r>
      <w:r w:rsidR="00B51243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energetikos </w:t>
      </w:r>
      <w:r w:rsidR="00CB0C2F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(darbalaukis Sąnaudų prielaidos / A3) </w:t>
      </w:r>
      <w:r w:rsidR="00B51243" w:rsidRPr="00B330F2">
        <w:rPr>
          <w:rFonts w:ascii="Times New Roman" w:hAnsi="Times New Roman" w:cs="Times New Roman"/>
          <w:sz w:val="24"/>
          <w:szCs w:val="24"/>
          <w:lang w:val="lt-LT"/>
        </w:rPr>
        <w:t>sąnaudų suma</w:t>
      </w:r>
      <w:r w:rsidR="00CB0C2F" w:rsidRPr="00B330F2">
        <w:rPr>
          <w:rFonts w:ascii="Times New Roman" w:hAnsi="Times New Roman" w:cs="Times New Roman"/>
          <w:sz w:val="24"/>
          <w:szCs w:val="24"/>
          <w:lang w:val="lt-LT"/>
        </w:rPr>
        <w:t>, t.</w:t>
      </w:r>
      <w:r w:rsidR="00787E5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B0C2F" w:rsidRPr="00B330F2">
        <w:rPr>
          <w:rFonts w:ascii="Times New Roman" w:hAnsi="Times New Roman" w:cs="Times New Roman"/>
          <w:sz w:val="24"/>
          <w:szCs w:val="24"/>
          <w:lang w:val="lt-LT"/>
        </w:rPr>
        <w:t>y. 151 458,06 EUR be PVM</w:t>
      </w:r>
      <w:r w:rsidR="00976C33" w:rsidRPr="00B330F2">
        <w:rPr>
          <w:rFonts w:ascii="Times New Roman" w:hAnsi="Times New Roman" w:cs="Times New Roman"/>
          <w:sz w:val="24"/>
          <w:szCs w:val="24"/>
          <w:lang w:val="lt-LT"/>
        </w:rPr>
        <w:t>, padalina iš 12, t.</w:t>
      </w:r>
      <w:r w:rsidR="00ED31F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76C33" w:rsidRPr="00B330F2">
        <w:rPr>
          <w:rFonts w:ascii="Times New Roman" w:hAnsi="Times New Roman" w:cs="Times New Roman"/>
          <w:sz w:val="24"/>
          <w:szCs w:val="24"/>
          <w:lang w:val="lt-LT"/>
        </w:rPr>
        <w:t>y. 12 621,50 EUR</w:t>
      </w:r>
      <w:r w:rsidR="00B51243" w:rsidRPr="00B330F2">
        <w:rPr>
          <w:rFonts w:ascii="Times New Roman" w:hAnsi="Times New Roman" w:cs="Times New Roman"/>
          <w:sz w:val="24"/>
          <w:szCs w:val="24"/>
          <w:lang w:val="lt-LT"/>
        </w:rPr>
        <w:t>, Suteikiančioji institucija kompensuos Koncesininkui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51243" w:rsidRPr="00B330F2">
        <w:rPr>
          <w:rFonts w:ascii="Times New Roman" w:hAnsi="Times New Roman" w:cs="Times New Roman"/>
          <w:sz w:val="24"/>
          <w:szCs w:val="24"/>
          <w:lang w:val="lt-LT"/>
        </w:rPr>
        <w:t>susidariusį skirtumą</w:t>
      </w:r>
      <w:r w:rsidR="00EB52DC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EB52DC" w:rsidRPr="00B330F2">
        <w:rPr>
          <w:rFonts w:ascii="Times New Roman" w:hAnsi="Times New Roman" w:cs="Times New Roman"/>
          <w:b/>
          <w:bCs/>
          <w:sz w:val="24"/>
          <w:szCs w:val="24"/>
          <w:lang w:val="lt-LT"/>
        </w:rPr>
        <w:t>Skirtumo suma</w:t>
      </w:r>
      <w:r w:rsidR="00EB52DC" w:rsidRPr="00B330F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B51243" w:rsidRPr="00B330F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B52DC" w:rsidRPr="00B330F2">
        <w:rPr>
          <w:rFonts w:ascii="Times New Roman" w:hAnsi="Times New Roman" w:cs="Times New Roman"/>
          <w:sz w:val="24"/>
          <w:szCs w:val="24"/>
          <w:lang w:val="lt-LT"/>
        </w:rPr>
        <w:t>Skirtumo sumą</w:t>
      </w:r>
      <w:r w:rsidR="00CB0C2F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Koncesininkas, Paslaugų teikimo laikotarpiu, apskaičiuos kiekvieną mėnesį ir pateiks Suteikiančiajai institucijai atitinkamą sąskaitą-faktūrą apmokėjimui. </w:t>
      </w:r>
    </w:p>
    <w:p w14:paraId="31E60D78" w14:textId="313128C5" w:rsidR="009653A9" w:rsidRPr="00ED31FD" w:rsidRDefault="009C7183" w:rsidP="00ED31FD">
      <w:pPr>
        <w:pStyle w:val="Sraopastraipa"/>
        <w:numPr>
          <w:ilvl w:val="0"/>
          <w:numId w:val="8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Šalys susitaria, kad Suteikiančioji institucija kompensuos Koncesininko</w:t>
      </w:r>
      <w:r w:rsidR="00A250FE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pagal su Finansuotoju sudarytą finansavimo sutartį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Finansuotojui faktiškai sumok</w:t>
      </w:r>
      <w:r w:rsidR="00175586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ėtą </w:t>
      </w:r>
      <w:r w:rsidRPr="00B330F2">
        <w:rPr>
          <w:rFonts w:ascii="Times New Roman" w:hAnsi="Times New Roman" w:cs="Times New Roman"/>
          <w:sz w:val="24"/>
          <w:szCs w:val="24"/>
          <w:lang w:val="lt-LT"/>
        </w:rPr>
        <w:t>EURIBOR (ar kitą analogišką Finansuotojo taikomą kintamą tarpbankinių palūkanų normą)</w:t>
      </w:r>
      <w:r w:rsidR="00C55248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175586" w:rsidRPr="00B330F2">
        <w:rPr>
          <w:rFonts w:ascii="Times New Roman" w:hAnsi="Times New Roman" w:cs="Times New Roman"/>
          <w:sz w:val="24"/>
          <w:szCs w:val="24"/>
          <w:lang w:val="lt-LT"/>
        </w:rPr>
        <w:t>Koncesininkas kas mėnesį pateiks Suteikiančiajai institucijai informaciją apie atitinkamą mėnesį Finansuotojui sumokėtą bei sąskaitą-faktūrą EURIBOR kompensacijai sumokėti.</w:t>
      </w:r>
    </w:p>
    <w:p w14:paraId="68255642" w14:textId="65E26595" w:rsidR="009C0E2A" w:rsidRPr="00ED31FD" w:rsidRDefault="00D66498" w:rsidP="00ED31FD">
      <w:pPr>
        <w:pStyle w:val="Sraopastraipa"/>
        <w:numPr>
          <w:ilvl w:val="0"/>
          <w:numId w:val="8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Šalys </w:t>
      </w:r>
      <w:r w:rsidR="005E7128" w:rsidRPr="00B330F2">
        <w:rPr>
          <w:rFonts w:ascii="Times New Roman" w:hAnsi="Times New Roman" w:cs="Times New Roman"/>
          <w:sz w:val="24"/>
          <w:szCs w:val="24"/>
          <w:lang w:val="lt-LT"/>
        </w:rPr>
        <w:t>vykdydamos Sutartį vadovau</w:t>
      </w:r>
      <w:r w:rsidR="00CE795E" w:rsidRPr="00B330F2">
        <w:rPr>
          <w:rFonts w:ascii="Times New Roman" w:hAnsi="Times New Roman" w:cs="Times New Roman"/>
          <w:sz w:val="24"/>
          <w:szCs w:val="24"/>
          <w:lang w:val="lt-LT"/>
        </w:rPr>
        <w:t>sis</w:t>
      </w:r>
      <w:r w:rsidR="005E7128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E795E" w:rsidRPr="00B330F2">
        <w:rPr>
          <w:rFonts w:ascii="Times New Roman" w:hAnsi="Times New Roman" w:cs="Times New Roman"/>
          <w:sz w:val="24"/>
          <w:szCs w:val="24"/>
          <w:lang w:val="lt-LT"/>
        </w:rPr>
        <w:t>Atnaujintu FVM ir jame</w:t>
      </w:r>
      <w:r w:rsidR="005E7128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nurodytais duomenimis, įskaitant, bet neapsiribojant, </w:t>
      </w:r>
      <w:r w:rsidR="00CE795E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Atnaujintame FVM nurodytą </w:t>
      </w:r>
      <w:r w:rsidR="005E7128" w:rsidRPr="00B330F2">
        <w:rPr>
          <w:rFonts w:ascii="Times New Roman" w:hAnsi="Times New Roman" w:cs="Times New Roman"/>
          <w:sz w:val="24"/>
          <w:szCs w:val="24"/>
          <w:lang w:val="lt-LT"/>
        </w:rPr>
        <w:t>Sutarties kainos (Atlygio) dydį.</w:t>
      </w:r>
      <w:r w:rsidR="00CE795E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F29F632" w14:textId="47575ED9" w:rsidR="009C0E2A" w:rsidRPr="00B330F2" w:rsidRDefault="009C0E2A" w:rsidP="00ED31FD">
      <w:pPr>
        <w:pStyle w:val="Sraopastraipa"/>
        <w:numPr>
          <w:ilvl w:val="0"/>
          <w:numId w:val="8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nuostatos lieka galioti ir taikomos tokia apimtimi, kiek jos nėra pakeistos šiuo Susitarimu. Susitarimas sudaro neatskiriamą Sutarties dalį.</w:t>
      </w:r>
      <w:r w:rsidR="00B51243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 Esant neatitikimams tarp šio Susitarimo, įskaitant Atnaujintą FVM, nuostatų ir kitų Sutarties, tame tarpe ir bet kurio Sutarties priedo, nuostatų, viršenybę turės šio Susitarimo, įskaitant </w:t>
      </w:r>
      <w:r w:rsidR="00171484" w:rsidRPr="00B330F2">
        <w:rPr>
          <w:rFonts w:ascii="Times New Roman" w:hAnsi="Times New Roman" w:cs="Times New Roman"/>
          <w:sz w:val="24"/>
          <w:szCs w:val="24"/>
          <w:lang w:val="lt-LT"/>
        </w:rPr>
        <w:t xml:space="preserve">Atnaujinto </w:t>
      </w:r>
      <w:r w:rsidR="00B51243" w:rsidRPr="00B330F2">
        <w:rPr>
          <w:rFonts w:ascii="Times New Roman" w:hAnsi="Times New Roman" w:cs="Times New Roman"/>
          <w:sz w:val="24"/>
          <w:szCs w:val="24"/>
          <w:lang w:val="lt-LT"/>
        </w:rPr>
        <w:t>FVM, nuostatos.</w:t>
      </w:r>
    </w:p>
    <w:p w14:paraId="7CDAFED3" w14:textId="1E2631BA" w:rsidR="009C0E2A" w:rsidRPr="00ED31FD" w:rsidRDefault="009C0E2A" w:rsidP="00ED31FD">
      <w:pPr>
        <w:pStyle w:val="Sraopastraipa"/>
        <w:numPr>
          <w:ilvl w:val="0"/>
          <w:numId w:val="8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>Šiame Susitarime vartojamos sąvokos atitinka Sutartyje vartojamas sąvokas, išskyrus atvejus, kai tai aiškiai numatyta šiame Susitarime.</w:t>
      </w:r>
    </w:p>
    <w:p w14:paraId="0CE2ED64" w14:textId="4743303A" w:rsidR="009C0E2A" w:rsidRPr="00ED31FD" w:rsidRDefault="009C0E2A" w:rsidP="00ED31FD">
      <w:pPr>
        <w:pStyle w:val="Sraopastraipa"/>
        <w:numPr>
          <w:ilvl w:val="0"/>
          <w:numId w:val="8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>Susitarimas įsigalioja jo pasirašymo dieną.</w:t>
      </w:r>
    </w:p>
    <w:p w14:paraId="50621B9F" w14:textId="78B9C26F" w:rsidR="009C0E2A" w:rsidRPr="00B330F2" w:rsidRDefault="009C0E2A" w:rsidP="00ED31FD">
      <w:pPr>
        <w:pStyle w:val="Sraopastraipa"/>
        <w:numPr>
          <w:ilvl w:val="0"/>
          <w:numId w:val="8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sz w:val="24"/>
          <w:szCs w:val="24"/>
          <w:lang w:val="lt-LT"/>
        </w:rPr>
        <w:t>Susitarimas sudarytas jį Šalims pasirašant kvalifikuotais elektroniniais parašais.</w:t>
      </w:r>
    </w:p>
    <w:p w14:paraId="7B52F36E" w14:textId="77777777" w:rsidR="00CE795E" w:rsidRPr="00B330F2" w:rsidRDefault="00CE795E" w:rsidP="00ED31FD">
      <w:pPr>
        <w:pStyle w:val="Sraopastraipa"/>
        <w:spacing w:after="0" w:line="276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9C5A77F" w14:textId="0D3FDD9B" w:rsidR="00DF1B51" w:rsidRPr="00B330F2" w:rsidRDefault="002C56CD" w:rsidP="00ED31FD">
      <w:pPr>
        <w:shd w:val="clear" w:color="auto" w:fill="FFFFFF"/>
        <w:tabs>
          <w:tab w:val="left" w:pos="1649"/>
        </w:tabs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Prieda</w:t>
      </w:r>
      <w:r w:rsidR="00A847B3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s</w:t>
      </w:r>
      <w:r w:rsidRPr="00B330F2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:</w:t>
      </w:r>
      <w:r w:rsidR="00CE795E" w:rsidRPr="00B330F2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ED31FD">
        <w:rPr>
          <w:rFonts w:ascii="Times New Roman" w:hAnsi="Times New Roman" w:cs="Times New Roman"/>
          <w:color w:val="000000"/>
          <w:sz w:val="24"/>
          <w:szCs w:val="24"/>
          <w:lang w:val="lt-LT"/>
        </w:rPr>
        <w:t>Atnaujintas Finansinės veiklos modelis</w:t>
      </w:r>
      <w:r w:rsidR="00CE795E" w:rsidRPr="00B330F2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3A964892" w14:textId="28CC756A" w:rsidR="00175586" w:rsidRPr="00B330F2" w:rsidRDefault="00175586" w:rsidP="00ED31FD">
      <w:pPr>
        <w:shd w:val="clear" w:color="auto" w:fill="FFFFFF"/>
        <w:tabs>
          <w:tab w:val="left" w:pos="1649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</w:p>
    <w:p w14:paraId="3EB77DB1" w14:textId="19465778" w:rsidR="00960CA5" w:rsidRPr="00B330F2" w:rsidRDefault="00960CA5" w:rsidP="00ED31FD">
      <w:pPr>
        <w:shd w:val="clear" w:color="auto" w:fill="FFFFFF"/>
        <w:tabs>
          <w:tab w:val="left" w:pos="1649"/>
        </w:tabs>
        <w:spacing w:after="0"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  <w:r w:rsidRPr="00B330F2"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  <w:t>Šalių atstovai, pasirašantys Susitarimą kvalifikuotais elektroniniais parašais:</w:t>
      </w:r>
    </w:p>
    <w:p w14:paraId="205DBEE0" w14:textId="77777777" w:rsidR="009B56E4" w:rsidRPr="00B330F2" w:rsidRDefault="009B56E4" w:rsidP="00DC63D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7706D78" w14:textId="77777777" w:rsidR="00AB4846" w:rsidRPr="00B330F2" w:rsidRDefault="00AB4846" w:rsidP="00DC63DC">
      <w:pPr>
        <w:shd w:val="clear" w:color="auto" w:fill="FFFFFF"/>
        <w:tabs>
          <w:tab w:val="left" w:pos="1649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lt-LT"/>
        </w:rPr>
      </w:pPr>
    </w:p>
    <w:tbl>
      <w:tblPr>
        <w:tblStyle w:val="Lentelstinklelis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5"/>
        <w:gridCol w:w="4765"/>
      </w:tblGrid>
      <w:tr w:rsidR="00AB4846" w:rsidRPr="00B330F2" w14:paraId="7A412B14" w14:textId="77777777" w:rsidTr="006A1D44">
        <w:tc>
          <w:tcPr>
            <w:tcW w:w="4500" w:type="dxa"/>
          </w:tcPr>
          <w:p w14:paraId="3F24631E" w14:textId="2ABD375E" w:rsidR="00AB4846" w:rsidRPr="00B330F2" w:rsidRDefault="001552FF" w:rsidP="00ED31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330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Suteikiančiosios institucijos</w:t>
            </w:r>
            <w:r w:rsidR="00AB4846" w:rsidRPr="00B330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vardu pasirašo:</w:t>
            </w:r>
          </w:p>
          <w:p w14:paraId="533FBF89" w14:textId="77777777" w:rsidR="00AB4846" w:rsidRPr="00B330F2" w:rsidRDefault="00AB4846" w:rsidP="00DC63DC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FA3CD4D" w14:textId="78CE43EE" w:rsidR="00AB4846" w:rsidRPr="00B330F2" w:rsidRDefault="001552FF" w:rsidP="00ED31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0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Administracijos direktorius</w:t>
            </w:r>
          </w:p>
          <w:p w14:paraId="5A07D757" w14:textId="3B8AE098" w:rsidR="00AB4846" w:rsidRPr="00B330F2" w:rsidRDefault="00AB4846" w:rsidP="00DC63DC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5" w:type="dxa"/>
          </w:tcPr>
          <w:p w14:paraId="79DD12AC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765" w:type="dxa"/>
          </w:tcPr>
          <w:p w14:paraId="31224A2B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B842CDD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B9DA92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925CD49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0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___________________________</w:t>
            </w:r>
          </w:p>
        </w:tc>
      </w:tr>
      <w:tr w:rsidR="00AB4846" w:rsidRPr="00B330F2" w14:paraId="6432912F" w14:textId="77777777" w:rsidTr="006A1D44">
        <w:tc>
          <w:tcPr>
            <w:tcW w:w="4500" w:type="dxa"/>
          </w:tcPr>
          <w:p w14:paraId="311E9BFF" w14:textId="77777777" w:rsidR="00AB4846" w:rsidRPr="00B330F2" w:rsidRDefault="00AB4846" w:rsidP="00DC63DC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5" w:type="dxa"/>
          </w:tcPr>
          <w:p w14:paraId="7E5357AE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765" w:type="dxa"/>
          </w:tcPr>
          <w:p w14:paraId="5E57AA71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B4846" w:rsidRPr="00B330F2" w14:paraId="422F0700" w14:textId="77777777" w:rsidTr="006A1D44">
        <w:tc>
          <w:tcPr>
            <w:tcW w:w="4500" w:type="dxa"/>
          </w:tcPr>
          <w:p w14:paraId="02F893A4" w14:textId="77777777" w:rsidR="00AB4846" w:rsidRPr="00B330F2" w:rsidRDefault="00AB4846" w:rsidP="00DC63DC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544ACB5" w14:textId="77777777" w:rsidR="00AB4846" w:rsidRPr="00B330F2" w:rsidRDefault="00AB4846" w:rsidP="00ED31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330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Investuotojo vardu pasirašo:</w:t>
            </w:r>
          </w:p>
          <w:p w14:paraId="1EC030D7" w14:textId="77777777" w:rsidR="00AB4846" w:rsidRPr="00B330F2" w:rsidRDefault="00AB4846" w:rsidP="00DC63DC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8AC7C6" w14:textId="54D19C60" w:rsidR="00D748C1" w:rsidRPr="00B330F2" w:rsidRDefault="00D748C1" w:rsidP="00ED31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330F2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UAB</w:t>
            </w:r>
            <w:r w:rsidRPr="00B330F2">
              <w:rPr>
                <w:rFonts w:ascii="Times New Roman" w:hAnsi="Times New Roman" w:cs="Times New Roman"/>
                <w:bCs/>
                <w:spacing w:val="20"/>
                <w:sz w:val="24"/>
                <w:szCs w:val="24"/>
                <w:lang w:val="de-DE"/>
              </w:rPr>
              <w:t xml:space="preserve"> </w:t>
            </w:r>
            <w:r w:rsidRPr="00B330F2">
              <w:rPr>
                <w:rFonts w:ascii="Times New Roman" w:hAnsi="Times New Roman" w:cs="Times New Roman"/>
                <w:bCs/>
                <w:w w:val="101"/>
                <w:sz w:val="24"/>
                <w:szCs w:val="24"/>
                <w:lang w:val="de-DE"/>
              </w:rPr>
              <w:t xml:space="preserve">„Partnerystės projektai </w:t>
            </w:r>
            <w:r w:rsidR="001552FF" w:rsidRPr="00B330F2">
              <w:rPr>
                <w:rFonts w:ascii="Times New Roman" w:hAnsi="Times New Roman" w:cs="Times New Roman"/>
                <w:bCs/>
                <w:w w:val="101"/>
                <w:sz w:val="24"/>
                <w:szCs w:val="24"/>
                <w:lang w:val="de-DE"/>
              </w:rPr>
              <w:t>septyni</w:t>
            </w:r>
            <w:r w:rsidRPr="00B330F2">
              <w:rPr>
                <w:rFonts w:ascii="Times New Roman" w:hAnsi="Times New Roman" w:cs="Times New Roman"/>
                <w:bCs/>
                <w:w w:val="101"/>
                <w:sz w:val="24"/>
                <w:szCs w:val="24"/>
                <w:lang w:val="de-DE"/>
              </w:rPr>
              <w:t>“</w:t>
            </w:r>
            <w:r w:rsidRPr="00B330F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direktorius</w:t>
            </w:r>
          </w:p>
          <w:p w14:paraId="5D7125C0" w14:textId="1EEE8C25" w:rsidR="00D748C1" w:rsidRPr="00B330F2" w:rsidRDefault="00D748C1" w:rsidP="00ED31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0F2">
              <w:rPr>
                <w:rFonts w:ascii="Times New Roman" w:hAnsi="Times New Roman" w:cs="Times New Roman"/>
                <w:sz w:val="24"/>
                <w:szCs w:val="24"/>
              </w:rPr>
              <w:t>Artūras Klangauskas</w:t>
            </w:r>
          </w:p>
          <w:p w14:paraId="4E1E6685" w14:textId="77777777" w:rsidR="00AB4846" w:rsidRPr="00B330F2" w:rsidRDefault="00AB4846" w:rsidP="00DC63DC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5" w:type="dxa"/>
          </w:tcPr>
          <w:p w14:paraId="7F4FE1EA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765" w:type="dxa"/>
          </w:tcPr>
          <w:p w14:paraId="6DA62B30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AD3BA17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796BC54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CC3B04A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A4EF58C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0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__________________________</w:t>
            </w:r>
          </w:p>
        </w:tc>
      </w:tr>
      <w:tr w:rsidR="00AB4846" w:rsidRPr="00B330F2" w14:paraId="6521ABD6" w14:textId="77777777" w:rsidTr="006A1D44">
        <w:tc>
          <w:tcPr>
            <w:tcW w:w="4500" w:type="dxa"/>
          </w:tcPr>
          <w:p w14:paraId="212C70AE" w14:textId="77777777" w:rsidR="00AB4846" w:rsidRPr="00B330F2" w:rsidRDefault="00AB4846" w:rsidP="00DC63DC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5" w:type="dxa"/>
          </w:tcPr>
          <w:p w14:paraId="40EB8958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765" w:type="dxa"/>
          </w:tcPr>
          <w:p w14:paraId="2700CF69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B4846" w:rsidRPr="00B330F2" w14:paraId="6C0D65BD" w14:textId="77777777" w:rsidTr="006A1D44">
        <w:tc>
          <w:tcPr>
            <w:tcW w:w="4500" w:type="dxa"/>
          </w:tcPr>
          <w:p w14:paraId="7DC27F43" w14:textId="11DCD78C" w:rsidR="00AB4846" w:rsidRPr="00B330F2" w:rsidRDefault="001552FF" w:rsidP="00ED31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330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Koncesininko</w:t>
            </w:r>
            <w:r w:rsidR="00AB4846" w:rsidRPr="00B330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vardu pasirašo:</w:t>
            </w:r>
          </w:p>
          <w:p w14:paraId="299929A6" w14:textId="77777777" w:rsidR="00AB4846" w:rsidRPr="00B330F2" w:rsidRDefault="00AB4846" w:rsidP="00DC63DC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3DF85F7" w14:textId="495FD333" w:rsidR="00AB4846" w:rsidRPr="00B330F2" w:rsidRDefault="008D2ECA" w:rsidP="00ED31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0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r w:rsidR="001552FF" w:rsidRPr="00B330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3P Projektai</w:t>
            </w:r>
            <w:r w:rsidRPr="00B330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direktorius</w:t>
            </w:r>
          </w:p>
          <w:p w14:paraId="7A30A4B7" w14:textId="0ED6BEA7" w:rsidR="008D2ECA" w:rsidRPr="00B330F2" w:rsidRDefault="008D2ECA" w:rsidP="00ED31F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0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Artūras Klangauskas</w:t>
            </w:r>
          </w:p>
          <w:p w14:paraId="61234B91" w14:textId="77777777" w:rsidR="00AB4846" w:rsidRPr="00B330F2" w:rsidRDefault="00AB4846" w:rsidP="00DC63DC">
            <w:pPr>
              <w:spacing w:line="276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5" w:type="dxa"/>
          </w:tcPr>
          <w:p w14:paraId="2216D6D0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765" w:type="dxa"/>
          </w:tcPr>
          <w:p w14:paraId="613BBAEF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B7F46B4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C84619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710D6CE" w14:textId="77777777" w:rsidR="00AB4846" w:rsidRPr="00B330F2" w:rsidRDefault="00AB4846" w:rsidP="00DC63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330F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__________________________</w:t>
            </w:r>
          </w:p>
        </w:tc>
      </w:tr>
    </w:tbl>
    <w:p w14:paraId="5904F9BF" w14:textId="77777777" w:rsidR="009B52E2" w:rsidRPr="00B330F2" w:rsidRDefault="009B52E2" w:rsidP="00DC63D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sectPr w:rsidR="009B52E2" w:rsidRPr="00B330F2" w:rsidSect="00B330F2">
      <w:headerReference w:type="default" r:id="rId8"/>
      <w:footerReference w:type="default" r:id="rId9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6B1E5" w14:textId="77777777" w:rsidR="0035020B" w:rsidRDefault="0035020B" w:rsidP="005B748B">
      <w:pPr>
        <w:spacing w:after="0" w:line="240" w:lineRule="auto"/>
      </w:pPr>
      <w:r>
        <w:separator/>
      </w:r>
    </w:p>
  </w:endnote>
  <w:endnote w:type="continuationSeparator" w:id="0">
    <w:p w14:paraId="6158B568" w14:textId="77777777" w:rsidR="0035020B" w:rsidRDefault="0035020B" w:rsidP="005B748B">
      <w:pPr>
        <w:spacing w:after="0" w:line="240" w:lineRule="auto"/>
      </w:pPr>
      <w:r>
        <w:continuationSeparator/>
      </w:r>
    </w:p>
  </w:endnote>
  <w:endnote w:type="continuationNotice" w:id="1">
    <w:p w14:paraId="27C0ACD4" w14:textId="77777777" w:rsidR="0035020B" w:rsidRDefault="003502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3681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4E37B" w14:textId="251556FC" w:rsidR="00927247" w:rsidRDefault="00927247" w:rsidP="005B748B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A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B15EA" w14:textId="77777777" w:rsidR="0035020B" w:rsidRDefault="0035020B" w:rsidP="005B748B">
      <w:pPr>
        <w:spacing w:after="0" w:line="240" w:lineRule="auto"/>
      </w:pPr>
      <w:r>
        <w:separator/>
      </w:r>
    </w:p>
  </w:footnote>
  <w:footnote w:type="continuationSeparator" w:id="0">
    <w:p w14:paraId="6936B57F" w14:textId="77777777" w:rsidR="0035020B" w:rsidRDefault="0035020B" w:rsidP="005B748B">
      <w:pPr>
        <w:spacing w:after="0" w:line="240" w:lineRule="auto"/>
      </w:pPr>
      <w:r>
        <w:continuationSeparator/>
      </w:r>
    </w:p>
  </w:footnote>
  <w:footnote w:type="continuationNotice" w:id="1">
    <w:p w14:paraId="3DF2A946" w14:textId="77777777" w:rsidR="0035020B" w:rsidRDefault="003502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00812" w14:textId="105F9C62" w:rsidR="00B330F2" w:rsidRPr="00B330F2" w:rsidRDefault="00B330F2" w:rsidP="00B330F2">
    <w:pPr>
      <w:pStyle w:val="Antrats"/>
      <w:jc w:val="right"/>
      <w:rPr>
        <w:rFonts w:ascii="Times New Roman" w:hAnsi="Times New Roman" w:cs="Times New Roman"/>
        <w:sz w:val="24"/>
        <w:szCs w:val="24"/>
        <w:lang w:val="lt-LT"/>
      </w:rPr>
    </w:pPr>
    <w:r w:rsidRPr="00B330F2">
      <w:rPr>
        <w:rFonts w:ascii="Times New Roman" w:hAnsi="Times New Roman" w:cs="Times New Roman"/>
        <w:sz w:val="24"/>
        <w:szCs w:val="24"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1DD"/>
    <w:multiLevelType w:val="hybridMultilevel"/>
    <w:tmpl w:val="C448B6EE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BBF4512"/>
    <w:multiLevelType w:val="hybridMultilevel"/>
    <w:tmpl w:val="EFE0F478"/>
    <w:lvl w:ilvl="0" w:tplc="C8305DFC">
      <w:start w:val="55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6802"/>
    <w:multiLevelType w:val="multilevel"/>
    <w:tmpl w:val="4322C6D8"/>
    <w:lvl w:ilvl="0">
      <w:start w:val="4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9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044AEC"/>
    <w:multiLevelType w:val="multilevel"/>
    <w:tmpl w:val="CAF0CCC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7F00FD"/>
    <w:multiLevelType w:val="multilevel"/>
    <w:tmpl w:val="31727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5237650"/>
    <w:multiLevelType w:val="multilevel"/>
    <w:tmpl w:val="787EE468"/>
    <w:lvl w:ilvl="0">
      <w:start w:val="4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460FC8"/>
    <w:multiLevelType w:val="hybridMultilevel"/>
    <w:tmpl w:val="FC3C3E82"/>
    <w:lvl w:ilvl="0" w:tplc="D0087B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178C4"/>
    <w:multiLevelType w:val="hybridMultilevel"/>
    <w:tmpl w:val="B8E0F818"/>
    <w:lvl w:ilvl="0" w:tplc="1AA2FCAA">
      <w:start w:val="57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53DA7"/>
    <w:multiLevelType w:val="hybridMultilevel"/>
    <w:tmpl w:val="C5EC880A"/>
    <w:lvl w:ilvl="0" w:tplc="ADAE84F8">
      <w:start w:val="1"/>
      <w:numFmt w:val="decimal"/>
      <w:lvlText w:val="%1.2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1711C"/>
    <w:multiLevelType w:val="multilevel"/>
    <w:tmpl w:val="8AD48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3"/>
      <w:numFmt w:val="none"/>
      <w:lvlText w:val="2.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DC5A89"/>
    <w:multiLevelType w:val="hybridMultilevel"/>
    <w:tmpl w:val="0AA0D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40A6F"/>
    <w:multiLevelType w:val="hybridMultilevel"/>
    <w:tmpl w:val="E19E202C"/>
    <w:lvl w:ilvl="0" w:tplc="EB3E5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72BB1"/>
    <w:multiLevelType w:val="hybridMultilevel"/>
    <w:tmpl w:val="BBB0E0FE"/>
    <w:lvl w:ilvl="0" w:tplc="F378EEC4">
      <w:start w:val="49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41598"/>
    <w:multiLevelType w:val="hybridMultilevel"/>
    <w:tmpl w:val="FB8CB93C"/>
    <w:lvl w:ilvl="0" w:tplc="769A6804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5093F"/>
    <w:multiLevelType w:val="hybridMultilevel"/>
    <w:tmpl w:val="ADE6DF08"/>
    <w:lvl w:ilvl="0" w:tplc="7728D108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pStyle w:val="Antra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AEB"/>
    <w:multiLevelType w:val="multilevel"/>
    <w:tmpl w:val="9BACC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D63F53"/>
    <w:multiLevelType w:val="hybridMultilevel"/>
    <w:tmpl w:val="502E6FD2"/>
    <w:lvl w:ilvl="0" w:tplc="D756815E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12BF0"/>
    <w:multiLevelType w:val="multilevel"/>
    <w:tmpl w:val="BA4A45A6"/>
    <w:styleLink w:val="WWNum1"/>
    <w:lvl w:ilvl="0">
      <w:start w:val="1"/>
      <w:numFmt w:val="decimal"/>
      <w:lvlText w:val="%1"/>
      <w:lvlJc w:val="left"/>
      <w:pPr>
        <w:ind w:left="1210" w:hanging="360"/>
      </w:pPr>
    </w:lvl>
    <w:lvl w:ilvl="1">
      <w:start w:val="1"/>
      <w:numFmt w:val="lowerLetter"/>
      <w:lvlText w:val="%1.%2"/>
      <w:lvlJc w:val="left"/>
      <w:pPr>
        <w:ind w:left="1930" w:hanging="360"/>
      </w:pPr>
    </w:lvl>
    <w:lvl w:ilvl="2">
      <w:start w:val="1"/>
      <w:numFmt w:val="lowerRoman"/>
      <w:lvlText w:val="%1.%2.%3"/>
      <w:lvlJc w:val="right"/>
      <w:pPr>
        <w:ind w:left="2650" w:hanging="180"/>
      </w:pPr>
    </w:lvl>
    <w:lvl w:ilvl="3">
      <w:start w:val="1"/>
      <w:numFmt w:val="decimal"/>
      <w:lvlText w:val="%1.%2.%3.%4"/>
      <w:lvlJc w:val="left"/>
      <w:pPr>
        <w:ind w:left="3370" w:hanging="360"/>
      </w:pPr>
    </w:lvl>
    <w:lvl w:ilvl="4">
      <w:start w:val="1"/>
      <w:numFmt w:val="lowerLetter"/>
      <w:lvlText w:val="%1.%2.%3.%4.%5"/>
      <w:lvlJc w:val="left"/>
      <w:pPr>
        <w:ind w:left="4090" w:hanging="360"/>
      </w:pPr>
    </w:lvl>
    <w:lvl w:ilvl="5">
      <w:start w:val="1"/>
      <w:numFmt w:val="lowerRoman"/>
      <w:lvlText w:val="%1.%2.%3.%4.%5.%6"/>
      <w:lvlJc w:val="right"/>
      <w:pPr>
        <w:ind w:left="4810" w:hanging="180"/>
      </w:pPr>
    </w:lvl>
    <w:lvl w:ilvl="6">
      <w:start w:val="1"/>
      <w:numFmt w:val="decimal"/>
      <w:lvlText w:val="%1.%2.%3.%4.%5.%6.%7"/>
      <w:lvlJc w:val="left"/>
      <w:pPr>
        <w:ind w:left="5530" w:hanging="360"/>
      </w:pPr>
    </w:lvl>
    <w:lvl w:ilvl="7">
      <w:start w:val="1"/>
      <w:numFmt w:val="lowerLetter"/>
      <w:lvlText w:val="%1.%2.%3.%4.%5.%6.%7.%8"/>
      <w:lvlJc w:val="left"/>
      <w:pPr>
        <w:ind w:left="6250" w:hanging="360"/>
      </w:pPr>
    </w:lvl>
    <w:lvl w:ilvl="8">
      <w:start w:val="1"/>
      <w:numFmt w:val="lowerRoman"/>
      <w:lvlText w:val="%1.%2.%3.%4.%5.%6.%7.%8.%9"/>
      <w:lvlJc w:val="right"/>
      <w:pPr>
        <w:ind w:left="6970" w:hanging="180"/>
      </w:pPr>
    </w:lvl>
  </w:abstractNum>
  <w:abstractNum w:abstractNumId="18" w15:restartNumberingAfterBreak="0">
    <w:nsid w:val="5C963D7C"/>
    <w:multiLevelType w:val="hybridMultilevel"/>
    <w:tmpl w:val="D136AF5A"/>
    <w:lvl w:ilvl="0" w:tplc="9424D174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35131"/>
    <w:multiLevelType w:val="hybridMultilevel"/>
    <w:tmpl w:val="6F78C6B4"/>
    <w:lvl w:ilvl="0" w:tplc="21CCD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3586D"/>
    <w:multiLevelType w:val="multilevel"/>
    <w:tmpl w:val="CAF0CCC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91A223A"/>
    <w:multiLevelType w:val="multilevel"/>
    <w:tmpl w:val="EE5E4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3A687C"/>
    <w:multiLevelType w:val="hybridMultilevel"/>
    <w:tmpl w:val="A61AAED8"/>
    <w:lvl w:ilvl="0" w:tplc="5AA62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8"/>
  </w:num>
  <w:num w:numId="5">
    <w:abstractNumId w:val="13"/>
  </w:num>
  <w:num w:numId="6">
    <w:abstractNumId w:val="6"/>
  </w:num>
  <w:num w:numId="7">
    <w:abstractNumId w:val="3"/>
  </w:num>
  <w:num w:numId="8">
    <w:abstractNumId w:val="15"/>
  </w:num>
  <w:num w:numId="9">
    <w:abstractNumId w:val="11"/>
  </w:num>
  <w:num w:numId="10">
    <w:abstractNumId w:val="22"/>
  </w:num>
  <w:num w:numId="11">
    <w:abstractNumId w:val="0"/>
  </w:num>
  <w:num w:numId="12">
    <w:abstractNumId w:val="12"/>
  </w:num>
  <w:num w:numId="13">
    <w:abstractNumId w:val="20"/>
  </w:num>
  <w:num w:numId="14">
    <w:abstractNumId w:val="21"/>
  </w:num>
  <w:num w:numId="15">
    <w:abstractNumId w:val="17"/>
  </w:num>
  <w:num w:numId="16">
    <w:abstractNumId w:val="2"/>
  </w:num>
  <w:num w:numId="17">
    <w:abstractNumId w:val="7"/>
  </w:num>
  <w:num w:numId="18">
    <w:abstractNumId w:val="5"/>
  </w:num>
  <w:num w:numId="19">
    <w:abstractNumId w:val="9"/>
  </w:num>
  <w:num w:numId="20">
    <w:abstractNumId w:val="4"/>
  </w:num>
  <w:num w:numId="21">
    <w:abstractNumId w:val="1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revisionView w:inkAnnotations="0"/>
  <w:doNotTrackFormatting/>
  <w:defaultTabStop w:val="720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7F"/>
    <w:rsid w:val="000000C7"/>
    <w:rsid w:val="00002EF4"/>
    <w:rsid w:val="00003E6D"/>
    <w:rsid w:val="00005F82"/>
    <w:rsid w:val="00006058"/>
    <w:rsid w:val="00013543"/>
    <w:rsid w:val="00014594"/>
    <w:rsid w:val="00014D9E"/>
    <w:rsid w:val="00017653"/>
    <w:rsid w:val="00017B0A"/>
    <w:rsid w:val="00017BD1"/>
    <w:rsid w:val="00024C3D"/>
    <w:rsid w:val="00026C07"/>
    <w:rsid w:val="00032D10"/>
    <w:rsid w:val="000339F9"/>
    <w:rsid w:val="00037E96"/>
    <w:rsid w:val="00037F2C"/>
    <w:rsid w:val="0004093C"/>
    <w:rsid w:val="0004467A"/>
    <w:rsid w:val="000513A1"/>
    <w:rsid w:val="00056216"/>
    <w:rsid w:val="000569ED"/>
    <w:rsid w:val="00061789"/>
    <w:rsid w:val="000679FB"/>
    <w:rsid w:val="0007121D"/>
    <w:rsid w:val="000716E1"/>
    <w:rsid w:val="00085FD0"/>
    <w:rsid w:val="00094E4A"/>
    <w:rsid w:val="00096059"/>
    <w:rsid w:val="000A3043"/>
    <w:rsid w:val="000A33FB"/>
    <w:rsid w:val="000A3E83"/>
    <w:rsid w:val="000A572E"/>
    <w:rsid w:val="000B07B5"/>
    <w:rsid w:val="000B0D6E"/>
    <w:rsid w:val="000B0E88"/>
    <w:rsid w:val="000B25C7"/>
    <w:rsid w:val="000B3147"/>
    <w:rsid w:val="000B52D6"/>
    <w:rsid w:val="000B5BBF"/>
    <w:rsid w:val="000B5CB7"/>
    <w:rsid w:val="000B627F"/>
    <w:rsid w:val="000B7919"/>
    <w:rsid w:val="000C25B6"/>
    <w:rsid w:val="000C27EC"/>
    <w:rsid w:val="000C6F6C"/>
    <w:rsid w:val="000C7107"/>
    <w:rsid w:val="000D32F9"/>
    <w:rsid w:val="000E388E"/>
    <w:rsid w:val="000E4958"/>
    <w:rsid w:val="000E6A58"/>
    <w:rsid w:val="000F0BD6"/>
    <w:rsid w:val="000F0E92"/>
    <w:rsid w:val="000F13C0"/>
    <w:rsid w:val="000F2576"/>
    <w:rsid w:val="000F485E"/>
    <w:rsid w:val="000F4BE9"/>
    <w:rsid w:val="000F5BCB"/>
    <w:rsid w:val="000F6184"/>
    <w:rsid w:val="000F6FAE"/>
    <w:rsid w:val="000F7924"/>
    <w:rsid w:val="00100FC4"/>
    <w:rsid w:val="00101953"/>
    <w:rsid w:val="00101B95"/>
    <w:rsid w:val="00104A9F"/>
    <w:rsid w:val="00105F76"/>
    <w:rsid w:val="0011153B"/>
    <w:rsid w:val="00121371"/>
    <w:rsid w:val="00121A93"/>
    <w:rsid w:val="00123A9D"/>
    <w:rsid w:val="001242FB"/>
    <w:rsid w:val="00125919"/>
    <w:rsid w:val="00125B37"/>
    <w:rsid w:val="00131952"/>
    <w:rsid w:val="00132056"/>
    <w:rsid w:val="00134048"/>
    <w:rsid w:val="00136E2C"/>
    <w:rsid w:val="00140B3B"/>
    <w:rsid w:val="00143308"/>
    <w:rsid w:val="00146DDB"/>
    <w:rsid w:val="001525CB"/>
    <w:rsid w:val="001549DA"/>
    <w:rsid w:val="001552FF"/>
    <w:rsid w:val="00155FB9"/>
    <w:rsid w:val="00163CF1"/>
    <w:rsid w:val="00164953"/>
    <w:rsid w:val="001660B6"/>
    <w:rsid w:val="00166E8B"/>
    <w:rsid w:val="00171484"/>
    <w:rsid w:val="001715A6"/>
    <w:rsid w:val="00172C1D"/>
    <w:rsid w:val="00174844"/>
    <w:rsid w:val="00174E89"/>
    <w:rsid w:val="00175586"/>
    <w:rsid w:val="0017558C"/>
    <w:rsid w:val="00175AB7"/>
    <w:rsid w:val="00181271"/>
    <w:rsid w:val="00186C99"/>
    <w:rsid w:val="00190390"/>
    <w:rsid w:val="00192688"/>
    <w:rsid w:val="0019319D"/>
    <w:rsid w:val="00193863"/>
    <w:rsid w:val="00193904"/>
    <w:rsid w:val="00194C1F"/>
    <w:rsid w:val="00194C74"/>
    <w:rsid w:val="00196C4A"/>
    <w:rsid w:val="00197854"/>
    <w:rsid w:val="001A1EDD"/>
    <w:rsid w:val="001A55C2"/>
    <w:rsid w:val="001A5B81"/>
    <w:rsid w:val="001A6DA0"/>
    <w:rsid w:val="001A7B76"/>
    <w:rsid w:val="001B02E0"/>
    <w:rsid w:val="001B1050"/>
    <w:rsid w:val="001B1670"/>
    <w:rsid w:val="001B2442"/>
    <w:rsid w:val="001B2F02"/>
    <w:rsid w:val="001B4767"/>
    <w:rsid w:val="001B59C7"/>
    <w:rsid w:val="001B64F4"/>
    <w:rsid w:val="001B65A1"/>
    <w:rsid w:val="001B6EED"/>
    <w:rsid w:val="001B7252"/>
    <w:rsid w:val="001D21BF"/>
    <w:rsid w:val="001D3DD8"/>
    <w:rsid w:val="001D5817"/>
    <w:rsid w:val="001D7738"/>
    <w:rsid w:val="001E3DC1"/>
    <w:rsid w:val="001E60C6"/>
    <w:rsid w:val="001F1D19"/>
    <w:rsid w:val="001F2B0A"/>
    <w:rsid w:val="001F4DEC"/>
    <w:rsid w:val="001F4E1D"/>
    <w:rsid w:val="001F5059"/>
    <w:rsid w:val="001F59F5"/>
    <w:rsid w:val="001F6342"/>
    <w:rsid w:val="001F734F"/>
    <w:rsid w:val="0020552D"/>
    <w:rsid w:val="002062E8"/>
    <w:rsid w:val="002203E1"/>
    <w:rsid w:val="00221514"/>
    <w:rsid w:val="00230934"/>
    <w:rsid w:val="00233A81"/>
    <w:rsid w:val="002345EA"/>
    <w:rsid w:val="00234699"/>
    <w:rsid w:val="002350DC"/>
    <w:rsid w:val="00236209"/>
    <w:rsid w:val="0024067A"/>
    <w:rsid w:val="00241A50"/>
    <w:rsid w:val="00251F93"/>
    <w:rsid w:val="00252240"/>
    <w:rsid w:val="002531B2"/>
    <w:rsid w:val="002542DE"/>
    <w:rsid w:val="00256E4A"/>
    <w:rsid w:val="0025726B"/>
    <w:rsid w:val="0026482E"/>
    <w:rsid w:val="002648E3"/>
    <w:rsid w:val="00265AD1"/>
    <w:rsid w:val="00265F5D"/>
    <w:rsid w:val="0026702C"/>
    <w:rsid w:val="002704D4"/>
    <w:rsid w:val="00270704"/>
    <w:rsid w:val="00272A5C"/>
    <w:rsid w:val="00276796"/>
    <w:rsid w:val="002821F1"/>
    <w:rsid w:val="00283D18"/>
    <w:rsid w:val="0028537B"/>
    <w:rsid w:val="002853BE"/>
    <w:rsid w:val="00293763"/>
    <w:rsid w:val="00293A43"/>
    <w:rsid w:val="002960EC"/>
    <w:rsid w:val="00297B06"/>
    <w:rsid w:val="00297D44"/>
    <w:rsid w:val="002A6F10"/>
    <w:rsid w:val="002B18FA"/>
    <w:rsid w:val="002B1B34"/>
    <w:rsid w:val="002B23A6"/>
    <w:rsid w:val="002B43DF"/>
    <w:rsid w:val="002B606A"/>
    <w:rsid w:val="002B64AD"/>
    <w:rsid w:val="002B7C94"/>
    <w:rsid w:val="002C0BFA"/>
    <w:rsid w:val="002C15B2"/>
    <w:rsid w:val="002C1843"/>
    <w:rsid w:val="002C1C1E"/>
    <w:rsid w:val="002C4406"/>
    <w:rsid w:val="002C56CD"/>
    <w:rsid w:val="002C76B5"/>
    <w:rsid w:val="002D0A97"/>
    <w:rsid w:val="002D1517"/>
    <w:rsid w:val="002D1CA1"/>
    <w:rsid w:val="002D1D95"/>
    <w:rsid w:val="002D2D71"/>
    <w:rsid w:val="002D506F"/>
    <w:rsid w:val="002D74AD"/>
    <w:rsid w:val="002D7A1D"/>
    <w:rsid w:val="002E1BD3"/>
    <w:rsid w:val="002E5DB7"/>
    <w:rsid w:val="002F1AE2"/>
    <w:rsid w:val="002F1B7F"/>
    <w:rsid w:val="002F52E1"/>
    <w:rsid w:val="002F5435"/>
    <w:rsid w:val="002F6344"/>
    <w:rsid w:val="002F63DA"/>
    <w:rsid w:val="00301B67"/>
    <w:rsid w:val="00301C14"/>
    <w:rsid w:val="00302894"/>
    <w:rsid w:val="00305739"/>
    <w:rsid w:val="003116D4"/>
    <w:rsid w:val="003132CB"/>
    <w:rsid w:val="003207B4"/>
    <w:rsid w:val="00321319"/>
    <w:rsid w:val="00322544"/>
    <w:rsid w:val="003302DB"/>
    <w:rsid w:val="0033322A"/>
    <w:rsid w:val="00334CF7"/>
    <w:rsid w:val="0034141A"/>
    <w:rsid w:val="003419BB"/>
    <w:rsid w:val="00342BA9"/>
    <w:rsid w:val="003431C2"/>
    <w:rsid w:val="0034364B"/>
    <w:rsid w:val="0035020B"/>
    <w:rsid w:val="00351ED5"/>
    <w:rsid w:val="00352103"/>
    <w:rsid w:val="003522C8"/>
    <w:rsid w:val="00353271"/>
    <w:rsid w:val="003574C5"/>
    <w:rsid w:val="00357951"/>
    <w:rsid w:val="00360F1F"/>
    <w:rsid w:val="0036109F"/>
    <w:rsid w:val="003664CF"/>
    <w:rsid w:val="00367785"/>
    <w:rsid w:val="003730F7"/>
    <w:rsid w:val="00374453"/>
    <w:rsid w:val="00376423"/>
    <w:rsid w:val="003775CF"/>
    <w:rsid w:val="0038138B"/>
    <w:rsid w:val="003815FD"/>
    <w:rsid w:val="00381ABB"/>
    <w:rsid w:val="003840A3"/>
    <w:rsid w:val="0038516B"/>
    <w:rsid w:val="0038612D"/>
    <w:rsid w:val="0038624A"/>
    <w:rsid w:val="003862EA"/>
    <w:rsid w:val="00390372"/>
    <w:rsid w:val="0039065C"/>
    <w:rsid w:val="00390976"/>
    <w:rsid w:val="003925F5"/>
    <w:rsid w:val="00392A3B"/>
    <w:rsid w:val="00394D15"/>
    <w:rsid w:val="0039588F"/>
    <w:rsid w:val="00396A8A"/>
    <w:rsid w:val="00396DCA"/>
    <w:rsid w:val="00396E82"/>
    <w:rsid w:val="003A1579"/>
    <w:rsid w:val="003A5483"/>
    <w:rsid w:val="003B2293"/>
    <w:rsid w:val="003B23E9"/>
    <w:rsid w:val="003B2806"/>
    <w:rsid w:val="003B28E4"/>
    <w:rsid w:val="003B3CA0"/>
    <w:rsid w:val="003B4B88"/>
    <w:rsid w:val="003B6ECE"/>
    <w:rsid w:val="003B7A90"/>
    <w:rsid w:val="003C1B9D"/>
    <w:rsid w:val="003C2D6A"/>
    <w:rsid w:val="003C4CA2"/>
    <w:rsid w:val="003C7B03"/>
    <w:rsid w:val="003D0E3E"/>
    <w:rsid w:val="003D165F"/>
    <w:rsid w:val="003D1EE8"/>
    <w:rsid w:val="003D4105"/>
    <w:rsid w:val="003D4162"/>
    <w:rsid w:val="003D4633"/>
    <w:rsid w:val="003D6146"/>
    <w:rsid w:val="003D7429"/>
    <w:rsid w:val="003E0127"/>
    <w:rsid w:val="003E0B7A"/>
    <w:rsid w:val="003E1D4B"/>
    <w:rsid w:val="003E2A04"/>
    <w:rsid w:val="003E3912"/>
    <w:rsid w:val="003E3F7C"/>
    <w:rsid w:val="003E6C64"/>
    <w:rsid w:val="003E6D29"/>
    <w:rsid w:val="003F0B94"/>
    <w:rsid w:val="003F2428"/>
    <w:rsid w:val="003F2F20"/>
    <w:rsid w:val="003F3BFA"/>
    <w:rsid w:val="003F4B44"/>
    <w:rsid w:val="003F65CF"/>
    <w:rsid w:val="003F6796"/>
    <w:rsid w:val="00401966"/>
    <w:rsid w:val="00402F52"/>
    <w:rsid w:val="004038B8"/>
    <w:rsid w:val="00403D90"/>
    <w:rsid w:val="0041298B"/>
    <w:rsid w:val="004130CE"/>
    <w:rsid w:val="00416A90"/>
    <w:rsid w:val="00417B5F"/>
    <w:rsid w:val="004258C8"/>
    <w:rsid w:val="00425C08"/>
    <w:rsid w:val="00425D20"/>
    <w:rsid w:val="00432229"/>
    <w:rsid w:val="00433F54"/>
    <w:rsid w:val="00440F77"/>
    <w:rsid w:val="0044284F"/>
    <w:rsid w:val="00442DF3"/>
    <w:rsid w:val="00444A19"/>
    <w:rsid w:val="00444FDF"/>
    <w:rsid w:val="00446EC1"/>
    <w:rsid w:val="0045176F"/>
    <w:rsid w:val="00451CE4"/>
    <w:rsid w:val="00453960"/>
    <w:rsid w:val="004543AE"/>
    <w:rsid w:val="00455F8A"/>
    <w:rsid w:val="00461B40"/>
    <w:rsid w:val="0046625B"/>
    <w:rsid w:val="004671C3"/>
    <w:rsid w:val="004677EA"/>
    <w:rsid w:val="00471D3D"/>
    <w:rsid w:val="004725C6"/>
    <w:rsid w:val="00472915"/>
    <w:rsid w:val="00472BE1"/>
    <w:rsid w:val="0047329B"/>
    <w:rsid w:val="004804E6"/>
    <w:rsid w:val="00481C39"/>
    <w:rsid w:val="00482128"/>
    <w:rsid w:val="00482DCA"/>
    <w:rsid w:val="004838A8"/>
    <w:rsid w:val="00483D5E"/>
    <w:rsid w:val="004846B2"/>
    <w:rsid w:val="00490062"/>
    <w:rsid w:val="00490401"/>
    <w:rsid w:val="0049262E"/>
    <w:rsid w:val="00492EBA"/>
    <w:rsid w:val="0049601B"/>
    <w:rsid w:val="004979A9"/>
    <w:rsid w:val="004A499B"/>
    <w:rsid w:val="004A545D"/>
    <w:rsid w:val="004A569A"/>
    <w:rsid w:val="004A6AC9"/>
    <w:rsid w:val="004B0405"/>
    <w:rsid w:val="004B31B3"/>
    <w:rsid w:val="004B4B4B"/>
    <w:rsid w:val="004B6E95"/>
    <w:rsid w:val="004B72A3"/>
    <w:rsid w:val="004C2CB0"/>
    <w:rsid w:val="004C424E"/>
    <w:rsid w:val="004C7707"/>
    <w:rsid w:val="004C7D8A"/>
    <w:rsid w:val="004D2931"/>
    <w:rsid w:val="004E0F38"/>
    <w:rsid w:val="004E14B8"/>
    <w:rsid w:val="004E2D01"/>
    <w:rsid w:val="004E34F8"/>
    <w:rsid w:val="004E4D57"/>
    <w:rsid w:val="004E4E6A"/>
    <w:rsid w:val="004E542F"/>
    <w:rsid w:val="004E78F2"/>
    <w:rsid w:val="004F15E2"/>
    <w:rsid w:val="004F1BB4"/>
    <w:rsid w:val="004F2F93"/>
    <w:rsid w:val="00502842"/>
    <w:rsid w:val="00502CC1"/>
    <w:rsid w:val="0050305C"/>
    <w:rsid w:val="005030E5"/>
    <w:rsid w:val="005060D2"/>
    <w:rsid w:val="005071FC"/>
    <w:rsid w:val="00511D80"/>
    <w:rsid w:val="00520086"/>
    <w:rsid w:val="00521D9F"/>
    <w:rsid w:val="005231B5"/>
    <w:rsid w:val="005236B2"/>
    <w:rsid w:val="00531E87"/>
    <w:rsid w:val="00534ACA"/>
    <w:rsid w:val="005400E2"/>
    <w:rsid w:val="005415D7"/>
    <w:rsid w:val="00542015"/>
    <w:rsid w:val="005424ED"/>
    <w:rsid w:val="0054267F"/>
    <w:rsid w:val="0054394B"/>
    <w:rsid w:val="00546BF4"/>
    <w:rsid w:val="005471A7"/>
    <w:rsid w:val="00552316"/>
    <w:rsid w:val="005525EF"/>
    <w:rsid w:val="00555977"/>
    <w:rsid w:val="00557AC6"/>
    <w:rsid w:val="00557EF6"/>
    <w:rsid w:val="00557F5E"/>
    <w:rsid w:val="00557FA7"/>
    <w:rsid w:val="005617D9"/>
    <w:rsid w:val="00562EB9"/>
    <w:rsid w:val="00563944"/>
    <w:rsid w:val="0056434B"/>
    <w:rsid w:val="00565EE9"/>
    <w:rsid w:val="005674BC"/>
    <w:rsid w:val="005705B7"/>
    <w:rsid w:val="0057060D"/>
    <w:rsid w:val="00570AAB"/>
    <w:rsid w:val="00570DCD"/>
    <w:rsid w:val="00571B9A"/>
    <w:rsid w:val="005724E7"/>
    <w:rsid w:val="00572E53"/>
    <w:rsid w:val="00573210"/>
    <w:rsid w:val="00573F8D"/>
    <w:rsid w:val="00575D70"/>
    <w:rsid w:val="00583A40"/>
    <w:rsid w:val="00584BE8"/>
    <w:rsid w:val="00587092"/>
    <w:rsid w:val="00591A13"/>
    <w:rsid w:val="0059522C"/>
    <w:rsid w:val="005964FE"/>
    <w:rsid w:val="0059701D"/>
    <w:rsid w:val="005A0219"/>
    <w:rsid w:val="005A2B27"/>
    <w:rsid w:val="005A61B1"/>
    <w:rsid w:val="005A6F07"/>
    <w:rsid w:val="005B028D"/>
    <w:rsid w:val="005B0C3A"/>
    <w:rsid w:val="005B24E3"/>
    <w:rsid w:val="005B358E"/>
    <w:rsid w:val="005B3787"/>
    <w:rsid w:val="005B494B"/>
    <w:rsid w:val="005B748B"/>
    <w:rsid w:val="005C348F"/>
    <w:rsid w:val="005C4516"/>
    <w:rsid w:val="005C6E42"/>
    <w:rsid w:val="005C7D7F"/>
    <w:rsid w:val="005C7DFB"/>
    <w:rsid w:val="005D2215"/>
    <w:rsid w:val="005D2BE5"/>
    <w:rsid w:val="005D3B7E"/>
    <w:rsid w:val="005E1AFD"/>
    <w:rsid w:val="005E334C"/>
    <w:rsid w:val="005E3B37"/>
    <w:rsid w:val="005E7128"/>
    <w:rsid w:val="005F1C74"/>
    <w:rsid w:val="005F434E"/>
    <w:rsid w:val="005F4367"/>
    <w:rsid w:val="005F6C9C"/>
    <w:rsid w:val="00603127"/>
    <w:rsid w:val="00606C99"/>
    <w:rsid w:val="00612A83"/>
    <w:rsid w:val="00612AF8"/>
    <w:rsid w:val="0061381A"/>
    <w:rsid w:val="006156A6"/>
    <w:rsid w:val="00616420"/>
    <w:rsid w:val="00617F4E"/>
    <w:rsid w:val="006200EE"/>
    <w:rsid w:val="0062022B"/>
    <w:rsid w:val="00621EF4"/>
    <w:rsid w:val="00624404"/>
    <w:rsid w:val="00632098"/>
    <w:rsid w:val="00636645"/>
    <w:rsid w:val="006418D4"/>
    <w:rsid w:val="00641CC3"/>
    <w:rsid w:val="00645190"/>
    <w:rsid w:val="006462AE"/>
    <w:rsid w:val="00647A72"/>
    <w:rsid w:val="00650D99"/>
    <w:rsid w:val="00651D74"/>
    <w:rsid w:val="00652F97"/>
    <w:rsid w:val="0065324A"/>
    <w:rsid w:val="006533C2"/>
    <w:rsid w:val="00654C2A"/>
    <w:rsid w:val="00655CA0"/>
    <w:rsid w:val="00655CF1"/>
    <w:rsid w:val="00657F3D"/>
    <w:rsid w:val="0066179B"/>
    <w:rsid w:val="00663A3F"/>
    <w:rsid w:val="006653B5"/>
    <w:rsid w:val="00667D42"/>
    <w:rsid w:val="00671DA8"/>
    <w:rsid w:val="00672C8F"/>
    <w:rsid w:val="0067658F"/>
    <w:rsid w:val="00676CC4"/>
    <w:rsid w:val="0068101C"/>
    <w:rsid w:val="0068138E"/>
    <w:rsid w:val="00682540"/>
    <w:rsid w:val="00685205"/>
    <w:rsid w:val="0068524C"/>
    <w:rsid w:val="0068551F"/>
    <w:rsid w:val="006869AF"/>
    <w:rsid w:val="0069035B"/>
    <w:rsid w:val="00691BAC"/>
    <w:rsid w:val="00691D98"/>
    <w:rsid w:val="00693BE3"/>
    <w:rsid w:val="00696620"/>
    <w:rsid w:val="006A00A1"/>
    <w:rsid w:val="006A1BF6"/>
    <w:rsid w:val="006A1D44"/>
    <w:rsid w:val="006A1E04"/>
    <w:rsid w:val="006A6BC5"/>
    <w:rsid w:val="006B1803"/>
    <w:rsid w:val="006B30FD"/>
    <w:rsid w:val="006B3631"/>
    <w:rsid w:val="006B4871"/>
    <w:rsid w:val="006B4D8F"/>
    <w:rsid w:val="006C1417"/>
    <w:rsid w:val="006C1809"/>
    <w:rsid w:val="006C266D"/>
    <w:rsid w:val="006C7319"/>
    <w:rsid w:val="006C760A"/>
    <w:rsid w:val="006D350C"/>
    <w:rsid w:val="006D64D1"/>
    <w:rsid w:val="006D6F58"/>
    <w:rsid w:val="006E0F68"/>
    <w:rsid w:val="006E32DC"/>
    <w:rsid w:val="006E353C"/>
    <w:rsid w:val="006E3D25"/>
    <w:rsid w:val="006E42D4"/>
    <w:rsid w:val="006E4CB1"/>
    <w:rsid w:val="006F4692"/>
    <w:rsid w:val="006F6BD6"/>
    <w:rsid w:val="006F7669"/>
    <w:rsid w:val="007020BC"/>
    <w:rsid w:val="0070317B"/>
    <w:rsid w:val="00704703"/>
    <w:rsid w:val="00710012"/>
    <w:rsid w:val="00710AC1"/>
    <w:rsid w:val="00711E4A"/>
    <w:rsid w:val="00716BCF"/>
    <w:rsid w:val="00717FD6"/>
    <w:rsid w:val="00720453"/>
    <w:rsid w:val="007237A3"/>
    <w:rsid w:val="00723ED9"/>
    <w:rsid w:val="00725DF3"/>
    <w:rsid w:val="00733731"/>
    <w:rsid w:val="00733EE8"/>
    <w:rsid w:val="00735300"/>
    <w:rsid w:val="00742A12"/>
    <w:rsid w:val="00745EB6"/>
    <w:rsid w:val="0074616F"/>
    <w:rsid w:val="00746912"/>
    <w:rsid w:val="00752B16"/>
    <w:rsid w:val="00755F2E"/>
    <w:rsid w:val="00760A08"/>
    <w:rsid w:val="00760DA2"/>
    <w:rsid w:val="00761A5F"/>
    <w:rsid w:val="00762B7D"/>
    <w:rsid w:val="0076788E"/>
    <w:rsid w:val="0076797A"/>
    <w:rsid w:val="00767BCB"/>
    <w:rsid w:val="007717FF"/>
    <w:rsid w:val="0077571D"/>
    <w:rsid w:val="0077703B"/>
    <w:rsid w:val="00777A06"/>
    <w:rsid w:val="007801D4"/>
    <w:rsid w:val="007807EA"/>
    <w:rsid w:val="007815E3"/>
    <w:rsid w:val="00784957"/>
    <w:rsid w:val="00784A1E"/>
    <w:rsid w:val="00785E77"/>
    <w:rsid w:val="00786D6C"/>
    <w:rsid w:val="00787E5C"/>
    <w:rsid w:val="00792B45"/>
    <w:rsid w:val="00794C5A"/>
    <w:rsid w:val="00795228"/>
    <w:rsid w:val="0079681C"/>
    <w:rsid w:val="007A15EC"/>
    <w:rsid w:val="007A3D48"/>
    <w:rsid w:val="007A4B9D"/>
    <w:rsid w:val="007A7417"/>
    <w:rsid w:val="007B1CAE"/>
    <w:rsid w:val="007B30F0"/>
    <w:rsid w:val="007B7227"/>
    <w:rsid w:val="007C2A7F"/>
    <w:rsid w:val="007C36B9"/>
    <w:rsid w:val="007C3D1F"/>
    <w:rsid w:val="007D299E"/>
    <w:rsid w:val="007D3E81"/>
    <w:rsid w:val="007D5E6C"/>
    <w:rsid w:val="007D7227"/>
    <w:rsid w:val="007E59F9"/>
    <w:rsid w:val="007F04D9"/>
    <w:rsid w:val="007F476E"/>
    <w:rsid w:val="007F5B45"/>
    <w:rsid w:val="007F61E9"/>
    <w:rsid w:val="008005C1"/>
    <w:rsid w:val="00803885"/>
    <w:rsid w:val="00804808"/>
    <w:rsid w:val="00806AE2"/>
    <w:rsid w:val="00807B3E"/>
    <w:rsid w:val="00810A84"/>
    <w:rsid w:val="008152E7"/>
    <w:rsid w:val="008226BB"/>
    <w:rsid w:val="00822F77"/>
    <w:rsid w:val="008231B6"/>
    <w:rsid w:val="008232F0"/>
    <w:rsid w:val="00824189"/>
    <w:rsid w:val="0082498F"/>
    <w:rsid w:val="00824ED5"/>
    <w:rsid w:val="008253D6"/>
    <w:rsid w:val="00825ABE"/>
    <w:rsid w:val="008278D8"/>
    <w:rsid w:val="00835D4E"/>
    <w:rsid w:val="008417C2"/>
    <w:rsid w:val="00842B31"/>
    <w:rsid w:val="00842B5F"/>
    <w:rsid w:val="008430FD"/>
    <w:rsid w:val="0084413A"/>
    <w:rsid w:val="008441C0"/>
    <w:rsid w:val="00846004"/>
    <w:rsid w:val="00847074"/>
    <w:rsid w:val="00854798"/>
    <w:rsid w:val="00854AE8"/>
    <w:rsid w:val="00863F41"/>
    <w:rsid w:val="00866429"/>
    <w:rsid w:val="00867FE7"/>
    <w:rsid w:val="00870837"/>
    <w:rsid w:val="00873465"/>
    <w:rsid w:val="00873899"/>
    <w:rsid w:val="00874C8A"/>
    <w:rsid w:val="008772C0"/>
    <w:rsid w:val="00877DA6"/>
    <w:rsid w:val="008802FD"/>
    <w:rsid w:val="00880C30"/>
    <w:rsid w:val="008816D9"/>
    <w:rsid w:val="00881E40"/>
    <w:rsid w:val="008821D9"/>
    <w:rsid w:val="00882237"/>
    <w:rsid w:val="00883557"/>
    <w:rsid w:val="008837ED"/>
    <w:rsid w:val="00885227"/>
    <w:rsid w:val="008855DE"/>
    <w:rsid w:val="008866D6"/>
    <w:rsid w:val="00890F53"/>
    <w:rsid w:val="00891971"/>
    <w:rsid w:val="0089258F"/>
    <w:rsid w:val="00893F3E"/>
    <w:rsid w:val="0089547D"/>
    <w:rsid w:val="008A16B1"/>
    <w:rsid w:val="008A29D3"/>
    <w:rsid w:val="008A397E"/>
    <w:rsid w:val="008A4E91"/>
    <w:rsid w:val="008A6009"/>
    <w:rsid w:val="008A7B68"/>
    <w:rsid w:val="008B0B4A"/>
    <w:rsid w:val="008B31A1"/>
    <w:rsid w:val="008B5661"/>
    <w:rsid w:val="008B68BC"/>
    <w:rsid w:val="008B6D11"/>
    <w:rsid w:val="008B7AE2"/>
    <w:rsid w:val="008C1D43"/>
    <w:rsid w:val="008C2DFA"/>
    <w:rsid w:val="008C3059"/>
    <w:rsid w:val="008C5DF3"/>
    <w:rsid w:val="008C7F9B"/>
    <w:rsid w:val="008D16DE"/>
    <w:rsid w:val="008D2ECA"/>
    <w:rsid w:val="008D4743"/>
    <w:rsid w:val="008D4D2B"/>
    <w:rsid w:val="008D4D68"/>
    <w:rsid w:val="008D4EC8"/>
    <w:rsid w:val="008E05A9"/>
    <w:rsid w:val="008E389F"/>
    <w:rsid w:val="008E3D0E"/>
    <w:rsid w:val="008E77C7"/>
    <w:rsid w:val="008F0B70"/>
    <w:rsid w:val="008F2472"/>
    <w:rsid w:val="008F32BC"/>
    <w:rsid w:val="008F7480"/>
    <w:rsid w:val="00911431"/>
    <w:rsid w:val="00911A1E"/>
    <w:rsid w:val="00914B4A"/>
    <w:rsid w:val="009209A3"/>
    <w:rsid w:val="009211AA"/>
    <w:rsid w:val="00926B75"/>
    <w:rsid w:val="0092701D"/>
    <w:rsid w:val="009270B1"/>
    <w:rsid w:val="00927247"/>
    <w:rsid w:val="00927A5E"/>
    <w:rsid w:val="00931456"/>
    <w:rsid w:val="009320EF"/>
    <w:rsid w:val="00935C50"/>
    <w:rsid w:val="009364D7"/>
    <w:rsid w:val="009411B5"/>
    <w:rsid w:val="009425E8"/>
    <w:rsid w:val="009429BE"/>
    <w:rsid w:val="00947E44"/>
    <w:rsid w:val="009504D0"/>
    <w:rsid w:val="00953558"/>
    <w:rsid w:val="009539DA"/>
    <w:rsid w:val="00957C12"/>
    <w:rsid w:val="00960CA5"/>
    <w:rsid w:val="0096305C"/>
    <w:rsid w:val="0096425C"/>
    <w:rsid w:val="009653A9"/>
    <w:rsid w:val="00965781"/>
    <w:rsid w:val="00966F1C"/>
    <w:rsid w:val="009675E8"/>
    <w:rsid w:val="00967EF7"/>
    <w:rsid w:val="00970507"/>
    <w:rsid w:val="009717E4"/>
    <w:rsid w:val="00972590"/>
    <w:rsid w:val="0097281F"/>
    <w:rsid w:val="00972CD1"/>
    <w:rsid w:val="0097624C"/>
    <w:rsid w:val="00976C33"/>
    <w:rsid w:val="00977226"/>
    <w:rsid w:val="00977D38"/>
    <w:rsid w:val="009814CC"/>
    <w:rsid w:val="00984A4B"/>
    <w:rsid w:val="0099031C"/>
    <w:rsid w:val="0099085F"/>
    <w:rsid w:val="0099528B"/>
    <w:rsid w:val="00996400"/>
    <w:rsid w:val="009971F4"/>
    <w:rsid w:val="009A20DA"/>
    <w:rsid w:val="009A22C3"/>
    <w:rsid w:val="009A2A65"/>
    <w:rsid w:val="009A7B2F"/>
    <w:rsid w:val="009B2E41"/>
    <w:rsid w:val="009B52A3"/>
    <w:rsid w:val="009B52E2"/>
    <w:rsid w:val="009B56E4"/>
    <w:rsid w:val="009B72EA"/>
    <w:rsid w:val="009B759C"/>
    <w:rsid w:val="009C0272"/>
    <w:rsid w:val="009C0E2A"/>
    <w:rsid w:val="009C1BAB"/>
    <w:rsid w:val="009C2BBA"/>
    <w:rsid w:val="009C58E6"/>
    <w:rsid w:val="009C5DD3"/>
    <w:rsid w:val="009C7183"/>
    <w:rsid w:val="009C7B95"/>
    <w:rsid w:val="009D07B4"/>
    <w:rsid w:val="009D15F8"/>
    <w:rsid w:val="009D41B0"/>
    <w:rsid w:val="009D4B29"/>
    <w:rsid w:val="009D5323"/>
    <w:rsid w:val="009D6B9C"/>
    <w:rsid w:val="009E23D7"/>
    <w:rsid w:val="009E2535"/>
    <w:rsid w:val="009E5748"/>
    <w:rsid w:val="009E702E"/>
    <w:rsid w:val="009F0276"/>
    <w:rsid w:val="00A01D77"/>
    <w:rsid w:val="00A02E23"/>
    <w:rsid w:val="00A073FD"/>
    <w:rsid w:val="00A125CE"/>
    <w:rsid w:val="00A21210"/>
    <w:rsid w:val="00A23527"/>
    <w:rsid w:val="00A24438"/>
    <w:rsid w:val="00A250FE"/>
    <w:rsid w:val="00A3026D"/>
    <w:rsid w:val="00A33985"/>
    <w:rsid w:val="00A33D6D"/>
    <w:rsid w:val="00A36330"/>
    <w:rsid w:val="00A423C5"/>
    <w:rsid w:val="00A4476E"/>
    <w:rsid w:val="00A44ED7"/>
    <w:rsid w:val="00A5190E"/>
    <w:rsid w:val="00A51A6D"/>
    <w:rsid w:val="00A563C1"/>
    <w:rsid w:val="00A630D3"/>
    <w:rsid w:val="00A73059"/>
    <w:rsid w:val="00A73EB6"/>
    <w:rsid w:val="00A777BC"/>
    <w:rsid w:val="00A80A1B"/>
    <w:rsid w:val="00A80DB8"/>
    <w:rsid w:val="00A847B3"/>
    <w:rsid w:val="00A85F3B"/>
    <w:rsid w:val="00A95A75"/>
    <w:rsid w:val="00AA4332"/>
    <w:rsid w:val="00AA4C3D"/>
    <w:rsid w:val="00AA5FE9"/>
    <w:rsid w:val="00AA6F4A"/>
    <w:rsid w:val="00AB0067"/>
    <w:rsid w:val="00AB04AB"/>
    <w:rsid w:val="00AB11D4"/>
    <w:rsid w:val="00AB4846"/>
    <w:rsid w:val="00AB5A48"/>
    <w:rsid w:val="00AB6205"/>
    <w:rsid w:val="00AC095A"/>
    <w:rsid w:val="00AC1A7B"/>
    <w:rsid w:val="00AC25A4"/>
    <w:rsid w:val="00AC6BC1"/>
    <w:rsid w:val="00AC73B8"/>
    <w:rsid w:val="00AD0245"/>
    <w:rsid w:val="00AD0846"/>
    <w:rsid w:val="00AD17D2"/>
    <w:rsid w:val="00AD1B9D"/>
    <w:rsid w:val="00AD2D7A"/>
    <w:rsid w:val="00AD4DB5"/>
    <w:rsid w:val="00AD62B8"/>
    <w:rsid w:val="00AE1EF9"/>
    <w:rsid w:val="00AE326F"/>
    <w:rsid w:val="00AE40B2"/>
    <w:rsid w:val="00AE481E"/>
    <w:rsid w:val="00AE55CD"/>
    <w:rsid w:val="00AE7054"/>
    <w:rsid w:val="00AF038C"/>
    <w:rsid w:val="00AF2028"/>
    <w:rsid w:val="00B03E2B"/>
    <w:rsid w:val="00B06792"/>
    <w:rsid w:val="00B07194"/>
    <w:rsid w:val="00B07746"/>
    <w:rsid w:val="00B1450A"/>
    <w:rsid w:val="00B14770"/>
    <w:rsid w:val="00B14BB5"/>
    <w:rsid w:val="00B16366"/>
    <w:rsid w:val="00B16EAC"/>
    <w:rsid w:val="00B26641"/>
    <w:rsid w:val="00B275EC"/>
    <w:rsid w:val="00B330F2"/>
    <w:rsid w:val="00B3318E"/>
    <w:rsid w:val="00B343E7"/>
    <w:rsid w:val="00B34420"/>
    <w:rsid w:val="00B3465D"/>
    <w:rsid w:val="00B35175"/>
    <w:rsid w:val="00B37907"/>
    <w:rsid w:val="00B403FE"/>
    <w:rsid w:val="00B444DB"/>
    <w:rsid w:val="00B44FC0"/>
    <w:rsid w:val="00B4743D"/>
    <w:rsid w:val="00B507E8"/>
    <w:rsid w:val="00B50DEA"/>
    <w:rsid w:val="00B51243"/>
    <w:rsid w:val="00B520CD"/>
    <w:rsid w:val="00B5296E"/>
    <w:rsid w:val="00B53975"/>
    <w:rsid w:val="00B617C3"/>
    <w:rsid w:val="00B63761"/>
    <w:rsid w:val="00B64255"/>
    <w:rsid w:val="00B665E2"/>
    <w:rsid w:val="00B7103B"/>
    <w:rsid w:val="00B73090"/>
    <w:rsid w:val="00B74D1E"/>
    <w:rsid w:val="00B74FE9"/>
    <w:rsid w:val="00B81FF2"/>
    <w:rsid w:val="00B85107"/>
    <w:rsid w:val="00B85F0B"/>
    <w:rsid w:val="00B87D65"/>
    <w:rsid w:val="00B9075C"/>
    <w:rsid w:val="00B9299B"/>
    <w:rsid w:val="00B930AF"/>
    <w:rsid w:val="00B93DF2"/>
    <w:rsid w:val="00B93E46"/>
    <w:rsid w:val="00B94936"/>
    <w:rsid w:val="00B95931"/>
    <w:rsid w:val="00BA62A4"/>
    <w:rsid w:val="00BA6585"/>
    <w:rsid w:val="00BA65DE"/>
    <w:rsid w:val="00BA7932"/>
    <w:rsid w:val="00BA7D3B"/>
    <w:rsid w:val="00BB4627"/>
    <w:rsid w:val="00BB7338"/>
    <w:rsid w:val="00BB7631"/>
    <w:rsid w:val="00BC1C51"/>
    <w:rsid w:val="00BC5D53"/>
    <w:rsid w:val="00BC6CD5"/>
    <w:rsid w:val="00BC6E21"/>
    <w:rsid w:val="00BC77E3"/>
    <w:rsid w:val="00BD2205"/>
    <w:rsid w:val="00BD2ADB"/>
    <w:rsid w:val="00BD3AE3"/>
    <w:rsid w:val="00BD6850"/>
    <w:rsid w:val="00BE00B4"/>
    <w:rsid w:val="00BE15EC"/>
    <w:rsid w:val="00BE4356"/>
    <w:rsid w:val="00BE56D6"/>
    <w:rsid w:val="00BE5E82"/>
    <w:rsid w:val="00BF0F75"/>
    <w:rsid w:val="00BF1628"/>
    <w:rsid w:val="00BF2E3B"/>
    <w:rsid w:val="00BF5419"/>
    <w:rsid w:val="00BF5A6C"/>
    <w:rsid w:val="00BF5EA8"/>
    <w:rsid w:val="00BF7FA4"/>
    <w:rsid w:val="00C00602"/>
    <w:rsid w:val="00C00CE6"/>
    <w:rsid w:val="00C101B7"/>
    <w:rsid w:val="00C10C08"/>
    <w:rsid w:val="00C11051"/>
    <w:rsid w:val="00C13172"/>
    <w:rsid w:val="00C131E8"/>
    <w:rsid w:val="00C14458"/>
    <w:rsid w:val="00C17F14"/>
    <w:rsid w:val="00C23560"/>
    <w:rsid w:val="00C25DD6"/>
    <w:rsid w:val="00C261B2"/>
    <w:rsid w:val="00C27768"/>
    <w:rsid w:val="00C34DFA"/>
    <w:rsid w:val="00C36C37"/>
    <w:rsid w:val="00C3774F"/>
    <w:rsid w:val="00C41496"/>
    <w:rsid w:val="00C420A5"/>
    <w:rsid w:val="00C43125"/>
    <w:rsid w:val="00C4679B"/>
    <w:rsid w:val="00C47337"/>
    <w:rsid w:val="00C50036"/>
    <w:rsid w:val="00C517DC"/>
    <w:rsid w:val="00C51A67"/>
    <w:rsid w:val="00C52F9C"/>
    <w:rsid w:val="00C55248"/>
    <w:rsid w:val="00C56880"/>
    <w:rsid w:val="00C5791D"/>
    <w:rsid w:val="00C70B40"/>
    <w:rsid w:val="00C70DFA"/>
    <w:rsid w:val="00C71BFD"/>
    <w:rsid w:val="00C73693"/>
    <w:rsid w:val="00C73AB4"/>
    <w:rsid w:val="00C73CEC"/>
    <w:rsid w:val="00C75032"/>
    <w:rsid w:val="00C75A5D"/>
    <w:rsid w:val="00C75D56"/>
    <w:rsid w:val="00C760F4"/>
    <w:rsid w:val="00C77BFF"/>
    <w:rsid w:val="00C80B0F"/>
    <w:rsid w:val="00C80EA3"/>
    <w:rsid w:val="00C82BAC"/>
    <w:rsid w:val="00C87E23"/>
    <w:rsid w:val="00C900B8"/>
    <w:rsid w:val="00C9328B"/>
    <w:rsid w:val="00C97727"/>
    <w:rsid w:val="00C97DC5"/>
    <w:rsid w:val="00CA0028"/>
    <w:rsid w:val="00CA07B8"/>
    <w:rsid w:val="00CA1718"/>
    <w:rsid w:val="00CA4909"/>
    <w:rsid w:val="00CA4F73"/>
    <w:rsid w:val="00CA54A6"/>
    <w:rsid w:val="00CA551F"/>
    <w:rsid w:val="00CB07AD"/>
    <w:rsid w:val="00CB0C2F"/>
    <w:rsid w:val="00CB19EE"/>
    <w:rsid w:val="00CB6814"/>
    <w:rsid w:val="00CC2B06"/>
    <w:rsid w:val="00CC2F96"/>
    <w:rsid w:val="00CC32EE"/>
    <w:rsid w:val="00CC4CBA"/>
    <w:rsid w:val="00CC58DE"/>
    <w:rsid w:val="00CC5DA7"/>
    <w:rsid w:val="00CC6064"/>
    <w:rsid w:val="00CC79BF"/>
    <w:rsid w:val="00CD0F3A"/>
    <w:rsid w:val="00CD3BCE"/>
    <w:rsid w:val="00CD3FF1"/>
    <w:rsid w:val="00CD4535"/>
    <w:rsid w:val="00CD7269"/>
    <w:rsid w:val="00CD7BF4"/>
    <w:rsid w:val="00CE1491"/>
    <w:rsid w:val="00CE1906"/>
    <w:rsid w:val="00CE5748"/>
    <w:rsid w:val="00CE68CF"/>
    <w:rsid w:val="00CE795E"/>
    <w:rsid w:val="00CF0BD0"/>
    <w:rsid w:val="00CF3EEB"/>
    <w:rsid w:val="00CF461C"/>
    <w:rsid w:val="00CF4A4C"/>
    <w:rsid w:val="00D00912"/>
    <w:rsid w:val="00D00E88"/>
    <w:rsid w:val="00D051D6"/>
    <w:rsid w:val="00D0625C"/>
    <w:rsid w:val="00D07050"/>
    <w:rsid w:val="00D07354"/>
    <w:rsid w:val="00D10297"/>
    <w:rsid w:val="00D140F0"/>
    <w:rsid w:val="00D22D84"/>
    <w:rsid w:val="00D245B6"/>
    <w:rsid w:val="00D24615"/>
    <w:rsid w:val="00D27600"/>
    <w:rsid w:val="00D319CC"/>
    <w:rsid w:val="00D3200F"/>
    <w:rsid w:val="00D40C6C"/>
    <w:rsid w:val="00D44498"/>
    <w:rsid w:val="00D4646E"/>
    <w:rsid w:val="00D470D0"/>
    <w:rsid w:val="00D5029F"/>
    <w:rsid w:val="00D50EA4"/>
    <w:rsid w:val="00D52153"/>
    <w:rsid w:val="00D5228F"/>
    <w:rsid w:val="00D5335D"/>
    <w:rsid w:val="00D537BA"/>
    <w:rsid w:val="00D6246F"/>
    <w:rsid w:val="00D64B99"/>
    <w:rsid w:val="00D64DDA"/>
    <w:rsid w:val="00D651F7"/>
    <w:rsid w:val="00D65773"/>
    <w:rsid w:val="00D66498"/>
    <w:rsid w:val="00D6732A"/>
    <w:rsid w:val="00D70DF1"/>
    <w:rsid w:val="00D728E7"/>
    <w:rsid w:val="00D73998"/>
    <w:rsid w:val="00D7422F"/>
    <w:rsid w:val="00D746B1"/>
    <w:rsid w:val="00D748C1"/>
    <w:rsid w:val="00D74DBE"/>
    <w:rsid w:val="00D7599E"/>
    <w:rsid w:val="00D813E6"/>
    <w:rsid w:val="00D826C4"/>
    <w:rsid w:val="00D87A05"/>
    <w:rsid w:val="00D90EBE"/>
    <w:rsid w:val="00D92857"/>
    <w:rsid w:val="00D92EEE"/>
    <w:rsid w:val="00D96BC9"/>
    <w:rsid w:val="00DA07C3"/>
    <w:rsid w:val="00DA1D2C"/>
    <w:rsid w:val="00DA213E"/>
    <w:rsid w:val="00DA3E31"/>
    <w:rsid w:val="00DA3E84"/>
    <w:rsid w:val="00DB16B1"/>
    <w:rsid w:val="00DB3AC1"/>
    <w:rsid w:val="00DB4F8D"/>
    <w:rsid w:val="00DB7133"/>
    <w:rsid w:val="00DB7A51"/>
    <w:rsid w:val="00DC3F2B"/>
    <w:rsid w:val="00DC57E8"/>
    <w:rsid w:val="00DC63DC"/>
    <w:rsid w:val="00DC7561"/>
    <w:rsid w:val="00DD0EE7"/>
    <w:rsid w:val="00DD0FD9"/>
    <w:rsid w:val="00DD300B"/>
    <w:rsid w:val="00DD365B"/>
    <w:rsid w:val="00DD51FC"/>
    <w:rsid w:val="00DD5640"/>
    <w:rsid w:val="00DD7BEC"/>
    <w:rsid w:val="00DD7F3A"/>
    <w:rsid w:val="00DE061C"/>
    <w:rsid w:val="00DE1028"/>
    <w:rsid w:val="00DE15D1"/>
    <w:rsid w:val="00DE5CD9"/>
    <w:rsid w:val="00DF1B51"/>
    <w:rsid w:val="00DF3292"/>
    <w:rsid w:val="00DF5C88"/>
    <w:rsid w:val="00DF66A5"/>
    <w:rsid w:val="00E03753"/>
    <w:rsid w:val="00E10D62"/>
    <w:rsid w:val="00E11012"/>
    <w:rsid w:val="00E11144"/>
    <w:rsid w:val="00E135E1"/>
    <w:rsid w:val="00E14C24"/>
    <w:rsid w:val="00E1500E"/>
    <w:rsid w:val="00E1719C"/>
    <w:rsid w:val="00E17419"/>
    <w:rsid w:val="00E1764C"/>
    <w:rsid w:val="00E211F8"/>
    <w:rsid w:val="00E2345D"/>
    <w:rsid w:val="00E238E0"/>
    <w:rsid w:val="00E25C3D"/>
    <w:rsid w:val="00E34C0F"/>
    <w:rsid w:val="00E3675C"/>
    <w:rsid w:val="00E36B1B"/>
    <w:rsid w:val="00E40A2D"/>
    <w:rsid w:val="00E41A00"/>
    <w:rsid w:val="00E41F95"/>
    <w:rsid w:val="00E42E9B"/>
    <w:rsid w:val="00E439CE"/>
    <w:rsid w:val="00E44D69"/>
    <w:rsid w:val="00E46686"/>
    <w:rsid w:val="00E5014D"/>
    <w:rsid w:val="00E5321C"/>
    <w:rsid w:val="00E5373F"/>
    <w:rsid w:val="00E5672E"/>
    <w:rsid w:val="00E5769B"/>
    <w:rsid w:val="00E57B4E"/>
    <w:rsid w:val="00E57D4A"/>
    <w:rsid w:val="00E60447"/>
    <w:rsid w:val="00E609E5"/>
    <w:rsid w:val="00E622D7"/>
    <w:rsid w:val="00E652A8"/>
    <w:rsid w:val="00E65937"/>
    <w:rsid w:val="00E6599A"/>
    <w:rsid w:val="00E65D16"/>
    <w:rsid w:val="00E66A69"/>
    <w:rsid w:val="00E70E4A"/>
    <w:rsid w:val="00E71A15"/>
    <w:rsid w:val="00E720B3"/>
    <w:rsid w:val="00E771D6"/>
    <w:rsid w:val="00E800A6"/>
    <w:rsid w:val="00E807C5"/>
    <w:rsid w:val="00E82CD0"/>
    <w:rsid w:val="00E84AA9"/>
    <w:rsid w:val="00E868FE"/>
    <w:rsid w:val="00E91B36"/>
    <w:rsid w:val="00E94F95"/>
    <w:rsid w:val="00E9511B"/>
    <w:rsid w:val="00E96863"/>
    <w:rsid w:val="00EA1CB6"/>
    <w:rsid w:val="00EA2258"/>
    <w:rsid w:val="00EA2752"/>
    <w:rsid w:val="00EA61FA"/>
    <w:rsid w:val="00EB27A1"/>
    <w:rsid w:val="00EB3334"/>
    <w:rsid w:val="00EB350E"/>
    <w:rsid w:val="00EB38AC"/>
    <w:rsid w:val="00EB52DC"/>
    <w:rsid w:val="00EC01A5"/>
    <w:rsid w:val="00EC3C0A"/>
    <w:rsid w:val="00EC5929"/>
    <w:rsid w:val="00ED1D17"/>
    <w:rsid w:val="00ED1DF7"/>
    <w:rsid w:val="00ED221D"/>
    <w:rsid w:val="00ED31FD"/>
    <w:rsid w:val="00ED502A"/>
    <w:rsid w:val="00ED6E08"/>
    <w:rsid w:val="00EE011F"/>
    <w:rsid w:val="00EE33A3"/>
    <w:rsid w:val="00EE391C"/>
    <w:rsid w:val="00EE4608"/>
    <w:rsid w:val="00EE4E03"/>
    <w:rsid w:val="00EF2400"/>
    <w:rsid w:val="00EF309D"/>
    <w:rsid w:val="00EF43EB"/>
    <w:rsid w:val="00EF4C20"/>
    <w:rsid w:val="00EF5CA3"/>
    <w:rsid w:val="00EF6733"/>
    <w:rsid w:val="00F006BE"/>
    <w:rsid w:val="00F00B1C"/>
    <w:rsid w:val="00F029D6"/>
    <w:rsid w:val="00F02B32"/>
    <w:rsid w:val="00F04427"/>
    <w:rsid w:val="00F04970"/>
    <w:rsid w:val="00F04FD3"/>
    <w:rsid w:val="00F05234"/>
    <w:rsid w:val="00F10BA1"/>
    <w:rsid w:val="00F117DC"/>
    <w:rsid w:val="00F12B70"/>
    <w:rsid w:val="00F1526A"/>
    <w:rsid w:val="00F158CE"/>
    <w:rsid w:val="00F17095"/>
    <w:rsid w:val="00F174F0"/>
    <w:rsid w:val="00F215C3"/>
    <w:rsid w:val="00F23C24"/>
    <w:rsid w:val="00F24773"/>
    <w:rsid w:val="00F30DAA"/>
    <w:rsid w:val="00F31D75"/>
    <w:rsid w:val="00F33ABC"/>
    <w:rsid w:val="00F35130"/>
    <w:rsid w:val="00F37332"/>
    <w:rsid w:val="00F40961"/>
    <w:rsid w:val="00F41667"/>
    <w:rsid w:val="00F4279F"/>
    <w:rsid w:val="00F435BD"/>
    <w:rsid w:val="00F44DB0"/>
    <w:rsid w:val="00F52568"/>
    <w:rsid w:val="00F55B27"/>
    <w:rsid w:val="00F63FFE"/>
    <w:rsid w:val="00F64B51"/>
    <w:rsid w:val="00F71EB3"/>
    <w:rsid w:val="00F7304E"/>
    <w:rsid w:val="00F764CF"/>
    <w:rsid w:val="00F77832"/>
    <w:rsid w:val="00F8403F"/>
    <w:rsid w:val="00F8415B"/>
    <w:rsid w:val="00F913DC"/>
    <w:rsid w:val="00F913E2"/>
    <w:rsid w:val="00F91BF9"/>
    <w:rsid w:val="00F91F1A"/>
    <w:rsid w:val="00F9295A"/>
    <w:rsid w:val="00F9326C"/>
    <w:rsid w:val="00FA1759"/>
    <w:rsid w:val="00FA1BB3"/>
    <w:rsid w:val="00FA4331"/>
    <w:rsid w:val="00FA4509"/>
    <w:rsid w:val="00FA5272"/>
    <w:rsid w:val="00FA5C37"/>
    <w:rsid w:val="00FB0AEB"/>
    <w:rsid w:val="00FB0DFE"/>
    <w:rsid w:val="00FB1C28"/>
    <w:rsid w:val="00FB2E85"/>
    <w:rsid w:val="00FB368C"/>
    <w:rsid w:val="00FB3CC7"/>
    <w:rsid w:val="00FB3EB8"/>
    <w:rsid w:val="00FB3F50"/>
    <w:rsid w:val="00FB4A09"/>
    <w:rsid w:val="00FB4AFF"/>
    <w:rsid w:val="00FB7C20"/>
    <w:rsid w:val="00FC0199"/>
    <w:rsid w:val="00FC08D6"/>
    <w:rsid w:val="00FC34D3"/>
    <w:rsid w:val="00FC3F2E"/>
    <w:rsid w:val="00FC636A"/>
    <w:rsid w:val="00FD29C8"/>
    <w:rsid w:val="00FD45F4"/>
    <w:rsid w:val="00FD79B2"/>
    <w:rsid w:val="00FE2288"/>
    <w:rsid w:val="00FE5A68"/>
    <w:rsid w:val="00FF042F"/>
    <w:rsid w:val="00FF10D0"/>
    <w:rsid w:val="00FF1188"/>
    <w:rsid w:val="00FF5831"/>
    <w:rsid w:val="00FF680B"/>
    <w:rsid w:val="00FF7977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877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D50EA4"/>
    <w:pPr>
      <w:numPr>
        <w:ilvl w:val="1"/>
        <w:numId w:val="1"/>
      </w:numPr>
      <w:spacing w:before="120" w:after="120" w:line="240" w:lineRule="auto"/>
      <w:ind w:left="851" w:hanging="851"/>
      <w:jc w:val="both"/>
      <w:outlineLvl w:val="1"/>
    </w:pPr>
    <w:rPr>
      <w:rFonts w:eastAsia="Times New Roman" w:cs="Times New Roman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B7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748B"/>
  </w:style>
  <w:style w:type="paragraph" w:styleId="Porat">
    <w:name w:val="footer"/>
    <w:basedOn w:val="prastasis"/>
    <w:link w:val="PoratDiagrama"/>
    <w:uiPriority w:val="99"/>
    <w:unhideWhenUsed/>
    <w:rsid w:val="005B7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748B"/>
  </w:style>
  <w:style w:type="character" w:styleId="Hipersaitas">
    <w:name w:val="Hyperlink"/>
    <w:basedOn w:val="Numatytasispastraiposriftas"/>
    <w:uiPriority w:val="99"/>
    <w:unhideWhenUsed/>
    <w:rsid w:val="00D1029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10297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82DCA"/>
    <w:pPr>
      <w:spacing w:after="0" w:line="240" w:lineRule="auto"/>
    </w:pPr>
    <w:rPr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82DCA"/>
    <w:rPr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82DCA"/>
    <w:rPr>
      <w:vertAlign w:val="superscript"/>
    </w:rPr>
  </w:style>
  <w:style w:type="paragraph" w:styleId="Sraopastraipa">
    <w:name w:val="List Paragraph"/>
    <w:basedOn w:val="prastasis"/>
    <w:link w:val="SraopastraipaDiagrama"/>
    <w:qFormat/>
    <w:rsid w:val="009E574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D72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7227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D7227"/>
    <w:rPr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72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7227"/>
    <w:rPr>
      <w:b/>
      <w:bCs/>
      <w:szCs w:val="20"/>
    </w:rPr>
  </w:style>
  <w:style w:type="paragraph" w:styleId="Pataisymai">
    <w:name w:val="Revision"/>
    <w:hidden/>
    <w:uiPriority w:val="99"/>
    <w:semiHidden/>
    <w:rsid w:val="00A33985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D7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D3200F"/>
    <w:rPr>
      <w:color w:val="954F72" w:themeColor="followedHyperlink"/>
      <w:u w:val="single"/>
    </w:rPr>
  </w:style>
  <w:style w:type="character" w:customStyle="1" w:styleId="SraopastraipaDiagrama">
    <w:name w:val="Sąrašo pastraipa Diagrama"/>
    <w:link w:val="Sraopastraipa"/>
    <w:uiPriority w:val="34"/>
    <w:rsid w:val="00D90EBE"/>
  </w:style>
  <w:style w:type="character" w:customStyle="1" w:styleId="fontstyle01">
    <w:name w:val="fontstyle01"/>
    <w:basedOn w:val="Numatytasispastraiposriftas"/>
    <w:rsid w:val="00960CA5"/>
    <w:rPr>
      <w:rFonts w:ascii="TimesNewRomanPSMT" w:hAnsi="TimesNewRomanPSMT" w:hint="default"/>
      <w:b w:val="0"/>
      <w:bCs w:val="0"/>
      <w:i w:val="0"/>
      <w:iCs w:val="0"/>
      <w:color w:val="D13438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D50EA4"/>
    <w:rPr>
      <w:rFonts w:eastAsia="Times New Roman" w:cs="Times New Roman"/>
      <w:szCs w:val="20"/>
      <w:lang w:val="lt-LT"/>
    </w:rPr>
  </w:style>
  <w:style w:type="numbering" w:customStyle="1" w:styleId="WWNum1">
    <w:name w:val="WWNum1"/>
    <w:basedOn w:val="Sraonra"/>
    <w:rsid w:val="006E353C"/>
    <w:pPr>
      <w:numPr>
        <w:numId w:val="15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2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2F96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Numatytasispastraiposriftas"/>
    <w:rsid w:val="0057321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573210"/>
    <w:rPr>
      <w:rFonts w:ascii="Segoe UI" w:hAnsi="Segoe UI" w:cs="Segoe UI" w:hint="default"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3207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BF63-B41B-42FA-9899-33D92CD8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7018</Words>
  <Characters>4001</Characters>
  <Application>Microsoft Office Word</Application>
  <DocSecurity>4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2023-07-04T07:43:00Z</dcterms:created>
  <dcterms:modified xsi:type="dcterms:W3CDTF">2023-07-04T07:43:00Z</dcterms:modified>
</cp:coreProperties>
</file>