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63EB271A" w14:textId="447604F6" w:rsidR="00DD5E64" w:rsidRPr="00980D5B" w:rsidRDefault="00F22F47" w:rsidP="00506582">
      <w:pPr>
        <w:jc w:val="center"/>
        <w:rPr>
          <w:b/>
          <w:sz w:val="24"/>
          <w:szCs w:val="24"/>
          <w:lang w:val="en-US"/>
        </w:rPr>
      </w:pPr>
      <w:r w:rsidRPr="00980D5B">
        <w:rPr>
          <w:b/>
          <w:sz w:val="24"/>
          <w:szCs w:val="24"/>
          <w:lang w:val="en-US"/>
        </w:rPr>
        <w:t xml:space="preserve">PRIE </w:t>
      </w:r>
      <w:r w:rsidR="00D323EB" w:rsidRPr="00980D5B">
        <w:rPr>
          <w:b/>
          <w:sz w:val="24"/>
          <w:szCs w:val="24"/>
          <w:lang w:val="en-US"/>
        </w:rPr>
        <w:t xml:space="preserve">SAVIVALDYBĖS </w:t>
      </w:r>
      <w:r w:rsidRPr="00980D5B">
        <w:rPr>
          <w:b/>
          <w:sz w:val="24"/>
          <w:szCs w:val="24"/>
          <w:lang w:val="en-US"/>
        </w:rPr>
        <w:t>TARYBOS SPRENDIMO</w:t>
      </w:r>
      <w:r w:rsidR="00DD5E64" w:rsidRPr="00980D5B">
        <w:rPr>
          <w:b/>
          <w:sz w:val="24"/>
          <w:szCs w:val="24"/>
          <w:lang w:val="en-US"/>
        </w:rPr>
        <w:t xml:space="preserve"> </w:t>
      </w:r>
      <w:r w:rsidR="00E2635A" w:rsidRPr="00980D5B">
        <w:rPr>
          <w:b/>
          <w:sz w:val="24"/>
          <w:szCs w:val="24"/>
          <w:lang w:val="en-US"/>
        </w:rPr>
        <w:t>PROJEKTO</w:t>
      </w:r>
      <w:r w:rsidR="00E2635A">
        <w:rPr>
          <w:b/>
          <w:sz w:val="24"/>
          <w:szCs w:val="24"/>
          <w:lang w:val="en-US"/>
        </w:rPr>
        <w:t xml:space="preserve"> </w:t>
      </w:r>
      <w:r w:rsidR="009A08C3">
        <w:rPr>
          <w:b/>
          <w:sz w:val="24"/>
          <w:szCs w:val="24"/>
          <w:lang w:val="en-US"/>
        </w:rPr>
        <w:t>„</w:t>
      </w:r>
      <w:r w:rsidR="002E486A" w:rsidRPr="002E486A">
        <w:rPr>
          <w:b/>
          <w:sz w:val="24"/>
          <w:szCs w:val="24"/>
          <w:lang w:val="en-US"/>
        </w:rPr>
        <w:t>DĖL KLAIPĖDOS MIESTO SAVIVALDYBĖS IMANUELIO KANTO VIEŠOSIOS BIBLIOTEKOS NUOSTATŲ PATVIRTINIMO</w:t>
      </w:r>
      <w:r w:rsidR="009A08C3">
        <w:rPr>
          <w:b/>
          <w:sz w:val="24"/>
          <w:szCs w:val="24"/>
          <w:lang w:val="en-US"/>
        </w:rPr>
        <w:t>“</w:t>
      </w:r>
      <w:r w:rsidRPr="00980D5B">
        <w:rPr>
          <w:b/>
          <w:sz w:val="24"/>
          <w:szCs w:val="24"/>
          <w:lang w:val="en-US"/>
        </w:rPr>
        <w:t xml:space="preserve"> </w:t>
      </w:r>
    </w:p>
    <w:p w14:paraId="4F47F752" w14:textId="77777777" w:rsidR="00DD5E64" w:rsidRPr="00980D5B" w:rsidRDefault="00DD5E64" w:rsidP="00DD5E64">
      <w:pPr>
        <w:jc w:val="center"/>
        <w:rPr>
          <w:sz w:val="24"/>
          <w:szCs w:val="24"/>
          <w:lang w:val="en-US"/>
        </w:rPr>
      </w:pP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10405581" w14:textId="63DB398A" w:rsidR="00E12A6E" w:rsidRDefault="009A08C3" w:rsidP="00980D5B">
      <w:pPr>
        <w:ind w:firstLine="709"/>
        <w:jc w:val="both"/>
        <w:rPr>
          <w:sz w:val="24"/>
          <w:szCs w:val="24"/>
        </w:rPr>
      </w:pPr>
      <w:r>
        <w:rPr>
          <w:sz w:val="24"/>
          <w:szCs w:val="24"/>
        </w:rPr>
        <w:t>Šiuo sprendimo projektu</w:t>
      </w:r>
      <w:r w:rsidRPr="009A08C3">
        <w:rPr>
          <w:sz w:val="24"/>
          <w:szCs w:val="24"/>
        </w:rPr>
        <w:t xml:space="preserve"> siūloma pakeisti </w:t>
      </w:r>
      <w:r>
        <w:rPr>
          <w:sz w:val="24"/>
          <w:szCs w:val="24"/>
        </w:rPr>
        <w:t>Klaipėdos</w:t>
      </w:r>
      <w:r w:rsidR="00211B68">
        <w:rPr>
          <w:sz w:val="24"/>
          <w:szCs w:val="24"/>
        </w:rPr>
        <w:t xml:space="preserve"> </w:t>
      </w:r>
      <w:r w:rsidR="00AB40BA">
        <w:rPr>
          <w:sz w:val="24"/>
          <w:szCs w:val="24"/>
        </w:rPr>
        <w:t xml:space="preserve">miesto savivaldybės Imanuelio Kanto viešosios bibliotekos </w:t>
      </w:r>
      <w:r>
        <w:rPr>
          <w:sz w:val="24"/>
          <w:szCs w:val="24"/>
        </w:rPr>
        <w:t>(toliau –</w:t>
      </w:r>
      <w:r w:rsidR="00211B68">
        <w:rPr>
          <w:sz w:val="24"/>
          <w:szCs w:val="24"/>
        </w:rPr>
        <w:t xml:space="preserve"> </w:t>
      </w:r>
      <w:r w:rsidR="00AB40BA">
        <w:rPr>
          <w:sz w:val="24"/>
          <w:szCs w:val="24"/>
        </w:rPr>
        <w:t>KMSVB</w:t>
      </w:r>
      <w:r>
        <w:rPr>
          <w:sz w:val="24"/>
          <w:szCs w:val="24"/>
        </w:rPr>
        <w:t>)</w:t>
      </w:r>
      <w:r w:rsidRPr="009A08C3">
        <w:rPr>
          <w:sz w:val="24"/>
          <w:szCs w:val="24"/>
        </w:rPr>
        <w:t xml:space="preserve"> nuostatus</w:t>
      </w:r>
      <w:r w:rsidR="0042619E">
        <w:rPr>
          <w:sz w:val="24"/>
          <w:szCs w:val="24"/>
        </w:rPr>
        <w:t xml:space="preserve"> (toliau – Nuostatai)</w:t>
      </w:r>
      <w:r w:rsidR="005F0566">
        <w:rPr>
          <w:sz w:val="24"/>
          <w:szCs w:val="24"/>
        </w:rPr>
        <w:t xml:space="preserve"> suderinant juos su naujomis Lietuvos Respublikos vietos savivaldos įstatymo</w:t>
      </w:r>
      <w:r w:rsidR="00AB40BA">
        <w:rPr>
          <w:sz w:val="24"/>
          <w:szCs w:val="24"/>
        </w:rPr>
        <w:t xml:space="preserve"> ir Lietuvos Respublikos </w:t>
      </w:r>
      <w:r w:rsidR="00C5083C">
        <w:rPr>
          <w:sz w:val="24"/>
          <w:szCs w:val="24"/>
        </w:rPr>
        <w:t>bibliotekų įstatymo nuostatomis bei</w:t>
      </w:r>
      <w:r w:rsidR="005F0566">
        <w:rPr>
          <w:sz w:val="24"/>
          <w:szCs w:val="24"/>
        </w:rPr>
        <w:t xml:space="preserve"> iš </w:t>
      </w:r>
      <w:r w:rsidRPr="009A08C3">
        <w:rPr>
          <w:sz w:val="24"/>
          <w:szCs w:val="24"/>
        </w:rPr>
        <w:t xml:space="preserve">naujo </w:t>
      </w:r>
      <w:r w:rsidR="00C5083C">
        <w:rPr>
          <w:sz w:val="24"/>
          <w:szCs w:val="24"/>
        </w:rPr>
        <w:t xml:space="preserve">juos </w:t>
      </w:r>
      <w:r w:rsidRPr="009A08C3">
        <w:rPr>
          <w:sz w:val="24"/>
          <w:szCs w:val="24"/>
        </w:rPr>
        <w:t>suredaguojant.</w:t>
      </w:r>
    </w:p>
    <w:p w14:paraId="6C3B4C08" w14:textId="0F45E128" w:rsidR="00683F87" w:rsidRDefault="00683F87" w:rsidP="00980D5B">
      <w:pPr>
        <w:ind w:firstLine="709"/>
        <w:jc w:val="both"/>
        <w:rPr>
          <w:sz w:val="24"/>
          <w:szCs w:val="24"/>
        </w:rPr>
      </w:pPr>
      <w:r>
        <w:rPr>
          <w:sz w:val="24"/>
          <w:szCs w:val="24"/>
        </w:rPr>
        <w:t>Taip pat KMSVB siekia identifikuotis kaip atvira jaunimo erdvė ir viename iš skyrių (Vaikų ir jaunimo, Tilžės g. 9) plėtoti atvirą darbą su jaunimu</w:t>
      </w:r>
      <w:r w:rsidRPr="00683F87">
        <w:rPr>
          <w:sz w:val="24"/>
          <w:szCs w:val="24"/>
        </w:rPr>
        <w:t>, kuriant sąlygas jaunimo poreikius atitinkančiai, atvirai ir saugiai jaunimo veiklai, skatinti jaunimo socialinių kompetencijų tobulėjimą, grindžiamą savanorišku apsisprendimu ir įsitraukimu dalyvauti atvirose veiklose</w:t>
      </w:r>
      <w:r w:rsidR="00EC3E1B">
        <w:rPr>
          <w:sz w:val="24"/>
          <w:szCs w:val="24"/>
        </w:rPr>
        <w:t xml:space="preserve">, todėl </w:t>
      </w:r>
      <w:r w:rsidR="00D26006">
        <w:rPr>
          <w:sz w:val="24"/>
          <w:szCs w:val="24"/>
        </w:rPr>
        <w:t xml:space="preserve">Nuostatus siūloma papildyti atsižvelgiant į atvirosioms jaunimo erdvėms keliamus reikalavimus. </w:t>
      </w:r>
      <w:r>
        <w:rPr>
          <w:sz w:val="24"/>
          <w:szCs w:val="24"/>
        </w:rPr>
        <w:t xml:space="preserve"> </w:t>
      </w:r>
    </w:p>
    <w:p w14:paraId="2EE19A1A" w14:textId="77777777" w:rsidR="009A08C3" w:rsidRPr="00980D5B" w:rsidRDefault="009A08C3" w:rsidP="00980D5B">
      <w:pPr>
        <w:ind w:firstLine="709"/>
        <w:jc w:val="both"/>
        <w:rPr>
          <w:b/>
          <w:sz w:val="24"/>
          <w:szCs w:val="24"/>
          <w:lang w:val="en-US"/>
        </w:rPr>
      </w:pPr>
    </w:p>
    <w:p w14:paraId="0F1CF050" w14:textId="77777777" w:rsidR="00DD5E64" w:rsidRPr="00980D5B" w:rsidRDefault="00394D94" w:rsidP="00980D5B">
      <w:pPr>
        <w:ind w:firstLine="709"/>
        <w:jc w:val="both"/>
        <w:rPr>
          <w:b/>
          <w:sz w:val="24"/>
          <w:szCs w:val="24"/>
          <w:lang w:val="en-US"/>
        </w:rPr>
      </w:pPr>
      <w:r w:rsidRPr="00980D5B">
        <w:rPr>
          <w:b/>
          <w:sz w:val="24"/>
          <w:szCs w:val="24"/>
        </w:rPr>
        <w:t>2. </w:t>
      </w:r>
      <w:r w:rsidR="00630CED" w:rsidRPr="00630CED">
        <w:rPr>
          <w:b/>
          <w:bCs/>
          <w:sz w:val="24"/>
          <w:szCs w:val="24"/>
        </w:rPr>
        <w:t xml:space="preserve"> </w:t>
      </w:r>
      <w:r w:rsidR="00630CED">
        <w:rPr>
          <w:b/>
          <w:bCs/>
          <w:sz w:val="24"/>
          <w:szCs w:val="24"/>
        </w:rPr>
        <w:t>Projekte aptartų klausimų teisinis reglamentavimas.</w:t>
      </w:r>
    </w:p>
    <w:p w14:paraId="643BD440" w14:textId="228445EE" w:rsidR="00DD5E64" w:rsidRPr="00D559BD" w:rsidRDefault="009A08C3" w:rsidP="00980D5B">
      <w:pPr>
        <w:ind w:firstLine="709"/>
        <w:jc w:val="both"/>
        <w:rPr>
          <w:sz w:val="24"/>
          <w:szCs w:val="24"/>
        </w:rPr>
      </w:pPr>
      <w:r>
        <w:rPr>
          <w:sz w:val="24"/>
          <w:szCs w:val="24"/>
        </w:rPr>
        <w:t>Šis sprendimo projektas parengtas vadovaujantis Lietuvos Respublikos vietos savivaldos įstatymo</w:t>
      </w:r>
      <w:r w:rsidR="0042619E">
        <w:rPr>
          <w:sz w:val="24"/>
          <w:szCs w:val="24"/>
        </w:rPr>
        <w:t xml:space="preserve"> (toliau – VSĮ)</w:t>
      </w:r>
      <w:r w:rsidR="0023060F">
        <w:rPr>
          <w:sz w:val="24"/>
          <w:szCs w:val="24"/>
        </w:rPr>
        <w:t xml:space="preserve"> </w:t>
      </w:r>
      <w:r w:rsidR="0023060F" w:rsidRPr="0023060F">
        <w:rPr>
          <w:sz w:val="24"/>
          <w:szCs w:val="24"/>
        </w:rPr>
        <w:t>15 straipsnio 2 dalies 9 punktu</w:t>
      </w:r>
      <w:r w:rsidR="0023060F">
        <w:rPr>
          <w:sz w:val="24"/>
          <w:szCs w:val="24"/>
        </w:rPr>
        <w:t xml:space="preserve">: </w:t>
      </w:r>
      <w:r>
        <w:rPr>
          <w:sz w:val="24"/>
          <w:szCs w:val="24"/>
        </w:rPr>
        <w:t xml:space="preserve"> </w:t>
      </w:r>
      <w:r w:rsidR="0023060F">
        <w:rPr>
          <w:sz w:val="24"/>
          <w:szCs w:val="24"/>
        </w:rPr>
        <w:t>„</w:t>
      </w:r>
      <w:r w:rsidR="0023060F" w:rsidRPr="0023060F">
        <w:rPr>
          <w:i/>
          <w:sz w:val="24"/>
          <w:szCs w:val="24"/>
        </w:rPr>
        <w:t>1. Savivaldybės tarybos kompetencija yra išimtinė ir paprastoji. &lt;...&gt; 9) savivaldybės biudžetinių įstaigų struktūros, nuostatų ir darbo užmokesčio fondo tvirtinimas, didžiausio leistino valstybės tarnautojų ir darbuotojų, dirbančių pagal darbo sutartis, pareigybių skaičiaus savivaldybės biudžetinėse įstaigose nustatymas mero teikimu;</w:t>
      </w:r>
      <w:r w:rsidR="0023060F">
        <w:rPr>
          <w:sz w:val="24"/>
          <w:szCs w:val="24"/>
        </w:rPr>
        <w:t>“,</w:t>
      </w:r>
      <w:r w:rsidR="00D559BD">
        <w:rPr>
          <w:sz w:val="24"/>
          <w:szCs w:val="24"/>
        </w:rPr>
        <w:t xml:space="preserve"> Lietuvos Respublikos biudžetinių įstaigų įstatymo 6 straipsnio 5 dalimi: „</w:t>
      </w:r>
      <w:r w:rsidR="00D559BD" w:rsidRPr="00D559BD">
        <w:rPr>
          <w:i/>
          <w:sz w:val="24"/>
          <w:szCs w:val="24"/>
        </w:rPr>
        <w:t xml:space="preserve">6 straipsnis. Biudžetinės įstaigos nuostatai &lt;...&gt; </w:t>
      </w:r>
      <w:r w:rsidR="0023060F" w:rsidRPr="00D559BD">
        <w:rPr>
          <w:i/>
          <w:sz w:val="24"/>
          <w:szCs w:val="24"/>
        </w:rPr>
        <w:t xml:space="preserve"> </w:t>
      </w:r>
      <w:r w:rsidR="00D559BD" w:rsidRPr="00D559BD">
        <w:rPr>
          <w:i/>
          <w:sz w:val="24"/>
          <w:szCs w:val="24"/>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r w:rsidR="00211B68">
        <w:rPr>
          <w:i/>
          <w:sz w:val="24"/>
          <w:szCs w:val="24"/>
        </w:rPr>
        <w:t>.</w:t>
      </w:r>
      <w:r w:rsidR="0023060F" w:rsidRPr="0023060F">
        <w:rPr>
          <w:i/>
          <w:sz w:val="24"/>
          <w:szCs w:val="24"/>
        </w:rPr>
        <w:t xml:space="preserve"> </w:t>
      </w:r>
    </w:p>
    <w:p w14:paraId="664A7503" w14:textId="77777777" w:rsidR="00E12A6E" w:rsidRPr="00980D5B" w:rsidRDefault="00E12A6E" w:rsidP="00980D5B">
      <w:pPr>
        <w:ind w:firstLine="709"/>
        <w:jc w:val="both"/>
        <w:rPr>
          <w:sz w:val="24"/>
          <w:szCs w:val="24"/>
          <w:lang w:val="en-US"/>
        </w:rPr>
      </w:pPr>
    </w:p>
    <w:p w14:paraId="5177E528" w14:textId="22E44FE1" w:rsidR="00E25500"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371AA953" w14:textId="0DBB7FFB" w:rsidR="00D26006" w:rsidRDefault="00D26006" w:rsidP="00980D5B">
      <w:pPr>
        <w:ind w:firstLine="709"/>
        <w:jc w:val="both"/>
        <w:rPr>
          <w:sz w:val="24"/>
          <w:szCs w:val="24"/>
        </w:rPr>
      </w:pPr>
      <w:r>
        <w:rPr>
          <w:sz w:val="24"/>
          <w:szCs w:val="24"/>
        </w:rPr>
        <w:t>Siekiant, kad KMSVB padalinys galėtų identifikuotis kaip atvira jaunimo erdvė</w:t>
      </w:r>
      <w:r w:rsidR="00162388">
        <w:rPr>
          <w:sz w:val="24"/>
          <w:szCs w:val="24"/>
        </w:rPr>
        <w:t xml:space="preserve"> ir plėtoti atvirą darbą su jaunimu,</w:t>
      </w:r>
      <w:r w:rsidR="000001B0">
        <w:rPr>
          <w:sz w:val="24"/>
          <w:szCs w:val="24"/>
        </w:rPr>
        <w:t xml:space="preserve"> siūloma Nuostatų 5 punkte patikslin</w:t>
      </w:r>
      <w:r w:rsidR="00162388">
        <w:rPr>
          <w:sz w:val="24"/>
          <w:szCs w:val="24"/>
        </w:rPr>
        <w:t>ti V</w:t>
      </w:r>
      <w:r w:rsidR="000001B0">
        <w:rPr>
          <w:sz w:val="24"/>
          <w:szCs w:val="24"/>
        </w:rPr>
        <w:t xml:space="preserve">aikų ir jaunimo skyriaus pavadinimą, Nuostatus papildyti 14.15 punktu (prie bibliotekos veiklos rūšių įtraukti socialinį darbą). </w:t>
      </w:r>
      <w:r w:rsidR="00F8707D">
        <w:rPr>
          <w:sz w:val="24"/>
          <w:szCs w:val="24"/>
        </w:rPr>
        <w:t>Taip pat siūloma Nuostatus papildy</w:t>
      </w:r>
      <w:r w:rsidR="00162388">
        <w:rPr>
          <w:sz w:val="24"/>
          <w:szCs w:val="24"/>
        </w:rPr>
        <w:t>ti 15.</w:t>
      </w:r>
      <w:r w:rsidR="00F8707D">
        <w:rPr>
          <w:sz w:val="24"/>
          <w:szCs w:val="24"/>
        </w:rPr>
        <w:t>4 punktu, t. y</w:t>
      </w:r>
      <w:r w:rsidR="00162388">
        <w:rPr>
          <w:sz w:val="24"/>
          <w:szCs w:val="24"/>
        </w:rPr>
        <w:t>. įtraukti naują</w:t>
      </w:r>
      <w:r w:rsidR="00F8707D">
        <w:rPr>
          <w:sz w:val="24"/>
          <w:szCs w:val="24"/>
        </w:rPr>
        <w:t xml:space="preserve"> tiksl</w:t>
      </w:r>
      <w:r w:rsidR="00162388">
        <w:rPr>
          <w:sz w:val="24"/>
          <w:szCs w:val="24"/>
        </w:rPr>
        <w:t>ą</w:t>
      </w:r>
      <w:r w:rsidR="00F8707D">
        <w:rPr>
          <w:sz w:val="24"/>
          <w:szCs w:val="24"/>
        </w:rPr>
        <w:t xml:space="preserve"> – vykdyti atvirą darbą su jaunimu ir papildyti bibliotekos funkcijas,</w:t>
      </w:r>
      <w:r w:rsidR="00162388">
        <w:rPr>
          <w:sz w:val="24"/>
          <w:szCs w:val="24"/>
        </w:rPr>
        <w:t xml:space="preserve"> numatant atvirą darbą su jaunimu (Nuostatų 16.9 punktas)</w:t>
      </w:r>
      <w:r w:rsidR="00F8707D">
        <w:rPr>
          <w:sz w:val="24"/>
          <w:szCs w:val="24"/>
        </w:rPr>
        <w:t xml:space="preserve">. </w:t>
      </w:r>
    </w:p>
    <w:p w14:paraId="7247DC32" w14:textId="12F75F96" w:rsidR="00A86F2F" w:rsidRDefault="009F774D" w:rsidP="00980D5B">
      <w:pPr>
        <w:ind w:firstLine="709"/>
        <w:jc w:val="both"/>
        <w:rPr>
          <w:sz w:val="24"/>
          <w:szCs w:val="24"/>
        </w:rPr>
      </w:pPr>
      <w:r>
        <w:rPr>
          <w:sz w:val="24"/>
          <w:szCs w:val="24"/>
        </w:rPr>
        <w:t xml:space="preserve">Atsižvelgiant į Lietuvos Respublikos vietos savivaldos įstatymo 15 straipsnio 2 dalies 29 punktą, siūloma patikslinti Nuostatų 10 punktą nurodant, kad </w:t>
      </w:r>
      <w:r w:rsidR="00AC56F5">
        <w:rPr>
          <w:sz w:val="24"/>
          <w:szCs w:val="24"/>
        </w:rPr>
        <w:t xml:space="preserve">KMSVB teikiamų paslaugų įkainius nustato Savivaldybės taryba. </w:t>
      </w:r>
    </w:p>
    <w:p w14:paraId="0870711D" w14:textId="77777777" w:rsidR="00BC046D" w:rsidRDefault="00A003D1" w:rsidP="00A003D1">
      <w:pPr>
        <w:ind w:firstLine="709"/>
        <w:jc w:val="both"/>
        <w:rPr>
          <w:sz w:val="24"/>
          <w:szCs w:val="24"/>
        </w:rPr>
      </w:pPr>
      <w:r>
        <w:rPr>
          <w:sz w:val="24"/>
          <w:szCs w:val="24"/>
        </w:rPr>
        <w:t xml:space="preserve">Nuostatus siūloma papildyti 16.9 punktu, kuriame numatoma, kad KMSVB gali atlikti kitas, Nuostatuose nepaminėtas funkcijas, nustatytas teisės aktuose.  </w:t>
      </w:r>
    </w:p>
    <w:p w14:paraId="1348A293" w14:textId="7BC70187" w:rsidR="00AB3DD1" w:rsidRDefault="00BC046D" w:rsidP="00A003D1">
      <w:pPr>
        <w:ind w:firstLine="709"/>
        <w:jc w:val="both"/>
        <w:rPr>
          <w:sz w:val="24"/>
          <w:szCs w:val="24"/>
        </w:rPr>
      </w:pPr>
      <w:r>
        <w:rPr>
          <w:sz w:val="24"/>
          <w:szCs w:val="24"/>
        </w:rPr>
        <w:t>Atsižvelgiant į Lietuvos Respublikos vietos savivaldos įstatymo 27 straipsnio 2 dalies 6 punktą, siūloma papildyti Nuostatų 17.1 punktą, kad Savivaldybės taryba tvirtina KMSVB</w:t>
      </w:r>
      <w:r w:rsidRPr="00BC046D">
        <w:t xml:space="preserve"> </w:t>
      </w:r>
      <w:r w:rsidRPr="00BC046D">
        <w:rPr>
          <w:sz w:val="24"/>
          <w:szCs w:val="24"/>
        </w:rPr>
        <w:t>ir darbo užmokesčio fondą bei didžiausio leistino valstybės tarnautojų ir darbuotojų, dirbančių pagal darbo sutartis,</w:t>
      </w:r>
      <w:r>
        <w:rPr>
          <w:sz w:val="24"/>
          <w:szCs w:val="24"/>
        </w:rPr>
        <w:t xml:space="preserve"> pareigybių skaičių bibliotekoje.  </w:t>
      </w:r>
      <w:r w:rsidR="009F774D">
        <w:rPr>
          <w:sz w:val="24"/>
          <w:szCs w:val="24"/>
        </w:rPr>
        <w:t xml:space="preserve"> </w:t>
      </w:r>
    </w:p>
    <w:p w14:paraId="1C929A7F" w14:textId="3DD6D856" w:rsidR="00EB014D" w:rsidRDefault="00EB014D" w:rsidP="00A003D1">
      <w:pPr>
        <w:ind w:firstLine="709"/>
        <w:jc w:val="both"/>
        <w:rPr>
          <w:sz w:val="24"/>
          <w:szCs w:val="24"/>
        </w:rPr>
      </w:pPr>
      <w:r>
        <w:rPr>
          <w:sz w:val="24"/>
          <w:szCs w:val="24"/>
        </w:rPr>
        <w:lastRenderedPageBreak/>
        <w:t xml:space="preserve">Atsižvelgiant į </w:t>
      </w:r>
      <w:r w:rsidR="00D4696D">
        <w:rPr>
          <w:sz w:val="24"/>
          <w:szCs w:val="24"/>
        </w:rPr>
        <w:t xml:space="preserve">Lietuvos Respublikos biudžetinių įstaigų įstatymo 6 straipsnį ir </w:t>
      </w:r>
      <w:r>
        <w:rPr>
          <w:sz w:val="24"/>
          <w:szCs w:val="24"/>
        </w:rPr>
        <w:t xml:space="preserve">Lietuvos Respublikos bibliotekų įstatymo </w:t>
      </w:r>
      <w:r w:rsidRPr="00EB014D">
        <w:rPr>
          <w:bCs/>
          <w:color w:val="000000"/>
          <w:sz w:val="24"/>
        </w:rPr>
        <w:t>6</w:t>
      </w:r>
      <w:r w:rsidRPr="00EB014D">
        <w:rPr>
          <w:bCs/>
          <w:color w:val="000000"/>
          <w:sz w:val="24"/>
          <w:vertAlign w:val="superscript"/>
        </w:rPr>
        <w:t>1</w:t>
      </w:r>
      <w:r>
        <w:rPr>
          <w:bCs/>
          <w:color w:val="000000"/>
          <w:sz w:val="24"/>
          <w:vertAlign w:val="superscript"/>
        </w:rPr>
        <w:t xml:space="preserve"> </w:t>
      </w:r>
      <w:r>
        <w:rPr>
          <w:sz w:val="24"/>
          <w:szCs w:val="24"/>
        </w:rPr>
        <w:t xml:space="preserve">straipsnio 2, </w:t>
      </w:r>
      <w:r w:rsidRPr="000C77A5">
        <w:rPr>
          <w:color w:val="000000"/>
          <w:sz w:val="24"/>
        </w:rPr>
        <w:t>2</w:t>
      </w:r>
      <w:r w:rsidRPr="000C77A5">
        <w:rPr>
          <w:color w:val="000000"/>
          <w:sz w:val="24"/>
          <w:vertAlign w:val="superscript"/>
        </w:rPr>
        <w:t>1</w:t>
      </w:r>
      <w:r w:rsidR="00D4696D">
        <w:rPr>
          <w:color w:val="000000"/>
          <w:sz w:val="24"/>
          <w:vertAlign w:val="superscript"/>
        </w:rPr>
        <w:t xml:space="preserve"> </w:t>
      </w:r>
      <w:r w:rsidR="00D4696D">
        <w:rPr>
          <w:sz w:val="24"/>
          <w:szCs w:val="24"/>
        </w:rPr>
        <w:t>punktus</w:t>
      </w:r>
      <w:r w:rsidR="000122EA">
        <w:rPr>
          <w:sz w:val="24"/>
          <w:szCs w:val="24"/>
        </w:rPr>
        <w:t>,</w:t>
      </w:r>
      <w:r w:rsidR="00D4696D">
        <w:rPr>
          <w:sz w:val="24"/>
          <w:szCs w:val="24"/>
        </w:rPr>
        <w:t xml:space="preserve"> Nuostatus siūloma papildyti 19 punktu, kuriame </w:t>
      </w:r>
      <w:r w:rsidR="000122EA">
        <w:rPr>
          <w:sz w:val="24"/>
          <w:szCs w:val="24"/>
        </w:rPr>
        <w:t xml:space="preserve">numatoma direktoriaus skyrimo tvarka, kadencijos laikotarpis ir pan. </w:t>
      </w:r>
    </w:p>
    <w:p w14:paraId="05207D4C" w14:textId="098853D6" w:rsidR="00A003D1" w:rsidRDefault="00A003D1" w:rsidP="00A003D1">
      <w:pPr>
        <w:ind w:firstLine="709"/>
        <w:jc w:val="both"/>
        <w:rPr>
          <w:sz w:val="24"/>
          <w:szCs w:val="24"/>
        </w:rPr>
      </w:pPr>
      <w:r>
        <w:rPr>
          <w:sz w:val="24"/>
          <w:szCs w:val="24"/>
        </w:rPr>
        <w:t>Remiantis tuo, kad Lietuvos Respublikos bibliotekų įstatym</w:t>
      </w:r>
      <w:r w:rsidR="006E1AAD">
        <w:rPr>
          <w:sz w:val="24"/>
          <w:szCs w:val="24"/>
        </w:rPr>
        <w:t>e nenumatyta, kad savivaldybių viešosiose bibliotekose turi veikti patariamoji taryba,</w:t>
      </w:r>
      <w:r w:rsidR="000122EA">
        <w:rPr>
          <w:sz w:val="24"/>
          <w:szCs w:val="24"/>
        </w:rPr>
        <w:t xml:space="preserve"> siūloma pakoreguoti Nuostatų 22</w:t>
      </w:r>
      <w:r w:rsidR="006E1AAD">
        <w:rPr>
          <w:sz w:val="24"/>
          <w:szCs w:val="24"/>
        </w:rPr>
        <w:t>.15 punktą, pažymint, kad</w:t>
      </w:r>
      <w:r>
        <w:rPr>
          <w:sz w:val="24"/>
          <w:szCs w:val="24"/>
        </w:rPr>
        <w:t xml:space="preserve"> </w:t>
      </w:r>
      <w:r w:rsidR="006E1AAD" w:rsidRPr="006E1AAD">
        <w:rPr>
          <w:sz w:val="24"/>
          <w:szCs w:val="24"/>
        </w:rPr>
        <w:t xml:space="preserve">esant poreikiui, prie </w:t>
      </w:r>
      <w:r w:rsidR="006E1AAD">
        <w:rPr>
          <w:sz w:val="24"/>
          <w:szCs w:val="24"/>
        </w:rPr>
        <w:t>KMSVB</w:t>
      </w:r>
      <w:r w:rsidR="006E1AAD" w:rsidRPr="006E1AAD">
        <w:rPr>
          <w:sz w:val="24"/>
          <w:szCs w:val="24"/>
        </w:rPr>
        <w:t xml:space="preserve"> gali būti sudaroma kolegiali </w:t>
      </w:r>
      <w:r w:rsidR="006E1AAD">
        <w:rPr>
          <w:sz w:val="24"/>
          <w:szCs w:val="24"/>
        </w:rPr>
        <w:t xml:space="preserve">patariamojo balso teisę turinti </w:t>
      </w:r>
      <w:r w:rsidR="006E1AAD" w:rsidRPr="006E1AAD">
        <w:rPr>
          <w:sz w:val="24"/>
          <w:szCs w:val="24"/>
        </w:rPr>
        <w:t>taryba</w:t>
      </w:r>
      <w:r w:rsidR="006E1AAD">
        <w:rPr>
          <w:sz w:val="24"/>
          <w:szCs w:val="24"/>
        </w:rPr>
        <w:t xml:space="preserve">. Taip pat remiantis Lietuvos Respublikos darbo kodekso </w:t>
      </w:r>
      <w:r w:rsidR="00BC046D">
        <w:rPr>
          <w:sz w:val="24"/>
          <w:szCs w:val="24"/>
        </w:rPr>
        <w:t xml:space="preserve">169 straipsnio 1 dalimi, numatyti, kad KMSVB turi veikti darbo taryba. </w:t>
      </w:r>
    </w:p>
    <w:p w14:paraId="739A2130" w14:textId="77777777" w:rsidR="009F774D" w:rsidRPr="00211B68" w:rsidRDefault="009F774D" w:rsidP="00980D5B">
      <w:pPr>
        <w:ind w:firstLine="709"/>
        <w:jc w:val="both"/>
        <w:rPr>
          <w:sz w:val="24"/>
          <w:szCs w:val="24"/>
        </w:rPr>
      </w:pPr>
    </w:p>
    <w:p w14:paraId="67F9502E" w14:textId="77777777" w:rsidR="00E25500" w:rsidRPr="00980D5B"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6285DC43" w14:textId="7716ACF5" w:rsidR="00DD5E64" w:rsidRPr="00980D5B" w:rsidRDefault="0023060F" w:rsidP="00980D5B">
      <w:pPr>
        <w:ind w:firstLine="709"/>
        <w:jc w:val="both"/>
        <w:rPr>
          <w:bCs/>
          <w:sz w:val="24"/>
          <w:szCs w:val="24"/>
        </w:rPr>
      </w:pPr>
      <w:r>
        <w:rPr>
          <w:bCs/>
          <w:sz w:val="24"/>
          <w:szCs w:val="24"/>
        </w:rPr>
        <w:t xml:space="preserve">Neigiamas poveikis nenumatomas. Pritarus šiam sprendimo projektui </w:t>
      </w:r>
      <w:r w:rsidR="00C5083C">
        <w:rPr>
          <w:bCs/>
          <w:sz w:val="24"/>
          <w:szCs w:val="24"/>
        </w:rPr>
        <w:t>KMSVB</w:t>
      </w:r>
      <w:r w:rsidR="00BA1C32">
        <w:rPr>
          <w:bCs/>
          <w:sz w:val="24"/>
          <w:szCs w:val="24"/>
        </w:rPr>
        <w:t xml:space="preserve"> </w:t>
      </w:r>
      <w:r>
        <w:rPr>
          <w:bCs/>
          <w:sz w:val="24"/>
          <w:szCs w:val="24"/>
        </w:rPr>
        <w:t>nuostatai bus suder</w:t>
      </w:r>
      <w:r w:rsidR="00B50C26">
        <w:rPr>
          <w:bCs/>
          <w:sz w:val="24"/>
          <w:szCs w:val="24"/>
        </w:rPr>
        <w:t>inti su šiuo metu galiojančiais įstatymais</w:t>
      </w:r>
      <w:r>
        <w:rPr>
          <w:bCs/>
          <w:sz w:val="24"/>
          <w:szCs w:val="24"/>
        </w:rPr>
        <w:t xml:space="preserve">. </w:t>
      </w:r>
    </w:p>
    <w:p w14:paraId="445FD13A" w14:textId="77777777" w:rsidR="00E12A6E" w:rsidRPr="00980D5B" w:rsidRDefault="00E12A6E" w:rsidP="00980D5B">
      <w:pPr>
        <w:ind w:firstLine="709"/>
        <w:jc w:val="both"/>
        <w:rPr>
          <w:sz w:val="24"/>
          <w:szCs w:val="24"/>
          <w:lang w:val="en-US"/>
        </w:rPr>
      </w:pP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01ECC177" w14:textId="4912139B" w:rsidR="00824E3D" w:rsidRPr="00980D5B" w:rsidRDefault="00FA4392" w:rsidP="00980D5B">
      <w:pPr>
        <w:ind w:firstLine="709"/>
        <w:jc w:val="both"/>
        <w:rPr>
          <w:bCs/>
          <w:sz w:val="24"/>
          <w:szCs w:val="24"/>
        </w:rPr>
      </w:pPr>
      <w:r>
        <w:rPr>
          <w:bCs/>
          <w:sz w:val="24"/>
          <w:szCs w:val="24"/>
        </w:rPr>
        <w:t xml:space="preserve">Pritarus sprendimo projektui reikalinga atnaujinti </w:t>
      </w:r>
      <w:r w:rsidR="00C5083C">
        <w:rPr>
          <w:bCs/>
          <w:sz w:val="24"/>
          <w:szCs w:val="24"/>
        </w:rPr>
        <w:t>KMSVB</w:t>
      </w:r>
      <w:r w:rsidR="00BA1C32">
        <w:rPr>
          <w:bCs/>
          <w:sz w:val="24"/>
          <w:szCs w:val="24"/>
        </w:rPr>
        <w:t xml:space="preserve"> </w:t>
      </w:r>
      <w:r>
        <w:rPr>
          <w:bCs/>
          <w:sz w:val="24"/>
          <w:szCs w:val="24"/>
        </w:rPr>
        <w:t xml:space="preserve">didžiausią leistiną pareigybių skaičių. Dokumentus ruošia Planavimo ir analizės skyrius. </w:t>
      </w:r>
    </w:p>
    <w:p w14:paraId="72C69F56" w14:textId="77777777" w:rsidR="00E12A6E" w:rsidRPr="00980D5B" w:rsidRDefault="00E12A6E" w:rsidP="00980D5B">
      <w:pPr>
        <w:ind w:firstLine="709"/>
        <w:jc w:val="both"/>
        <w:rPr>
          <w:sz w:val="24"/>
          <w:szCs w:val="24"/>
          <w:lang w:val="en-US"/>
        </w:rPr>
      </w:pPr>
    </w:p>
    <w:p w14:paraId="48DB8D6C" w14:textId="77777777" w:rsidR="00DD5E64" w:rsidRPr="00980D5B" w:rsidRDefault="00DD5E64" w:rsidP="00980D5B">
      <w:pPr>
        <w:ind w:firstLine="709"/>
        <w:jc w:val="both"/>
        <w:rPr>
          <w:sz w:val="24"/>
          <w:szCs w:val="24"/>
          <w:lang w:val="en-US"/>
        </w:rPr>
      </w:pPr>
      <w:r w:rsidRPr="00980D5B">
        <w:rPr>
          <w:b/>
          <w:sz w:val="24"/>
          <w:szCs w:val="24"/>
          <w:lang w:val="en-US"/>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29CD3749" w14:textId="2ADB82A0" w:rsidR="00824E3D" w:rsidRPr="00980D5B" w:rsidRDefault="00D45B6D" w:rsidP="00980D5B">
      <w:pPr>
        <w:ind w:firstLine="709"/>
        <w:jc w:val="both"/>
        <w:rPr>
          <w:bCs/>
          <w:sz w:val="24"/>
          <w:szCs w:val="24"/>
        </w:rPr>
      </w:pPr>
      <w:r>
        <w:rPr>
          <w:bCs/>
          <w:sz w:val="24"/>
          <w:szCs w:val="24"/>
        </w:rPr>
        <w:t>Biudžeto lėšų poreikio nėra.</w:t>
      </w:r>
    </w:p>
    <w:p w14:paraId="40CEB733" w14:textId="77777777" w:rsidR="00897DDA" w:rsidRPr="00980D5B" w:rsidRDefault="00897DDA" w:rsidP="00980D5B">
      <w:pPr>
        <w:ind w:firstLine="709"/>
        <w:jc w:val="both"/>
        <w:rPr>
          <w:b/>
          <w:bCs/>
          <w:sz w:val="24"/>
          <w:szCs w:val="24"/>
        </w:rPr>
      </w:pPr>
    </w:p>
    <w:p w14:paraId="5556E489" w14:textId="77777777"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018A40C7" w14:textId="7EAB2D83" w:rsidR="00DD5E64" w:rsidRPr="00980D5B" w:rsidRDefault="00D45B6D" w:rsidP="00980D5B">
      <w:pPr>
        <w:ind w:firstLine="709"/>
        <w:jc w:val="both"/>
        <w:rPr>
          <w:sz w:val="24"/>
          <w:szCs w:val="24"/>
          <w:lang w:val="en-US"/>
        </w:rPr>
      </w:pPr>
      <w:r>
        <w:rPr>
          <w:bCs/>
          <w:sz w:val="24"/>
          <w:szCs w:val="24"/>
        </w:rPr>
        <w:t xml:space="preserve">Išvadų negauta. </w:t>
      </w:r>
    </w:p>
    <w:p w14:paraId="2FE3C013" w14:textId="77777777" w:rsidR="00980D5B" w:rsidRDefault="00980D5B" w:rsidP="00980D5B">
      <w:pPr>
        <w:ind w:firstLine="709"/>
        <w:jc w:val="both"/>
        <w:rPr>
          <w:b/>
          <w:bCs/>
          <w:sz w:val="24"/>
          <w:szCs w:val="24"/>
        </w:rPr>
      </w:pPr>
    </w:p>
    <w:p w14:paraId="4F4C7211" w14:textId="7C47B5FF" w:rsidR="00DD5E64" w:rsidRDefault="00897DDA" w:rsidP="00980D5B">
      <w:pPr>
        <w:ind w:firstLine="709"/>
        <w:jc w:val="both"/>
        <w:rPr>
          <w:b/>
          <w:bCs/>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661E0134" w14:textId="081C3F5F" w:rsidR="00D45B6D" w:rsidRPr="00D45B6D" w:rsidRDefault="00D45B6D" w:rsidP="00980D5B">
      <w:pPr>
        <w:ind w:firstLine="709"/>
        <w:jc w:val="both"/>
        <w:rPr>
          <w:sz w:val="24"/>
          <w:szCs w:val="24"/>
        </w:rPr>
      </w:pPr>
      <w:r w:rsidRPr="00D45B6D">
        <w:rPr>
          <w:bCs/>
          <w:sz w:val="24"/>
          <w:szCs w:val="24"/>
        </w:rPr>
        <w:t xml:space="preserve">Nėra. </w:t>
      </w:r>
    </w:p>
    <w:p w14:paraId="42C0E15C" w14:textId="77777777" w:rsidR="00897DDA" w:rsidRPr="00980D5B" w:rsidRDefault="00897DDA" w:rsidP="00DD5E64">
      <w:pPr>
        <w:rPr>
          <w:sz w:val="24"/>
          <w:szCs w:val="24"/>
        </w:rPr>
      </w:pPr>
    </w:p>
    <w:p w14:paraId="7C926D38" w14:textId="77777777" w:rsidR="00DD5E64" w:rsidRPr="00BF7F94" w:rsidRDefault="00DD5E64" w:rsidP="00DD5E64">
      <w:pPr>
        <w:ind w:right="-82"/>
        <w:rPr>
          <w:bCs/>
          <w:sz w:val="24"/>
          <w:szCs w:val="24"/>
        </w:rPr>
      </w:pPr>
      <w:r w:rsidRPr="00BF7F94">
        <w:rPr>
          <w:bCs/>
          <w:sz w:val="24"/>
          <w:szCs w:val="24"/>
        </w:rPr>
        <w:t>PRIDEDAMA:</w:t>
      </w:r>
    </w:p>
    <w:p w14:paraId="187505A4" w14:textId="53DE9A63" w:rsidR="00DD5E64" w:rsidRPr="00980D5B" w:rsidRDefault="00D45B6D" w:rsidP="008513D8">
      <w:pPr>
        <w:ind w:right="-82" w:firstLine="709"/>
        <w:jc w:val="both"/>
        <w:rPr>
          <w:sz w:val="24"/>
          <w:szCs w:val="24"/>
        </w:rPr>
      </w:pPr>
      <w:r>
        <w:rPr>
          <w:sz w:val="24"/>
          <w:szCs w:val="24"/>
        </w:rPr>
        <w:t xml:space="preserve">1. </w:t>
      </w:r>
      <w:r w:rsidR="005F0566">
        <w:rPr>
          <w:sz w:val="24"/>
          <w:szCs w:val="24"/>
        </w:rPr>
        <w:t>Klaipėdos</w:t>
      </w:r>
      <w:r w:rsidR="00C5083C">
        <w:rPr>
          <w:sz w:val="24"/>
          <w:szCs w:val="24"/>
        </w:rPr>
        <w:t xml:space="preserve"> miesto savivaldybės Imanuelio Kanto viešosios bibliotekos</w:t>
      </w:r>
      <w:r w:rsidR="005F0566">
        <w:rPr>
          <w:sz w:val="24"/>
          <w:szCs w:val="24"/>
        </w:rPr>
        <w:t xml:space="preserve"> nuostatai,</w:t>
      </w:r>
      <w:r w:rsidR="00FC787F">
        <w:rPr>
          <w:sz w:val="24"/>
          <w:szCs w:val="24"/>
        </w:rPr>
        <w:t xml:space="preserve"> patvirtint</w:t>
      </w:r>
      <w:r w:rsidR="00C5083C">
        <w:rPr>
          <w:sz w:val="24"/>
          <w:szCs w:val="24"/>
        </w:rPr>
        <w:t>i 2018 m. gruodžio 2</w:t>
      </w:r>
      <w:r w:rsidR="005F0566">
        <w:rPr>
          <w:sz w:val="24"/>
          <w:szCs w:val="24"/>
        </w:rPr>
        <w:t>0 d. sprendimu</w:t>
      </w:r>
      <w:r w:rsidR="00FC787F">
        <w:rPr>
          <w:sz w:val="24"/>
          <w:szCs w:val="24"/>
        </w:rPr>
        <w:t xml:space="preserve"> Nr. </w:t>
      </w:r>
      <w:r w:rsidR="00C5083C" w:rsidRPr="00C5083C">
        <w:rPr>
          <w:sz w:val="24"/>
          <w:szCs w:val="24"/>
        </w:rPr>
        <w:t xml:space="preserve">T2-274 </w:t>
      </w:r>
      <w:r w:rsidR="00FC787F">
        <w:rPr>
          <w:sz w:val="24"/>
          <w:szCs w:val="24"/>
        </w:rPr>
        <w:t>„</w:t>
      </w:r>
      <w:r w:rsidR="00C5083C" w:rsidRPr="00C5083C">
        <w:rPr>
          <w:sz w:val="24"/>
        </w:rPr>
        <w:t>Dėl Klaipėdos miesto savivaldybės viešosios bibliotekos pavadinimo pakeitimo</w:t>
      </w:r>
      <w:r w:rsidR="00FC787F">
        <w:rPr>
          <w:sz w:val="24"/>
          <w:szCs w:val="24"/>
        </w:rPr>
        <w:t>“</w:t>
      </w:r>
      <w:r>
        <w:rPr>
          <w:sz w:val="24"/>
          <w:szCs w:val="24"/>
        </w:rPr>
        <w:t xml:space="preserve">, </w:t>
      </w:r>
      <w:r w:rsidR="00C5083C">
        <w:rPr>
          <w:sz w:val="24"/>
          <w:szCs w:val="24"/>
        </w:rPr>
        <w:t>6</w:t>
      </w:r>
      <w:r w:rsidR="00FC787F">
        <w:rPr>
          <w:sz w:val="24"/>
          <w:szCs w:val="24"/>
        </w:rPr>
        <w:t xml:space="preserve"> </w:t>
      </w:r>
      <w:r>
        <w:rPr>
          <w:sz w:val="24"/>
          <w:szCs w:val="24"/>
        </w:rPr>
        <w:t>lapai</w:t>
      </w:r>
      <w:r w:rsidR="00F22F47" w:rsidRPr="00980D5B">
        <w:rPr>
          <w:sz w:val="24"/>
          <w:szCs w:val="24"/>
        </w:rPr>
        <w:t>;</w:t>
      </w:r>
    </w:p>
    <w:p w14:paraId="560B87DB" w14:textId="77777777" w:rsidR="00F22F47" w:rsidRDefault="00F22F47" w:rsidP="00DD5E64">
      <w:pPr>
        <w:ind w:right="-82"/>
        <w:rPr>
          <w:sz w:val="24"/>
          <w:szCs w:val="24"/>
        </w:rPr>
      </w:pPr>
    </w:p>
    <w:p w14:paraId="1367CF21" w14:textId="77777777" w:rsidR="00980D5B" w:rsidRPr="00980D5B" w:rsidRDefault="00980D5B" w:rsidP="00DD5E64">
      <w:pPr>
        <w:ind w:right="-82"/>
        <w:rPr>
          <w:sz w:val="24"/>
          <w:szCs w:val="24"/>
        </w:rPr>
      </w:pPr>
    </w:p>
    <w:tbl>
      <w:tblPr>
        <w:tblW w:w="0" w:type="auto"/>
        <w:tblLook w:val="04A0" w:firstRow="1" w:lastRow="0" w:firstColumn="1" w:lastColumn="0" w:noHBand="0" w:noVBand="1"/>
      </w:tblPr>
      <w:tblGrid>
        <w:gridCol w:w="4413"/>
        <w:gridCol w:w="2759"/>
        <w:gridCol w:w="2800"/>
      </w:tblGrid>
      <w:tr w:rsidR="00980D5B" w:rsidRPr="00C267F5" w14:paraId="4D78E1BD" w14:textId="77777777" w:rsidTr="00C267F5">
        <w:tc>
          <w:tcPr>
            <w:tcW w:w="4503" w:type="dxa"/>
            <w:tcBorders>
              <w:bottom w:val="single" w:sz="4" w:space="0" w:color="auto"/>
            </w:tcBorders>
            <w:shd w:val="clear" w:color="auto" w:fill="auto"/>
          </w:tcPr>
          <w:p w14:paraId="1081CE0D" w14:textId="2D739088" w:rsidR="00980D5B" w:rsidRPr="00C267F5" w:rsidRDefault="005962E1" w:rsidP="005962E1">
            <w:pPr>
              <w:ind w:right="-82"/>
              <w:rPr>
                <w:sz w:val="24"/>
                <w:szCs w:val="24"/>
              </w:rPr>
            </w:pPr>
            <w:r w:rsidRPr="005962E1">
              <w:rPr>
                <w:sz w:val="24"/>
                <w:szCs w:val="24"/>
              </w:rPr>
              <w:t>Kultūros skyriaus vyriausioji specialistė, pavaduojanti Kultūros skyriaus vedėją</w:t>
            </w:r>
          </w:p>
        </w:tc>
        <w:tc>
          <w:tcPr>
            <w:tcW w:w="2835" w:type="dxa"/>
            <w:shd w:val="clear" w:color="auto" w:fill="auto"/>
          </w:tcPr>
          <w:p w14:paraId="5ECA90E1" w14:textId="77777777" w:rsidR="00980D5B" w:rsidRPr="00C267F5" w:rsidRDefault="00980D5B" w:rsidP="00C267F5">
            <w:pPr>
              <w:ind w:right="-82"/>
              <w:rPr>
                <w:sz w:val="24"/>
                <w:szCs w:val="24"/>
              </w:rPr>
            </w:pPr>
          </w:p>
        </w:tc>
        <w:tc>
          <w:tcPr>
            <w:tcW w:w="2850" w:type="dxa"/>
            <w:tcBorders>
              <w:bottom w:val="single" w:sz="4" w:space="0" w:color="auto"/>
            </w:tcBorders>
            <w:shd w:val="clear" w:color="auto" w:fill="auto"/>
          </w:tcPr>
          <w:p w14:paraId="12C2F1DE" w14:textId="77777777" w:rsidR="00980D5B" w:rsidRDefault="00980D5B" w:rsidP="00C267F5">
            <w:pPr>
              <w:ind w:right="-82"/>
              <w:rPr>
                <w:sz w:val="24"/>
                <w:szCs w:val="24"/>
              </w:rPr>
            </w:pPr>
          </w:p>
          <w:p w14:paraId="1C24DE82" w14:textId="1DAC188C" w:rsidR="005962E1" w:rsidRPr="00C267F5" w:rsidRDefault="005962E1" w:rsidP="00C267F5">
            <w:pPr>
              <w:ind w:right="-82"/>
              <w:rPr>
                <w:sz w:val="24"/>
                <w:szCs w:val="24"/>
              </w:rPr>
            </w:pPr>
            <w:r>
              <w:rPr>
                <w:sz w:val="24"/>
                <w:szCs w:val="24"/>
              </w:rPr>
              <w:t>Germinta Patašiūtė</w:t>
            </w:r>
          </w:p>
        </w:tc>
      </w:tr>
      <w:tr w:rsidR="00980D5B" w:rsidRPr="00C267F5" w14:paraId="4F60C3DB" w14:textId="77777777" w:rsidTr="00C267F5">
        <w:tc>
          <w:tcPr>
            <w:tcW w:w="4503" w:type="dxa"/>
            <w:tcBorders>
              <w:top w:val="single" w:sz="4" w:space="0" w:color="auto"/>
            </w:tcBorders>
            <w:shd w:val="clear" w:color="auto" w:fill="auto"/>
          </w:tcPr>
          <w:p w14:paraId="3178F890" w14:textId="77777777" w:rsidR="00980D5B" w:rsidRPr="00C267F5" w:rsidRDefault="00980D5B" w:rsidP="00082C95">
            <w:pPr>
              <w:ind w:right="-82"/>
              <w:jc w:val="center"/>
              <w:rPr>
                <w:sz w:val="24"/>
                <w:szCs w:val="24"/>
              </w:rPr>
            </w:pPr>
            <w:r w:rsidRPr="00C267F5">
              <w:rPr>
                <w:i/>
                <w:iCs/>
              </w:rPr>
              <w:t>(Skyriaus vedėjas)</w:t>
            </w:r>
          </w:p>
        </w:tc>
        <w:tc>
          <w:tcPr>
            <w:tcW w:w="2835" w:type="dxa"/>
            <w:shd w:val="clear" w:color="auto" w:fill="auto"/>
          </w:tcPr>
          <w:p w14:paraId="08E46B2E" w14:textId="77777777" w:rsidR="00980D5B" w:rsidRPr="00C267F5" w:rsidRDefault="00980D5B" w:rsidP="00C267F5">
            <w:pPr>
              <w:ind w:right="-82"/>
              <w:jc w:val="right"/>
              <w:rPr>
                <w:i/>
                <w:iCs/>
              </w:rPr>
            </w:pPr>
          </w:p>
        </w:tc>
        <w:tc>
          <w:tcPr>
            <w:tcW w:w="2850" w:type="dxa"/>
            <w:tcBorders>
              <w:top w:val="single" w:sz="4" w:space="0" w:color="auto"/>
            </w:tcBorders>
            <w:shd w:val="clear" w:color="auto" w:fill="auto"/>
          </w:tcPr>
          <w:p w14:paraId="3DF08666" w14:textId="77777777" w:rsidR="00980D5B" w:rsidRPr="00C267F5" w:rsidRDefault="00980D5B" w:rsidP="00082C95">
            <w:pPr>
              <w:ind w:right="-82"/>
              <w:jc w:val="center"/>
              <w:rPr>
                <w:sz w:val="24"/>
                <w:szCs w:val="24"/>
              </w:rPr>
            </w:pPr>
            <w:r w:rsidRPr="00C267F5">
              <w:rPr>
                <w:i/>
                <w:iCs/>
              </w:rPr>
              <w:t>(Vardas ir pavardė)</w:t>
            </w:r>
          </w:p>
        </w:tc>
      </w:tr>
    </w:tbl>
    <w:p w14:paraId="4E46895E" w14:textId="4A1B2A1B" w:rsidR="00E358FB" w:rsidRDefault="00E358FB" w:rsidP="00980D5B">
      <w:pPr>
        <w:ind w:right="-82"/>
        <w:rPr>
          <w:i/>
          <w:iCs/>
        </w:rPr>
      </w:pPr>
    </w:p>
    <w:p w14:paraId="0F2B3C68" w14:textId="08B9249F" w:rsidR="00D45B6D" w:rsidRDefault="00D45B6D" w:rsidP="00980D5B">
      <w:pPr>
        <w:ind w:right="-82"/>
        <w:rPr>
          <w:i/>
          <w:iCs/>
        </w:rPr>
      </w:pPr>
    </w:p>
    <w:p w14:paraId="41BE9C23" w14:textId="4878C348" w:rsidR="00D45B6D" w:rsidRDefault="00D45B6D" w:rsidP="00980D5B">
      <w:pPr>
        <w:ind w:right="-82"/>
        <w:rPr>
          <w:i/>
          <w:iCs/>
        </w:rPr>
      </w:pPr>
    </w:p>
    <w:p w14:paraId="5BE86F74" w14:textId="7F08AE39" w:rsidR="00D45B6D" w:rsidRDefault="00D45B6D" w:rsidP="00980D5B">
      <w:pPr>
        <w:ind w:right="-82"/>
        <w:rPr>
          <w:i/>
          <w:iCs/>
        </w:rPr>
      </w:pPr>
    </w:p>
    <w:p w14:paraId="0B10AEEE" w14:textId="1A139B6F" w:rsidR="00D45B6D" w:rsidRDefault="00D45B6D" w:rsidP="00980D5B">
      <w:pPr>
        <w:ind w:right="-82"/>
        <w:rPr>
          <w:i/>
          <w:iCs/>
        </w:rPr>
      </w:pPr>
    </w:p>
    <w:p w14:paraId="7D3EA2EC" w14:textId="4486CDD4" w:rsidR="00D45B6D" w:rsidRDefault="00D45B6D" w:rsidP="00980D5B">
      <w:pPr>
        <w:ind w:right="-82"/>
        <w:rPr>
          <w:i/>
          <w:iCs/>
        </w:rPr>
      </w:pPr>
    </w:p>
    <w:p w14:paraId="781CEC26" w14:textId="089C53B6" w:rsidR="00D45B6D" w:rsidRDefault="00D45B6D" w:rsidP="00980D5B">
      <w:pPr>
        <w:ind w:right="-82"/>
        <w:rPr>
          <w:i/>
          <w:iCs/>
        </w:rPr>
      </w:pPr>
    </w:p>
    <w:p w14:paraId="704421CA" w14:textId="00D136D3" w:rsidR="00D45B6D" w:rsidRDefault="00D45B6D" w:rsidP="00980D5B">
      <w:pPr>
        <w:ind w:right="-82"/>
        <w:rPr>
          <w:i/>
          <w:iCs/>
        </w:rPr>
      </w:pPr>
    </w:p>
    <w:p w14:paraId="7530FA9D" w14:textId="137912A6" w:rsidR="00D45B6D" w:rsidRDefault="00D45B6D" w:rsidP="00980D5B">
      <w:pPr>
        <w:ind w:right="-82"/>
        <w:rPr>
          <w:i/>
          <w:iCs/>
        </w:rPr>
      </w:pPr>
    </w:p>
    <w:p w14:paraId="26CD1910" w14:textId="25473B7A" w:rsidR="003355BE" w:rsidRDefault="003355BE" w:rsidP="00980D5B">
      <w:pPr>
        <w:ind w:right="-82"/>
        <w:rPr>
          <w:i/>
          <w:iCs/>
        </w:rPr>
      </w:pPr>
    </w:p>
    <w:p w14:paraId="212911EB" w14:textId="3FA131C6" w:rsidR="003355BE" w:rsidRDefault="003355BE" w:rsidP="00980D5B">
      <w:pPr>
        <w:ind w:right="-82"/>
        <w:rPr>
          <w:i/>
          <w:iCs/>
        </w:rPr>
      </w:pPr>
    </w:p>
    <w:p w14:paraId="25FF44C2" w14:textId="4CFD996C" w:rsidR="003355BE" w:rsidRDefault="003355BE" w:rsidP="00980D5B">
      <w:pPr>
        <w:ind w:right="-82"/>
        <w:rPr>
          <w:i/>
          <w:iCs/>
        </w:rPr>
      </w:pPr>
    </w:p>
    <w:p w14:paraId="37F3A0FF" w14:textId="15414838" w:rsidR="003355BE" w:rsidRDefault="003355BE" w:rsidP="00980D5B">
      <w:pPr>
        <w:ind w:right="-82"/>
        <w:rPr>
          <w:i/>
          <w:iCs/>
        </w:rPr>
      </w:pPr>
    </w:p>
    <w:p w14:paraId="274A951D" w14:textId="6D296E7D" w:rsidR="00D45B6D" w:rsidRPr="00D45B6D" w:rsidRDefault="00D45B6D" w:rsidP="00980D5B">
      <w:pPr>
        <w:ind w:right="-82"/>
        <w:rPr>
          <w:iCs/>
          <w:sz w:val="24"/>
        </w:rPr>
      </w:pPr>
    </w:p>
    <w:sectPr w:rsidR="00D45B6D" w:rsidRPr="00D45B6D"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01B0"/>
    <w:rsid w:val="00006285"/>
    <w:rsid w:val="00010DBB"/>
    <w:rsid w:val="000122EA"/>
    <w:rsid w:val="000429F3"/>
    <w:rsid w:val="00045EDA"/>
    <w:rsid w:val="00053499"/>
    <w:rsid w:val="00082C95"/>
    <w:rsid w:val="000B165F"/>
    <w:rsid w:val="000C77A5"/>
    <w:rsid w:val="001356DF"/>
    <w:rsid w:val="00154B21"/>
    <w:rsid w:val="00162388"/>
    <w:rsid w:val="00191162"/>
    <w:rsid w:val="001B7BC9"/>
    <w:rsid w:val="001F5034"/>
    <w:rsid w:val="00205DCD"/>
    <w:rsid w:val="00211B68"/>
    <w:rsid w:val="0023060F"/>
    <w:rsid w:val="00234497"/>
    <w:rsid w:val="00263407"/>
    <w:rsid w:val="002815CB"/>
    <w:rsid w:val="002A46BC"/>
    <w:rsid w:val="002D2A17"/>
    <w:rsid w:val="002E486A"/>
    <w:rsid w:val="003355BE"/>
    <w:rsid w:val="00372C9A"/>
    <w:rsid w:val="00394D94"/>
    <w:rsid w:val="003C0A16"/>
    <w:rsid w:val="0042619E"/>
    <w:rsid w:val="00460B26"/>
    <w:rsid w:val="004656DE"/>
    <w:rsid w:val="00475568"/>
    <w:rsid w:val="004A4DB7"/>
    <w:rsid w:val="004C6A28"/>
    <w:rsid w:val="004E24BA"/>
    <w:rsid w:val="00506582"/>
    <w:rsid w:val="005962E1"/>
    <w:rsid w:val="005C0353"/>
    <w:rsid w:val="005F0566"/>
    <w:rsid w:val="00630CED"/>
    <w:rsid w:val="00652CE1"/>
    <w:rsid w:val="00683F87"/>
    <w:rsid w:val="00686656"/>
    <w:rsid w:val="006901D1"/>
    <w:rsid w:val="006E1AAD"/>
    <w:rsid w:val="007303F6"/>
    <w:rsid w:val="00767937"/>
    <w:rsid w:val="007A35E9"/>
    <w:rsid w:val="00802074"/>
    <w:rsid w:val="008218DF"/>
    <w:rsid w:val="00824E3D"/>
    <w:rsid w:val="00835296"/>
    <w:rsid w:val="008513D8"/>
    <w:rsid w:val="00861FD9"/>
    <w:rsid w:val="0089676E"/>
    <w:rsid w:val="00897DDA"/>
    <w:rsid w:val="008C4110"/>
    <w:rsid w:val="008F2CDB"/>
    <w:rsid w:val="009051CF"/>
    <w:rsid w:val="0092357B"/>
    <w:rsid w:val="00925A2D"/>
    <w:rsid w:val="00954A32"/>
    <w:rsid w:val="00980D5B"/>
    <w:rsid w:val="009A08C3"/>
    <w:rsid w:val="009F774D"/>
    <w:rsid w:val="00A003D1"/>
    <w:rsid w:val="00A5040A"/>
    <w:rsid w:val="00A62A30"/>
    <w:rsid w:val="00A849CF"/>
    <w:rsid w:val="00A86F2F"/>
    <w:rsid w:val="00AA0F8D"/>
    <w:rsid w:val="00AB3DD1"/>
    <w:rsid w:val="00AB40BA"/>
    <w:rsid w:val="00AC4AB1"/>
    <w:rsid w:val="00AC56F5"/>
    <w:rsid w:val="00AD0031"/>
    <w:rsid w:val="00AD57EC"/>
    <w:rsid w:val="00AF6141"/>
    <w:rsid w:val="00B03754"/>
    <w:rsid w:val="00B143BF"/>
    <w:rsid w:val="00B50C26"/>
    <w:rsid w:val="00B93E23"/>
    <w:rsid w:val="00BA1C32"/>
    <w:rsid w:val="00BB21D8"/>
    <w:rsid w:val="00BC046D"/>
    <w:rsid w:val="00BD08AA"/>
    <w:rsid w:val="00BF4F4F"/>
    <w:rsid w:val="00BF7F94"/>
    <w:rsid w:val="00C267F5"/>
    <w:rsid w:val="00C2696B"/>
    <w:rsid w:val="00C5083C"/>
    <w:rsid w:val="00C55EF5"/>
    <w:rsid w:val="00C91837"/>
    <w:rsid w:val="00CB2E62"/>
    <w:rsid w:val="00CD781A"/>
    <w:rsid w:val="00D26006"/>
    <w:rsid w:val="00D323EB"/>
    <w:rsid w:val="00D44548"/>
    <w:rsid w:val="00D45B6D"/>
    <w:rsid w:val="00D4696D"/>
    <w:rsid w:val="00D559BD"/>
    <w:rsid w:val="00DA2F2C"/>
    <w:rsid w:val="00DA7BD8"/>
    <w:rsid w:val="00DD5E64"/>
    <w:rsid w:val="00E12A6E"/>
    <w:rsid w:val="00E25500"/>
    <w:rsid w:val="00E2635A"/>
    <w:rsid w:val="00E358FB"/>
    <w:rsid w:val="00E63AE2"/>
    <w:rsid w:val="00E77E21"/>
    <w:rsid w:val="00E809DA"/>
    <w:rsid w:val="00E91C06"/>
    <w:rsid w:val="00EA3777"/>
    <w:rsid w:val="00EA5178"/>
    <w:rsid w:val="00EB014D"/>
    <w:rsid w:val="00EC3E1B"/>
    <w:rsid w:val="00F0672B"/>
    <w:rsid w:val="00F13A78"/>
    <w:rsid w:val="00F22F47"/>
    <w:rsid w:val="00F64119"/>
    <w:rsid w:val="00F853BF"/>
    <w:rsid w:val="00F8707D"/>
    <w:rsid w:val="00F917FC"/>
    <w:rsid w:val="00FA4392"/>
    <w:rsid w:val="00FC787F"/>
    <w:rsid w:val="00FD002D"/>
    <w:rsid w:val="00FD6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 w:type="character" w:styleId="Hipersaitas">
    <w:name w:val="Hyperlink"/>
    <w:basedOn w:val="Numatytasispastraiposriftas"/>
    <w:rsid w:val="00E77E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654</Words>
  <Characters>4813</Characters>
  <Application>Microsoft Office Word</Application>
  <DocSecurity>4</DocSecurity>
  <Lines>40</Lines>
  <Paragraphs>10</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Greta Jundulė</cp:lastModifiedBy>
  <cp:revision>2</cp:revision>
  <cp:lastPrinted>2009-06-17T12:22:00Z</cp:lastPrinted>
  <dcterms:created xsi:type="dcterms:W3CDTF">2023-08-29T10:13:00Z</dcterms:created>
  <dcterms:modified xsi:type="dcterms:W3CDTF">2023-08-29T10:13:00Z</dcterms:modified>
</cp:coreProperties>
</file>