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04238609" w:rsidR="00DD5E64" w:rsidRPr="00980D5B"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5E6F0E">
        <w:rPr>
          <w:b/>
          <w:sz w:val="24"/>
          <w:szCs w:val="24"/>
          <w:lang w:val="en-US"/>
        </w:rPr>
        <w:t xml:space="preserve"> </w:t>
      </w:r>
      <w:r w:rsidR="005E6F0E" w:rsidRPr="006D1050">
        <w:rPr>
          <w:b/>
          <w:sz w:val="24"/>
          <w:szCs w:val="24"/>
        </w:rPr>
        <w:t xml:space="preserve">„DĖL </w:t>
      </w:r>
      <w:r w:rsidR="005E6F0E">
        <w:rPr>
          <w:b/>
          <w:sz w:val="24"/>
          <w:szCs w:val="24"/>
        </w:rPr>
        <w:t>VIDUTINĖS KURO ĮSIGIJIMO</w:t>
      </w:r>
      <w:r w:rsidR="005E6F0E" w:rsidRPr="006D1050">
        <w:rPr>
          <w:b/>
          <w:caps/>
          <w:sz w:val="24"/>
          <w:szCs w:val="24"/>
        </w:rPr>
        <w:t xml:space="preserve"> </w:t>
      </w:r>
      <w:r w:rsidR="005E6F0E">
        <w:rPr>
          <w:b/>
          <w:caps/>
          <w:sz w:val="24"/>
          <w:szCs w:val="24"/>
        </w:rPr>
        <w:t xml:space="preserve">KAINOS </w:t>
      </w:r>
      <w:r w:rsidR="005E6F0E" w:rsidRPr="006D1050">
        <w:rPr>
          <w:b/>
          <w:caps/>
          <w:sz w:val="24"/>
          <w:szCs w:val="24"/>
        </w:rPr>
        <w:t>paTVIRTINIMO“</w:t>
      </w:r>
      <w:r w:rsidR="005E6F0E" w:rsidRPr="006D1050">
        <w:rPr>
          <w:sz w:val="24"/>
          <w:szCs w:val="24"/>
          <w:lang w:eastAsia="lt-LT"/>
        </w:rPr>
        <w:t xml:space="preserve"> </w:t>
      </w:r>
      <w:r w:rsidRPr="00980D5B">
        <w:rPr>
          <w:b/>
          <w:sz w:val="24"/>
          <w:szCs w:val="24"/>
          <w:lang w:val="en-US"/>
        </w:rPr>
        <w:t xml:space="preserve"> </w:t>
      </w:r>
      <w:r w:rsidR="00DD5E64"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6BBF02DE" w14:textId="5C1047BA" w:rsidR="005E6F0E" w:rsidRDefault="00726BFD" w:rsidP="005E6F0E">
      <w:pPr>
        <w:ind w:left="357" w:firstLine="397"/>
        <w:jc w:val="both"/>
        <w:rPr>
          <w:sz w:val="24"/>
          <w:szCs w:val="24"/>
        </w:rPr>
      </w:pPr>
      <w:r>
        <w:rPr>
          <w:sz w:val="24"/>
          <w:szCs w:val="24"/>
        </w:rPr>
        <w:t xml:space="preserve">Projekto tikslas - </w:t>
      </w:r>
      <w:r w:rsidR="005E6F0E" w:rsidRPr="00E647DA">
        <w:rPr>
          <w:sz w:val="24"/>
          <w:szCs w:val="24"/>
        </w:rPr>
        <w:t>patvirtinti vidutines kietojo ar kitokio kuro kainas</w:t>
      </w:r>
      <w:r w:rsidR="005E6F0E">
        <w:rPr>
          <w:sz w:val="24"/>
          <w:szCs w:val="24"/>
        </w:rPr>
        <w:t xml:space="preserve"> (</w:t>
      </w:r>
      <w:r w:rsidR="005E6F0E" w:rsidRPr="008C3874">
        <w:rPr>
          <w:sz w:val="24"/>
          <w:szCs w:val="24"/>
        </w:rPr>
        <w:t>įskaitant P</w:t>
      </w:r>
      <w:r w:rsidR="005E6F0E">
        <w:rPr>
          <w:sz w:val="24"/>
          <w:szCs w:val="24"/>
        </w:rPr>
        <w:t xml:space="preserve">VM bei transportavimo išlaidas), </w:t>
      </w:r>
      <w:r w:rsidR="005E6F0E" w:rsidRPr="00E647DA">
        <w:rPr>
          <w:sz w:val="24"/>
          <w:szCs w:val="24"/>
        </w:rPr>
        <w:t xml:space="preserve"> būsto šildymo išlaidų ir karšto vandens išlaidų kompensacijoms</w:t>
      </w:r>
      <w:r w:rsidR="005E6F0E">
        <w:rPr>
          <w:sz w:val="24"/>
          <w:szCs w:val="24"/>
        </w:rPr>
        <w:t xml:space="preserve"> (toliau-kompensacijos) apskaičiuoti, kai</w:t>
      </w:r>
      <w:r w:rsidR="005E6F0E" w:rsidRPr="00E647DA">
        <w:rPr>
          <w:sz w:val="24"/>
          <w:szCs w:val="24"/>
        </w:rPr>
        <w:t xml:space="preserve"> </w:t>
      </w:r>
      <w:bookmarkStart w:id="1" w:name="_Hlk80196423"/>
      <w:r w:rsidR="005E6F0E" w:rsidRPr="00E647DA">
        <w:rPr>
          <w:sz w:val="24"/>
          <w:szCs w:val="24"/>
        </w:rPr>
        <w:t>būstui šildyti ir ka</w:t>
      </w:r>
      <w:r w:rsidR="005E6F0E">
        <w:rPr>
          <w:sz w:val="24"/>
          <w:szCs w:val="24"/>
        </w:rPr>
        <w:t xml:space="preserve">rštam vandeniui ruošti naudojamas kietasis ar </w:t>
      </w:r>
      <w:bookmarkEnd w:id="1"/>
      <w:r w:rsidR="005E6F0E">
        <w:rPr>
          <w:sz w:val="24"/>
          <w:szCs w:val="24"/>
        </w:rPr>
        <w:t>kitoks</w:t>
      </w:r>
      <w:r w:rsidR="005E6F0E" w:rsidRPr="00E647DA">
        <w:rPr>
          <w:sz w:val="24"/>
          <w:szCs w:val="24"/>
        </w:rPr>
        <w:t xml:space="preserve"> kur</w:t>
      </w:r>
      <w:r w:rsidR="005E6F0E">
        <w:rPr>
          <w:sz w:val="24"/>
          <w:szCs w:val="24"/>
        </w:rPr>
        <w:t>as.</w:t>
      </w:r>
      <w:r w:rsidR="005E6F0E" w:rsidRPr="00A45ADB">
        <w:rPr>
          <w:sz w:val="24"/>
          <w:szCs w:val="24"/>
        </w:rPr>
        <w:t xml:space="preserve"> </w:t>
      </w:r>
    </w:p>
    <w:p w14:paraId="10405581" w14:textId="77777777" w:rsidR="00E12A6E" w:rsidRPr="00980D5B" w:rsidRDefault="00E12A6E"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2DCFB7AA" w14:textId="77777777" w:rsidR="00A373F4" w:rsidRDefault="00A373F4" w:rsidP="00A373F4">
      <w:pPr>
        <w:ind w:left="357" w:firstLine="397"/>
        <w:jc w:val="both"/>
        <w:rPr>
          <w:sz w:val="24"/>
          <w:szCs w:val="24"/>
        </w:rPr>
      </w:pPr>
      <w:r>
        <w:rPr>
          <w:sz w:val="24"/>
          <w:szCs w:val="24"/>
        </w:rPr>
        <w:t>Sprendimo projektas parengtas vadovaujantis Lietuvos Respublikos piniginės socialinės paramos nepasiturintiems gyventojams įstatymo (toliau – Įstatymas) 11 straipsnio 4 dalimi, kurioje numatyta, kad apskaičiuojant būsto šildymo išlaidas ir karšto vandens išlaidas, kai būstui šildyti ir karštam vandeniui ruošti naudojamo kietojo ar kitokio kuro faktinės sąnaudos kiekvieną mėnesį nenustatomos, sąnaudos įvertinamos pagal savivaldybėje patvirtintas vidutines kainas.</w:t>
      </w:r>
    </w:p>
    <w:p w14:paraId="664A7503" w14:textId="294908A4" w:rsidR="00E12A6E" w:rsidRPr="00980D5B" w:rsidRDefault="00A373F4" w:rsidP="00980D5B">
      <w:pPr>
        <w:ind w:firstLine="709"/>
        <w:jc w:val="both"/>
        <w:rPr>
          <w:sz w:val="24"/>
          <w:szCs w:val="24"/>
          <w:lang w:val="en-US"/>
        </w:rPr>
      </w:pPr>
      <w:r w:rsidRPr="00980D5B">
        <w:rPr>
          <w:sz w:val="24"/>
          <w:szCs w:val="24"/>
        </w:rPr>
        <w:t xml:space="preserve"> </w:t>
      </w: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6CE92B16" w14:textId="77777777" w:rsidR="004F25F8" w:rsidRDefault="004F25F8" w:rsidP="004F25F8">
      <w:pPr>
        <w:ind w:left="357" w:firstLine="397"/>
        <w:jc w:val="both"/>
        <w:rPr>
          <w:sz w:val="24"/>
          <w:szCs w:val="24"/>
        </w:rPr>
      </w:pPr>
      <w:r>
        <w:rPr>
          <w:sz w:val="24"/>
          <w:szCs w:val="24"/>
        </w:rPr>
        <w:t xml:space="preserve">Atsižvelgiant į Klaipėdos apskrities malkų, </w:t>
      </w:r>
      <w:bookmarkStart w:id="2" w:name="_Hlk112697653"/>
      <w:r>
        <w:rPr>
          <w:sz w:val="24"/>
          <w:szCs w:val="24"/>
          <w:lang w:eastAsia="lt-LT"/>
        </w:rPr>
        <w:t>medžio pjuvenų granulių</w:t>
      </w:r>
      <w:r w:rsidRPr="0011560B">
        <w:rPr>
          <w:sz w:val="24"/>
          <w:szCs w:val="24"/>
          <w:lang w:eastAsia="lt-LT"/>
        </w:rPr>
        <w:t xml:space="preserve"> </w:t>
      </w:r>
      <w:r>
        <w:rPr>
          <w:sz w:val="24"/>
          <w:szCs w:val="24"/>
        </w:rPr>
        <w:t xml:space="preserve">ir </w:t>
      </w:r>
      <w:r>
        <w:rPr>
          <w:sz w:val="24"/>
          <w:szCs w:val="24"/>
          <w:lang w:eastAsia="lt-LT"/>
        </w:rPr>
        <w:t xml:space="preserve">medžio pjuvenų </w:t>
      </w:r>
      <w:r>
        <w:rPr>
          <w:sz w:val="24"/>
          <w:szCs w:val="24"/>
        </w:rPr>
        <w:t xml:space="preserve">briketų </w:t>
      </w:r>
      <w:bookmarkEnd w:id="2"/>
      <w:r>
        <w:rPr>
          <w:sz w:val="24"/>
          <w:szCs w:val="24"/>
        </w:rPr>
        <w:t>pardavimo rinkos kainas</w:t>
      </w:r>
      <w:r w:rsidRPr="008C3874">
        <w:rPr>
          <w:sz w:val="24"/>
          <w:szCs w:val="24"/>
        </w:rPr>
        <w:t xml:space="preserve"> </w:t>
      </w:r>
      <w:r>
        <w:rPr>
          <w:sz w:val="24"/>
          <w:szCs w:val="24"/>
        </w:rPr>
        <w:t>(</w:t>
      </w:r>
      <w:r w:rsidRPr="008C3874">
        <w:rPr>
          <w:sz w:val="24"/>
          <w:szCs w:val="24"/>
        </w:rPr>
        <w:t>įskaitant P</w:t>
      </w:r>
      <w:r>
        <w:rPr>
          <w:sz w:val="24"/>
          <w:szCs w:val="24"/>
        </w:rPr>
        <w:t xml:space="preserve">VM bei transportavimo išlaidas), bus paskaičiuotos ir patvirtintos vidutinės kietojo ar kitokio kuro įsigijimo kainos. </w:t>
      </w:r>
    </w:p>
    <w:p w14:paraId="13C42CDA" w14:textId="77777777" w:rsidR="00E12A6E" w:rsidRPr="00980D5B" w:rsidRDefault="00E12A6E" w:rsidP="00980D5B">
      <w:pPr>
        <w:ind w:firstLine="709"/>
        <w:jc w:val="both"/>
        <w:rPr>
          <w:sz w:val="24"/>
          <w:szCs w:val="24"/>
          <w:lang w:val="en-US"/>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74AE496C" w14:textId="35876AB4" w:rsidR="00C055A4" w:rsidRPr="00C055A4" w:rsidRDefault="00C055A4" w:rsidP="00C055A4">
      <w:pPr>
        <w:ind w:left="357" w:firstLine="397"/>
        <w:jc w:val="both"/>
        <w:rPr>
          <w:sz w:val="24"/>
          <w:szCs w:val="24"/>
        </w:rPr>
      </w:pPr>
      <w:r>
        <w:rPr>
          <w:sz w:val="24"/>
          <w:szCs w:val="24"/>
        </w:rPr>
        <w:t>G</w:t>
      </w:r>
      <w:r w:rsidR="004F25F8" w:rsidRPr="00C055A4">
        <w:rPr>
          <w:sz w:val="24"/>
          <w:szCs w:val="24"/>
        </w:rPr>
        <w:t>yventojams, turintiems teisę į būsto šildymo išlaidų ir karšto vandens išlaidų kompensaciją</w:t>
      </w:r>
      <w:r w:rsidR="004F25F8" w:rsidRPr="00C055A4">
        <w:rPr>
          <w:color w:val="000000"/>
          <w:sz w:val="24"/>
          <w:szCs w:val="24"/>
        </w:rPr>
        <w:t xml:space="preserve"> pagal Valstybinės kainų ir energetikos kontrolės komisijos patvirtintus kuro sąnaudų normatyvus,</w:t>
      </w:r>
      <w:r w:rsidR="004F25F8" w:rsidRPr="00C055A4">
        <w:rPr>
          <w:sz w:val="24"/>
          <w:szCs w:val="24"/>
        </w:rPr>
        <w:t xml:space="preserve"> naudojantiems kietąjį ar kitokį kurą, ir įvertinus jų pajamas,</w:t>
      </w:r>
      <w:r w:rsidR="004F25F8" w:rsidRPr="00C055A4">
        <w:rPr>
          <w:color w:val="000000"/>
          <w:sz w:val="24"/>
          <w:szCs w:val="24"/>
        </w:rPr>
        <w:t xml:space="preserve"> </w:t>
      </w:r>
      <w:r w:rsidR="004F25F8" w:rsidRPr="00C055A4">
        <w:rPr>
          <w:sz w:val="24"/>
          <w:szCs w:val="24"/>
        </w:rPr>
        <w:t xml:space="preserve">bus kompensuojamos išlaidos minėtam kurui įsigyti. </w:t>
      </w:r>
    </w:p>
    <w:p w14:paraId="0CFF86B5" w14:textId="4A4C859A" w:rsidR="00C055A4" w:rsidRPr="00C055A4" w:rsidRDefault="00C055A4" w:rsidP="00C055A4">
      <w:pPr>
        <w:ind w:left="357" w:firstLine="397"/>
        <w:jc w:val="both"/>
        <w:rPr>
          <w:sz w:val="24"/>
          <w:szCs w:val="24"/>
        </w:rPr>
      </w:pPr>
      <w:r w:rsidRPr="00C055A4">
        <w:rPr>
          <w:sz w:val="24"/>
          <w:szCs w:val="24"/>
        </w:rPr>
        <w:t xml:space="preserve">Priimtas Sprendimas projektas neigiamų pasekmių neturės. </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72C69F56" w14:textId="3E2537CA" w:rsidR="00E12A6E" w:rsidRDefault="00C055A4" w:rsidP="00980D5B">
      <w:pPr>
        <w:ind w:firstLine="709"/>
        <w:jc w:val="both"/>
        <w:rPr>
          <w:bCs/>
          <w:sz w:val="24"/>
          <w:szCs w:val="24"/>
        </w:rPr>
      </w:pPr>
      <w:r>
        <w:rPr>
          <w:bCs/>
          <w:sz w:val="24"/>
          <w:szCs w:val="24"/>
        </w:rPr>
        <w:t xml:space="preserve">Nereikia. </w:t>
      </w:r>
    </w:p>
    <w:p w14:paraId="34DA0F35" w14:textId="77777777" w:rsidR="00C055A4" w:rsidRPr="00980D5B" w:rsidRDefault="00C055A4"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3307EF59" w14:textId="77777777" w:rsidR="00701804" w:rsidRDefault="00701804" w:rsidP="00701804">
      <w:pPr>
        <w:ind w:left="357" w:firstLine="397"/>
        <w:jc w:val="both"/>
        <w:rPr>
          <w:sz w:val="24"/>
          <w:szCs w:val="24"/>
        </w:rPr>
      </w:pPr>
      <w:r>
        <w:rPr>
          <w:sz w:val="24"/>
          <w:szCs w:val="24"/>
        </w:rPr>
        <w:t>K</w:t>
      </w:r>
      <w:r w:rsidRPr="008C3874">
        <w:rPr>
          <w:sz w:val="24"/>
          <w:szCs w:val="24"/>
        </w:rPr>
        <w:t xml:space="preserve">ompensacijos, naudojantiems kietąjį ar kitokį kurą, finansuojamos </w:t>
      </w:r>
      <w:bookmarkStart w:id="3" w:name="_Hlk80202012"/>
      <w:r w:rsidRPr="008C3874">
        <w:rPr>
          <w:sz w:val="24"/>
          <w:szCs w:val="24"/>
        </w:rPr>
        <w:t>iš savivaldybės biudžeto lėšų</w:t>
      </w:r>
      <w:bookmarkEnd w:id="3"/>
      <w:r w:rsidRPr="008C3874">
        <w:rPr>
          <w:sz w:val="24"/>
          <w:szCs w:val="24"/>
        </w:rPr>
        <w: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81"/>
        <w:gridCol w:w="3241"/>
      </w:tblGrid>
      <w:tr w:rsidR="00701804" w:rsidRPr="00D8483C" w14:paraId="0B41A825" w14:textId="77777777" w:rsidTr="00654830">
        <w:tc>
          <w:tcPr>
            <w:tcW w:w="3183" w:type="dxa"/>
            <w:shd w:val="clear" w:color="auto" w:fill="auto"/>
            <w:vAlign w:val="center"/>
          </w:tcPr>
          <w:p w14:paraId="5275EA4B" w14:textId="77777777" w:rsidR="00701804" w:rsidRPr="00D8483C" w:rsidRDefault="00701804" w:rsidP="00D9012D">
            <w:pPr>
              <w:jc w:val="center"/>
              <w:rPr>
                <w:b/>
                <w:sz w:val="24"/>
                <w:szCs w:val="24"/>
              </w:rPr>
            </w:pPr>
            <w:r w:rsidRPr="00D8483C">
              <w:rPr>
                <w:b/>
                <w:sz w:val="24"/>
                <w:szCs w:val="24"/>
              </w:rPr>
              <w:t>Šildymo sezonas</w:t>
            </w:r>
          </w:p>
        </w:tc>
        <w:tc>
          <w:tcPr>
            <w:tcW w:w="3181" w:type="dxa"/>
            <w:shd w:val="clear" w:color="auto" w:fill="auto"/>
          </w:tcPr>
          <w:p w14:paraId="10AA2B98" w14:textId="77777777" w:rsidR="00701804" w:rsidRPr="00D8483C" w:rsidRDefault="00701804" w:rsidP="00D9012D">
            <w:pPr>
              <w:jc w:val="center"/>
              <w:rPr>
                <w:b/>
                <w:sz w:val="24"/>
                <w:szCs w:val="24"/>
              </w:rPr>
            </w:pPr>
            <w:r w:rsidRPr="00D8483C">
              <w:rPr>
                <w:b/>
                <w:sz w:val="24"/>
                <w:szCs w:val="24"/>
              </w:rPr>
              <w:t>Šeimų skaičius</w:t>
            </w:r>
          </w:p>
        </w:tc>
        <w:tc>
          <w:tcPr>
            <w:tcW w:w="3241" w:type="dxa"/>
            <w:shd w:val="clear" w:color="auto" w:fill="auto"/>
          </w:tcPr>
          <w:p w14:paraId="6B5732B8" w14:textId="77777777" w:rsidR="00701804" w:rsidRPr="00D8483C" w:rsidRDefault="00701804" w:rsidP="00D9012D">
            <w:pPr>
              <w:jc w:val="center"/>
              <w:rPr>
                <w:b/>
                <w:sz w:val="24"/>
                <w:szCs w:val="24"/>
              </w:rPr>
            </w:pPr>
            <w:r w:rsidRPr="00D8483C">
              <w:rPr>
                <w:b/>
                <w:sz w:val="24"/>
                <w:szCs w:val="24"/>
              </w:rPr>
              <w:t>Kompensacijų suma (Eur)</w:t>
            </w:r>
          </w:p>
        </w:tc>
      </w:tr>
      <w:tr w:rsidR="00701804" w:rsidRPr="00D8483C" w14:paraId="2A9EDD31" w14:textId="77777777" w:rsidTr="00654830">
        <w:tc>
          <w:tcPr>
            <w:tcW w:w="3183" w:type="dxa"/>
            <w:shd w:val="clear" w:color="auto" w:fill="auto"/>
            <w:vAlign w:val="center"/>
          </w:tcPr>
          <w:p w14:paraId="0F4EB200" w14:textId="77777777" w:rsidR="00701804" w:rsidRPr="00D8483C" w:rsidRDefault="00701804" w:rsidP="00D9012D">
            <w:pPr>
              <w:jc w:val="center"/>
              <w:rPr>
                <w:sz w:val="24"/>
                <w:szCs w:val="24"/>
              </w:rPr>
            </w:pPr>
            <w:r w:rsidRPr="00D8483C">
              <w:rPr>
                <w:sz w:val="24"/>
                <w:szCs w:val="24"/>
              </w:rPr>
              <w:t>2020-2021 m.</w:t>
            </w:r>
          </w:p>
        </w:tc>
        <w:tc>
          <w:tcPr>
            <w:tcW w:w="3181" w:type="dxa"/>
            <w:shd w:val="clear" w:color="auto" w:fill="auto"/>
          </w:tcPr>
          <w:p w14:paraId="590F73BA" w14:textId="77777777" w:rsidR="00701804" w:rsidRPr="00D8483C" w:rsidRDefault="00701804" w:rsidP="00D9012D">
            <w:pPr>
              <w:jc w:val="center"/>
              <w:rPr>
                <w:sz w:val="24"/>
                <w:szCs w:val="24"/>
              </w:rPr>
            </w:pPr>
            <w:r w:rsidRPr="00D8483C">
              <w:rPr>
                <w:sz w:val="24"/>
                <w:szCs w:val="24"/>
              </w:rPr>
              <w:t>63</w:t>
            </w:r>
          </w:p>
        </w:tc>
        <w:tc>
          <w:tcPr>
            <w:tcW w:w="3241" w:type="dxa"/>
            <w:shd w:val="clear" w:color="auto" w:fill="auto"/>
          </w:tcPr>
          <w:p w14:paraId="40D79C95" w14:textId="77777777" w:rsidR="00701804" w:rsidRPr="00D8483C" w:rsidRDefault="00701804" w:rsidP="00D9012D">
            <w:pPr>
              <w:jc w:val="center"/>
              <w:rPr>
                <w:sz w:val="24"/>
                <w:szCs w:val="24"/>
              </w:rPr>
            </w:pPr>
            <w:r w:rsidRPr="00D8483C">
              <w:rPr>
                <w:sz w:val="24"/>
                <w:szCs w:val="24"/>
              </w:rPr>
              <w:t>10859,01</w:t>
            </w:r>
          </w:p>
        </w:tc>
      </w:tr>
      <w:tr w:rsidR="00701804" w:rsidRPr="00D8483C" w14:paraId="6DBB3708" w14:textId="77777777" w:rsidTr="00654830">
        <w:tc>
          <w:tcPr>
            <w:tcW w:w="3183" w:type="dxa"/>
            <w:shd w:val="clear" w:color="auto" w:fill="auto"/>
            <w:vAlign w:val="center"/>
          </w:tcPr>
          <w:p w14:paraId="2B986B35" w14:textId="77777777" w:rsidR="00701804" w:rsidRPr="00D8483C" w:rsidRDefault="00701804" w:rsidP="00D9012D">
            <w:pPr>
              <w:jc w:val="center"/>
              <w:rPr>
                <w:sz w:val="24"/>
                <w:szCs w:val="24"/>
              </w:rPr>
            </w:pPr>
            <w:r w:rsidRPr="00D8483C">
              <w:rPr>
                <w:sz w:val="24"/>
                <w:szCs w:val="24"/>
              </w:rPr>
              <w:t>2021-2022 m.</w:t>
            </w:r>
          </w:p>
        </w:tc>
        <w:tc>
          <w:tcPr>
            <w:tcW w:w="3181" w:type="dxa"/>
            <w:shd w:val="clear" w:color="auto" w:fill="auto"/>
          </w:tcPr>
          <w:p w14:paraId="115591E5" w14:textId="77777777" w:rsidR="00701804" w:rsidRPr="00D8483C" w:rsidRDefault="00701804" w:rsidP="00D9012D">
            <w:pPr>
              <w:jc w:val="center"/>
              <w:rPr>
                <w:sz w:val="24"/>
                <w:szCs w:val="24"/>
              </w:rPr>
            </w:pPr>
            <w:r w:rsidRPr="00D8483C">
              <w:rPr>
                <w:sz w:val="24"/>
                <w:szCs w:val="24"/>
              </w:rPr>
              <w:t>67</w:t>
            </w:r>
          </w:p>
        </w:tc>
        <w:tc>
          <w:tcPr>
            <w:tcW w:w="3241" w:type="dxa"/>
            <w:shd w:val="clear" w:color="auto" w:fill="auto"/>
          </w:tcPr>
          <w:p w14:paraId="1ACAB62A" w14:textId="77777777" w:rsidR="00701804" w:rsidRPr="00D8483C" w:rsidRDefault="00701804" w:rsidP="00D9012D">
            <w:pPr>
              <w:jc w:val="center"/>
              <w:rPr>
                <w:sz w:val="24"/>
                <w:szCs w:val="24"/>
              </w:rPr>
            </w:pPr>
            <w:r w:rsidRPr="00D8483C">
              <w:rPr>
                <w:sz w:val="24"/>
                <w:szCs w:val="24"/>
              </w:rPr>
              <w:t>19375,92</w:t>
            </w:r>
          </w:p>
        </w:tc>
      </w:tr>
      <w:tr w:rsidR="00701804" w:rsidRPr="00D8483C" w14:paraId="1C4709D1" w14:textId="77777777" w:rsidTr="00654830">
        <w:tc>
          <w:tcPr>
            <w:tcW w:w="3183" w:type="dxa"/>
            <w:shd w:val="clear" w:color="auto" w:fill="auto"/>
            <w:vAlign w:val="center"/>
          </w:tcPr>
          <w:p w14:paraId="760C0443" w14:textId="5B7660B4" w:rsidR="00701804" w:rsidRPr="00D8483C" w:rsidRDefault="00701804" w:rsidP="00D9012D">
            <w:pPr>
              <w:jc w:val="center"/>
              <w:rPr>
                <w:sz w:val="24"/>
                <w:szCs w:val="24"/>
              </w:rPr>
            </w:pPr>
            <w:r>
              <w:rPr>
                <w:sz w:val="24"/>
                <w:szCs w:val="24"/>
              </w:rPr>
              <w:t>2022-2023 m.</w:t>
            </w:r>
          </w:p>
        </w:tc>
        <w:tc>
          <w:tcPr>
            <w:tcW w:w="3181" w:type="dxa"/>
            <w:shd w:val="clear" w:color="auto" w:fill="auto"/>
          </w:tcPr>
          <w:p w14:paraId="460C770D" w14:textId="42609856" w:rsidR="00701804" w:rsidRPr="00D8483C" w:rsidRDefault="000E223C" w:rsidP="00D9012D">
            <w:pPr>
              <w:jc w:val="center"/>
              <w:rPr>
                <w:sz w:val="24"/>
                <w:szCs w:val="24"/>
              </w:rPr>
            </w:pPr>
            <w:r>
              <w:rPr>
                <w:sz w:val="24"/>
                <w:szCs w:val="24"/>
              </w:rPr>
              <w:t>147</w:t>
            </w:r>
          </w:p>
        </w:tc>
        <w:tc>
          <w:tcPr>
            <w:tcW w:w="3241" w:type="dxa"/>
            <w:shd w:val="clear" w:color="auto" w:fill="auto"/>
          </w:tcPr>
          <w:p w14:paraId="673FF92C" w14:textId="3B36591E" w:rsidR="00701804" w:rsidRPr="00D8483C" w:rsidRDefault="000E223C" w:rsidP="00D9012D">
            <w:pPr>
              <w:jc w:val="center"/>
              <w:rPr>
                <w:sz w:val="24"/>
                <w:szCs w:val="24"/>
              </w:rPr>
            </w:pPr>
            <w:r>
              <w:rPr>
                <w:sz w:val="24"/>
                <w:szCs w:val="24"/>
              </w:rPr>
              <w:t>111897,10</w:t>
            </w:r>
          </w:p>
        </w:tc>
      </w:tr>
    </w:tbl>
    <w:p w14:paraId="423B1C93" w14:textId="579827F5" w:rsidR="00701804" w:rsidRDefault="00701804" w:rsidP="00701804">
      <w:pPr>
        <w:spacing w:before="120"/>
        <w:ind w:left="357" w:firstLine="397"/>
        <w:jc w:val="both"/>
        <w:rPr>
          <w:sz w:val="24"/>
          <w:szCs w:val="24"/>
          <w:lang w:eastAsia="lt-LT"/>
        </w:rPr>
      </w:pPr>
      <w:r>
        <w:rPr>
          <w:sz w:val="24"/>
          <w:szCs w:val="24"/>
          <w:lang w:eastAsia="lt-LT"/>
        </w:rPr>
        <w:t>202</w:t>
      </w:r>
      <w:r w:rsidR="007A5DAB">
        <w:rPr>
          <w:sz w:val="24"/>
          <w:szCs w:val="24"/>
          <w:lang w:eastAsia="lt-LT"/>
        </w:rPr>
        <w:t>2</w:t>
      </w:r>
      <w:r>
        <w:rPr>
          <w:sz w:val="24"/>
          <w:szCs w:val="24"/>
          <w:lang w:eastAsia="lt-LT"/>
        </w:rPr>
        <w:t>-202</w:t>
      </w:r>
      <w:r w:rsidR="007A5DAB">
        <w:rPr>
          <w:sz w:val="24"/>
          <w:szCs w:val="24"/>
          <w:lang w:eastAsia="lt-LT"/>
        </w:rPr>
        <w:t>3</w:t>
      </w:r>
      <w:r>
        <w:rPr>
          <w:sz w:val="24"/>
          <w:szCs w:val="24"/>
          <w:lang w:eastAsia="lt-LT"/>
        </w:rPr>
        <w:t xml:space="preserve"> m.</w:t>
      </w:r>
      <w:r w:rsidRPr="0029569F">
        <w:rPr>
          <w:sz w:val="24"/>
          <w:szCs w:val="24"/>
          <w:lang w:eastAsia="lt-LT"/>
        </w:rPr>
        <w:t xml:space="preserve"> šildymo sezono metu kompensacijoms, kai naudojamas kietasis ar kitoks kuras, </w:t>
      </w:r>
      <w:r>
        <w:rPr>
          <w:sz w:val="24"/>
          <w:szCs w:val="24"/>
          <w:lang w:eastAsia="lt-LT"/>
        </w:rPr>
        <w:t xml:space="preserve">išlaidos </w:t>
      </w:r>
      <w:r>
        <w:rPr>
          <w:sz w:val="24"/>
          <w:szCs w:val="24"/>
        </w:rPr>
        <w:t xml:space="preserve">šiai paramai teikti </w:t>
      </w:r>
      <w:r>
        <w:rPr>
          <w:sz w:val="24"/>
          <w:szCs w:val="24"/>
          <w:lang w:eastAsia="lt-LT"/>
        </w:rPr>
        <w:t>palyginus su 202</w:t>
      </w:r>
      <w:r w:rsidR="007A5DAB">
        <w:rPr>
          <w:sz w:val="24"/>
          <w:szCs w:val="24"/>
          <w:lang w:eastAsia="lt-LT"/>
        </w:rPr>
        <w:t>1</w:t>
      </w:r>
      <w:r>
        <w:rPr>
          <w:sz w:val="24"/>
          <w:szCs w:val="24"/>
          <w:lang w:eastAsia="lt-LT"/>
        </w:rPr>
        <w:t>-202</w:t>
      </w:r>
      <w:r w:rsidR="007A5DAB">
        <w:rPr>
          <w:sz w:val="24"/>
          <w:szCs w:val="24"/>
          <w:lang w:eastAsia="lt-LT"/>
        </w:rPr>
        <w:t>2</w:t>
      </w:r>
      <w:r>
        <w:rPr>
          <w:sz w:val="24"/>
          <w:szCs w:val="24"/>
          <w:lang w:eastAsia="lt-LT"/>
        </w:rPr>
        <w:t xml:space="preserve"> m.</w:t>
      </w:r>
      <w:r>
        <w:rPr>
          <w:sz w:val="24"/>
          <w:szCs w:val="24"/>
        </w:rPr>
        <w:t xml:space="preserve"> išaugo </w:t>
      </w:r>
      <w:r w:rsidR="00967560">
        <w:rPr>
          <w:sz w:val="24"/>
          <w:szCs w:val="24"/>
        </w:rPr>
        <w:t>iki</w:t>
      </w:r>
      <w:r w:rsidR="007F5139">
        <w:rPr>
          <w:sz w:val="24"/>
          <w:szCs w:val="24"/>
        </w:rPr>
        <w:t xml:space="preserve"> 6</w:t>
      </w:r>
      <w:r w:rsidR="001711CD">
        <w:rPr>
          <w:sz w:val="24"/>
          <w:szCs w:val="24"/>
        </w:rPr>
        <w:t xml:space="preserve"> kart</w:t>
      </w:r>
      <w:r w:rsidR="00967560">
        <w:rPr>
          <w:sz w:val="24"/>
          <w:szCs w:val="24"/>
        </w:rPr>
        <w:t>ų</w:t>
      </w:r>
      <w:r w:rsidR="001711CD">
        <w:rPr>
          <w:sz w:val="24"/>
          <w:szCs w:val="24"/>
        </w:rPr>
        <w:t>.</w:t>
      </w:r>
      <w:r w:rsidRPr="00AB0083">
        <w:rPr>
          <w:sz w:val="24"/>
          <w:szCs w:val="24"/>
          <w:lang w:eastAsia="lt-LT"/>
        </w:rPr>
        <w:t xml:space="preserve"> </w:t>
      </w:r>
      <w:r w:rsidR="001711CD">
        <w:rPr>
          <w:sz w:val="24"/>
          <w:szCs w:val="24"/>
          <w:lang w:eastAsia="lt-LT"/>
        </w:rPr>
        <w:t>Š</w:t>
      </w:r>
      <w:r>
        <w:rPr>
          <w:sz w:val="24"/>
          <w:szCs w:val="24"/>
          <w:lang w:eastAsia="lt-LT"/>
        </w:rPr>
        <w:t xml:space="preserve">eimų, kurioms buvo teikiamos šios </w:t>
      </w:r>
      <w:r w:rsidRPr="008C3874">
        <w:rPr>
          <w:sz w:val="24"/>
          <w:szCs w:val="24"/>
        </w:rPr>
        <w:t>kompensacij</w:t>
      </w:r>
      <w:r>
        <w:rPr>
          <w:sz w:val="24"/>
          <w:szCs w:val="24"/>
        </w:rPr>
        <w:t>os</w:t>
      </w:r>
      <w:r>
        <w:rPr>
          <w:sz w:val="24"/>
          <w:szCs w:val="24"/>
          <w:lang w:eastAsia="lt-LT"/>
        </w:rPr>
        <w:t xml:space="preserve"> </w:t>
      </w:r>
      <w:r w:rsidRPr="009E3143">
        <w:rPr>
          <w:sz w:val="24"/>
          <w:szCs w:val="24"/>
          <w:lang w:eastAsia="lt-LT"/>
        </w:rPr>
        <w:t xml:space="preserve">skaičius, taip pat išaugo </w:t>
      </w:r>
      <w:r w:rsidR="007F5139">
        <w:rPr>
          <w:sz w:val="24"/>
          <w:szCs w:val="24"/>
          <w:lang w:eastAsia="lt-LT"/>
        </w:rPr>
        <w:t>daugiau nei 2 kartus</w:t>
      </w:r>
      <w:r w:rsidRPr="009E3143">
        <w:rPr>
          <w:sz w:val="24"/>
          <w:szCs w:val="24"/>
          <w:lang w:eastAsia="lt-LT"/>
        </w:rPr>
        <w:t xml:space="preserve">. </w:t>
      </w:r>
      <w:r w:rsidRPr="009E3143">
        <w:rPr>
          <w:sz w:val="24"/>
          <w:szCs w:val="24"/>
        </w:rPr>
        <w:t>Pažymėtina, kad praėjusio šildymo sezono kompensacijų sumai</w:t>
      </w:r>
      <w:r w:rsidR="008D1CA0">
        <w:rPr>
          <w:sz w:val="24"/>
          <w:szCs w:val="24"/>
        </w:rPr>
        <w:t>,</w:t>
      </w:r>
      <w:r w:rsidR="00990DC7" w:rsidRPr="00990DC7">
        <w:rPr>
          <w:sz w:val="24"/>
          <w:szCs w:val="24"/>
        </w:rPr>
        <w:t xml:space="preserve"> </w:t>
      </w:r>
      <w:r w:rsidR="00990DC7" w:rsidRPr="00990DC7">
        <w:rPr>
          <w:sz w:val="24"/>
          <w:szCs w:val="24"/>
          <w:shd w:val="clear" w:color="auto" w:fill="FFFFFF"/>
        </w:rPr>
        <w:t>ženkliai išaugus</w:t>
      </w:r>
      <w:r w:rsidR="00990DC7">
        <w:rPr>
          <w:sz w:val="24"/>
          <w:szCs w:val="24"/>
          <w:shd w:val="clear" w:color="auto" w:fill="FFFFFF"/>
        </w:rPr>
        <w:t>iam</w:t>
      </w:r>
      <w:r w:rsidR="00990DC7" w:rsidRPr="00990DC7">
        <w:rPr>
          <w:sz w:val="24"/>
          <w:szCs w:val="24"/>
          <w:shd w:val="clear" w:color="auto" w:fill="FFFFFF"/>
        </w:rPr>
        <w:t xml:space="preserve"> besikreipiančiųjų dėl </w:t>
      </w:r>
      <w:r w:rsidR="00990DC7">
        <w:rPr>
          <w:sz w:val="24"/>
          <w:szCs w:val="24"/>
          <w:shd w:val="clear" w:color="auto" w:fill="FFFFFF"/>
        </w:rPr>
        <w:t>k</w:t>
      </w:r>
      <w:r w:rsidR="00990DC7" w:rsidRPr="00990DC7">
        <w:rPr>
          <w:sz w:val="24"/>
          <w:szCs w:val="24"/>
          <w:shd w:val="clear" w:color="auto" w:fill="FFFFFF"/>
        </w:rPr>
        <w:t>ompensacijų skaičiui</w:t>
      </w:r>
      <w:r w:rsidRPr="00990DC7">
        <w:rPr>
          <w:sz w:val="24"/>
          <w:szCs w:val="24"/>
        </w:rPr>
        <w:t xml:space="preserve"> įtakos turėjo </w:t>
      </w:r>
      <w:r w:rsidR="000E223C">
        <w:rPr>
          <w:sz w:val="24"/>
          <w:szCs w:val="24"/>
        </w:rPr>
        <w:t xml:space="preserve">visų </w:t>
      </w:r>
      <w:r w:rsidR="00990DC7">
        <w:rPr>
          <w:sz w:val="24"/>
          <w:szCs w:val="24"/>
        </w:rPr>
        <w:t xml:space="preserve">energijos </w:t>
      </w:r>
      <w:r w:rsidR="000E223C">
        <w:rPr>
          <w:sz w:val="24"/>
          <w:szCs w:val="24"/>
        </w:rPr>
        <w:t>išteklių</w:t>
      </w:r>
      <w:r w:rsidR="00990DC7">
        <w:rPr>
          <w:sz w:val="24"/>
          <w:szCs w:val="24"/>
        </w:rPr>
        <w:t xml:space="preserve"> b</w:t>
      </w:r>
      <w:r w:rsidR="000E223C">
        <w:rPr>
          <w:sz w:val="24"/>
          <w:szCs w:val="24"/>
        </w:rPr>
        <w:t>r</w:t>
      </w:r>
      <w:r w:rsidR="00990DC7">
        <w:rPr>
          <w:sz w:val="24"/>
          <w:szCs w:val="24"/>
        </w:rPr>
        <w:t>angim</w:t>
      </w:r>
      <w:r w:rsidR="000E223C">
        <w:rPr>
          <w:sz w:val="24"/>
          <w:szCs w:val="24"/>
        </w:rPr>
        <w:t>as, tame tarpe ir</w:t>
      </w:r>
      <w:r w:rsidRPr="00990DC7">
        <w:rPr>
          <w:sz w:val="24"/>
          <w:szCs w:val="24"/>
        </w:rPr>
        <w:t xml:space="preserve"> nustatyta vieno kubinio metro (kietmetrio) malkų kaina (</w:t>
      </w:r>
      <w:r w:rsidR="00DC7769" w:rsidRPr="00990DC7">
        <w:rPr>
          <w:sz w:val="24"/>
          <w:szCs w:val="24"/>
        </w:rPr>
        <w:t>100</w:t>
      </w:r>
      <w:r w:rsidRPr="00990DC7">
        <w:rPr>
          <w:sz w:val="24"/>
          <w:szCs w:val="24"/>
        </w:rPr>
        <w:t xml:space="preserve"> Eur), </w:t>
      </w:r>
      <w:r w:rsidRPr="009E3143">
        <w:rPr>
          <w:sz w:val="24"/>
          <w:szCs w:val="24"/>
        </w:rPr>
        <w:t>kuri palyginus su 202</w:t>
      </w:r>
      <w:r w:rsidR="00DC7769">
        <w:rPr>
          <w:sz w:val="24"/>
          <w:szCs w:val="24"/>
        </w:rPr>
        <w:t>1</w:t>
      </w:r>
      <w:r w:rsidRPr="009E3143">
        <w:rPr>
          <w:sz w:val="24"/>
          <w:szCs w:val="24"/>
        </w:rPr>
        <w:t>-202</w:t>
      </w:r>
      <w:r w:rsidR="00DC7769">
        <w:rPr>
          <w:sz w:val="24"/>
          <w:szCs w:val="24"/>
        </w:rPr>
        <w:t>2</w:t>
      </w:r>
      <w:r w:rsidRPr="009E3143">
        <w:rPr>
          <w:sz w:val="24"/>
          <w:szCs w:val="24"/>
        </w:rPr>
        <w:t xml:space="preserve"> m.</w:t>
      </w:r>
      <w:r>
        <w:rPr>
          <w:sz w:val="24"/>
          <w:szCs w:val="24"/>
        </w:rPr>
        <w:t xml:space="preserve"> šildymo sezonu</w:t>
      </w:r>
      <w:r w:rsidRPr="009E3143">
        <w:rPr>
          <w:sz w:val="24"/>
          <w:szCs w:val="24"/>
        </w:rPr>
        <w:t xml:space="preserve"> išaugo </w:t>
      </w:r>
      <w:r w:rsidR="00DC7769">
        <w:rPr>
          <w:sz w:val="24"/>
          <w:szCs w:val="24"/>
        </w:rPr>
        <w:t>dvigubai (47 Eur)</w:t>
      </w:r>
      <w:r w:rsidR="00526AA2">
        <w:rPr>
          <w:sz w:val="24"/>
          <w:szCs w:val="24"/>
        </w:rPr>
        <w:t>,</w:t>
      </w:r>
      <w:r w:rsidR="009D0224">
        <w:rPr>
          <w:sz w:val="24"/>
          <w:szCs w:val="24"/>
        </w:rPr>
        <w:t xml:space="preserve"> nuo 2022-01-01 įsigaliojęs Įstatymo 11 straipsnio pakeitimas</w:t>
      </w:r>
      <w:r w:rsidR="00DC4308">
        <w:rPr>
          <w:sz w:val="24"/>
          <w:szCs w:val="24"/>
        </w:rPr>
        <w:t xml:space="preserve">, kuriuo </w:t>
      </w:r>
      <w:r w:rsidR="00265674">
        <w:rPr>
          <w:sz w:val="24"/>
          <w:szCs w:val="24"/>
        </w:rPr>
        <w:lastRenderedPageBreak/>
        <w:t xml:space="preserve">apskaičiuojant kompensuojamą būsto šildymo išlaidų dalį iš gyventojų pajamų </w:t>
      </w:r>
      <w:r w:rsidR="00A5148E">
        <w:rPr>
          <w:sz w:val="24"/>
          <w:szCs w:val="24"/>
        </w:rPr>
        <w:t xml:space="preserve">atimama </w:t>
      </w:r>
      <w:r w:rsidR="00AB750D">
        <w:rPr>
          <w:sz w:val="24"/>
          <w:szCs w:val="24"/>
        </w:rPr>
        <w:t xml:space="preserve">didesnė </w:t>
      </w:r>
      <w:r w:rsidR="00265674">
        <w:rPr>
          <w:sz w:val="24"/>
          <w:szCs w:val="24"/>
        </w:rPr>
        <w:t>pajamų dalis</w:t>
      </w:r>
      <w:r w:rsidR="00A5148E">
        <w:rPr>
          <w:sz w:val="24"/>
          <w:szCs w:val="24"/>
        </w:rPr>
        <w:t xml:space="preserve">, t. y. 2 </w:t>
      </w:r>
      <w:r w:rsidR="00AB750D" w:rsidRPr="00CC4D7A">
        <w:rPr>
          <w:sz w:val="24"/>
          <w:szCs w:val="24"/>
          <w:lang w:eastAsia="lt-LT"/>
        </w:rPr>
        <w:t xml:space="preserve">valstybės remiamų pajamų (toliau – VRP, </w:t>
      </w:r>
      <w:r w:rsidR="00AB750D">
        <w:rPr>
          <w:sz w:val="24"/>
          <w:szCs w:val="24"/>
          <w:lang w:eastAsia="lt-LT"/>
        </w:rPr>
        <w:t>1 VRP -157 Eur</w:t>
      </w:r>
      <w:r w:rsidR="00AB750D" w:rsidRPr="00CC4D7A">
        <w:rPr>
          <w:sz w:val="24"/>
          <w:szCs w:val="24"/>
          <w:lang w:eastAsia="lt-LT"/>
        </w:rPr>
        <w:t>)</w:t>
      </w:r>
      <w:r w:rsidR="00AB750D" w:rsidRPr="00AB750D">
        <w:rPr>
          <w:sz w:val="24"/>
          <w:szCs w:val="24"/>
          <w:lang w:eastAsia="lt-LT"/>
        </w:rPr>
        <w:t xml:space="preserve"> </w:t>
      </w:r>
      <w:r w:rsidR="00AB750D" w:rsidRPr="00CC4D7A">
        <w:rPr>
          <w:sz w:val="24"/>
          <w:szCs w:val="24"/>
          <w:lang w:eastAsia="lt-LT"/>
        </w:rPr>
        <w:t>dydži</w:t>
      </w:r>
      <w:r w:rsidR="00AB750D">
        <w:rPr>
          <w:sz w:val="24"/>
          <w:szCs w:val="24"/>
          <w:lang w:eastAsia="lt-LT"/>
        </w:rPr>
        <w:t>ai</w:t>
      </w:r>
      <w:r w:rsidR="00265674">
        <w:rPr>
          <w:sz w:val="24"/>
          <w:szCs w:val="24"/>
        </w:rPr>
        <w:t xml:space="preserve"> kiekvienam bendrai gyvenančiam asmeniui </w:t>
      </w:r>
      <w:r w:rsidR="00A5148E">
        <w:rPr>
          <w:sz w:val="24"/>
          <w:szCs w:val="24"/>
        </w:rPr>
        <w:t>vietoje 1</w:t>
      </w:r>
      <w:r w:rsidR="00C0480C">
        <w:rPr>
          <w:sz w:val="24"/>
          <w:szCs w:val="24"/>
        </w:rPr>
        <w:t xml:space="preserve"> VRP</w:t>
      </w:r>
      <w:r w:rsidR="00AB750D">
        <w:rPr>
          <w:sz w:val="24"/>
          <w:szCs w:val="24"/>
        </w:rPr>
        <w:t xml:space="preserve"> ir 3 VRP vienam gyvenančiam asmeniui vietoje 1,5 VRP</w:t>
      </w:r>
      <w:r w:rsidR="00A5148E">
        <w:rPr>
          <w:sz w:val="24"/>
          <w:szCs w:val="24"/>
        </w:rPr>
        <w:t xml:space="preserve">. </w:t>
      </w:r>
      <w:r w:rsidR="009D0224">
        <w:rPr>
          <w:sz w:val="24"/>
          <w:szCs w:val="24"/>
        </w:rPr>
        <w:t xml:space="preserve"> </w:t>
      </w:r>
    </w:p>
    <w:p w14:paraId="70C4182E" w14:textId="5F839839" w:rsidR="00701804" w:rsidRPr="00896F57" w:rsidRDefault="00701804" w:rsidP="008F18F5">
      <w:pPr>
        <w:ind w:left="357" w:firstLine="397"/>
        <w:jc w:val="both"/>
        <w:rPr>
          <w:sz w:val="24"/>
          <w:szCs w:val="24"/>
          <w:lang w:eastAsia="lt-LT"/>
        </w:rPr>
      </w:pPr>
      <w:r w:rsidRPr="004A7E92">
        <w:rPr>
          <w:sz w:val="24"/>
          <w:szCs w:val="24"/>
          <w:lang w:eastAsia="lt-LT"/>
        </w:rPr>
        <w:t>Remiantis 202</w:t>
      </w:r>
      <w:r w:rsidR="00967560" w:rsidRPr="004A7E92">
        <w:rPr>
          <w:sz w:val="24"/>
          <w:szCs w:val="24"/>
          <w:lang w:eastAsia="lt-LT"/>
        </w:rPr>
        <w:t>3</w:t>
      </w:r>
      <w:r w:rsidRPr="004A7E92">
        <w:rPr>
          <w:sz w:val="24"/>
          <w:szCs w:val="24"/>
          <w:lang w:eastAsia="lt-LT"/>
        </w:rPr>
        <w:t xml:space="preserve"> m. rugpjūčio mėn. iš juridinių asmenų surinktais kietojo kuro pardavimo įkainiais, vidutinė malkų</w:t>
      </w:r>
      <w:bookmarkStart w:id="4" w:name="_Hlk112708563"/>
      <w:r w:rsidRPr="004A7E92">
        <w:rPr>
          <w:sz w:val="24"/>
          <w:szCs w:val="24"/>
          <w:lang w:eastAsia="lt-LT"/>
        </w:rPr>
        <w:t xml:space="preserve"> </w:t>
      </w:r>
      <w:bookmarkEnd w:id="4"/>
      <w:r w:rsidR="00BE4F1B">
        <w:rPr>
          <w:sz w:val="24"/>
          <w:szCs w:val="24"/>
          <w:lang w:eastAsia="lt-LT"/>
        </w:rPr>
        <w:t xml:space="preserve">(beržas, mišrios) </w:t>
      </w:r>
      <w:r w:rsidRPr="004A7E92">
        <w:rPr>
          <w:sz w:val="24"/>
          <w:szCs w:val="24"/>
          <w:lang w:eastAsia="lt-LT"/>
        </w:rPr>
        <w:t xml:space="preserve">kietmetrio kaina </w:t>
      </w:r>
      <w:r w:rsidR="002D4B47" w:rsidRPr="004A7E92">
        <w:rPr>
          <w:sz w:val="24"/>
          <w:szCs w:val="24"/>
          <w:lang w:eastAsia="lt-LT"/>
        </w:rPr>
        <w:t>sumažėjo 1</w:t>
      </w:r>
      <w:r w:rsidR="00BE4F1B">
        <w:rPr>
          <w:sz w:val="24"/>
          <w:szCs w:val="24"/>
          <w:lang w:eastAsia="lt-LT"/>
        </w:rPr>
        <w:t>9</w:t>
      </w:r>
      <w:r w:rsidR="002D4B47" w:rsidRPr="004A7E92">
        <w:rPr>
          <w:sz w:val="24"/>
          <w:szCs w:val="24"/>
          <w:lang w:eastAsia="lt-LT"/>
        </w:rPr>
        <w:t xml:space="preserve"> proc. </w:t>
      </w:r>
      <w:r w:rsidRPr="004A7E92">
        <w:rPr>
          <w:sz w:val="24"/>
          <w:szCs w:val="24"/>
          <w:lang w:eastAsia="lt-LT"/>
        </w:rPr>
        <w:t xml:space="preserve">ir siekia </w:t>
      </w:r>
      <w:r w:rsidR="00BE4F1B">
        <w:rPr>
          <w:sz w:val="24"/>
          <w:szCs w:val="24"/>
          <w:lang w:eastAsia="lt-LT"/>
        </w:rPr>
        <w:t>81</w:t>
      </w:r>
      <w:r w:rsidRPr="004A7E92">
        <w:rPr>
          <w:sz w:val="24"/>
          <w:szCs w:val="24"/>
          <w:lang w:eastAsia="lt-LT"/>
        </w:rPr>
        <w:t xml:space="preserve"> Eur, vidutinė medžio pjuvenų granulių kaina už toną </w:t>
      </w:r>
      <w:r w:rsidR="002D4B47" w:rsidRPr="004A7E92">
        <w:rPr>
          <w:sz w:val="24"/>
          <w:szCs w:val="24"/>
          <w:lang w:eastAsia="lt-LT"/>
        </w:rPr>
        <w:t>sumažėjo 3</w:t>
      </w:r>
      <w:r w:rsidR="004A7E92" w:rsidRPr="004A7E92">
        <w:rPr>
          <w:sz w:val="24"/>
          <w:szCs w:val="24"/>
          <w:lang w:eastAsia="lt-LT"/>
        </w:rPr>
        <w:t>6</w:t>
      </w:r>
      <w:r w:rsidR="002D4B47" w:rsidRPr="004A7E92">
        <w:rPr>
          <w:sz w:val="24"/>
          <w:szCs w:val="24"/>
          <w:lang w:eastAsia="lt-LT"/>
        </w:rPr>
        <w:t xml:space="preserve"> proc. ir </w:t>
      </w:r>
      <w:r w:rsidRPr="004A7E92">
        <w:rPr>
          <w:sz w:val="24"/>
          <w:szCs w:val="24"/>
          <w:lang w:eastAsia="lt-LT"/>
        </w:rPr>
        <w:t xml:space="preserve">siekia </w:t>
      </w:r>
      <w:r w:rsidR="000F6452" w:rsidRPr="004A7E92">
        <w:rPr>
          <w:sz w:val="24"/>
          <w:szCs w:val="24"/>
          <w:lang w:eastAsia="lt-LT"/>
        </w:rPr>
        <w:t>361</w:t>
      </w:r>
      <w:r w:rsidRPr="004A7E92">
        <w:rPr>
          <w:sz w:val="24"/>
          <w:szCs w:val="24"/>
          <w:lang w:eastAsia="lt-LT"/>
        </w:rPr>
        <w:t xml:space="preserve"> Eur, </w:t>
      </w:r>
      <w:r w:rsidRPr="004A7E92">
        <w:rPr>
          <w:sz w:val="24"/>
          <w:szCs w:val="24"/>
        </w:rPr>
        <w:t xml:space="preserve">ir vidutinė </w:t>
      </w:r>
      <w:r w:rsidRPr="004A7E92">
        <w:rPr>
          <w:sz w:val="24"/>
          <w:szCs w:val="24"/>
          <w:lang w:eastAsia="lt-LT"/>
        </w:rPr>
        <w:t xml:space="preserve">medžio pjuvenų </w:t>
      </w:r>
      <w:r w:rsidRPr="004A7E92">
        <w:rPr>
          <w:sz w:val="24"/>
          <w:szCs w:val="24"/>
        </w:rPr>
        <w:t>briketų</w:t>
      </w:r>
      <w:r w:rsidRPr="004A7E92">
        <w:rPr>
          <w:sz w:val="24"/>
          <w:szCs w:val="24"/>
          <w:lang w:eastAsia="lt-LT"/>
        </w:rPr>
        <w:t xml:space="preserve"> kaina už toną </w:t>
      </w:r>
      <w:r w:rsidR="002D4B47" w:rsidRPr="004A7E92">
        <w:rPr>
          <w:sz w:val="24"/>
          <w:szCs w:val="24"/>
          <w:lang w:eastAsia="lt-LT"/>
        </w:rPr>
        <w:t>sumažėjo 2</w:t>
      </w:r>
      <w:r w:rsidR="00DE6F43" w:rsidRPr="004A7E92">
        <w:rPr>
          <w:sz w:val="24"/>
          <w:szCs w:val="24"/>
          <w:lang w:eastAsia="lt-LT"/>
        </w:rPr>
        <w:t>4</w:t>
      </w:r>
      <w:r w:rsidR="002D4B47" w:rsidRPr="004A7E92">
        <w:rPr>
          <w:sz w:val="24"/>
          <w:szCs w:val="24"/>
          <w:lang w:eastAsia="lt-LT"/>
        </w:rPr>
        <w:t xml:space="preserve"> proc. ir </w:t>
      </w:r>
      <w:r w:rsidRPr="004A7E92">
        <w:rPr>
          <w:sz w:val="24"/>
          <w:szCs w:val="24"/>
          <w:lang w:eastAsia="lt-LT"/>
        </w:rPr>
        <w:t xml:space="preserve">siekia </w:t>
      </w:r>
      <w:r w:rsidR="002D4B47" w:rsidRPr="004A7E92">
        <w:rPr>
          <w:sz w:val="24"/>
          <w:szCs w:val="24"/>
          <w:lang w:eastAsia="lt-LT"/>
        </w:rPr>
        <w:t>3</w:t>
      </w:r>
      <w:r w:rsidR="000F6452" w:rsidRPr="004A7E92">
        <w:rPr>
          <w:sz w:val="24"/>
          <w:szCs w:val="24"/>
          <w:lang w:eastAsia="lt-LT"/>
        </w:rPr>
        <w:t>39</w:t>
      </w:r>
      <w:r w:rsidRPr="004A7E92">
        <w:rPr>
          <w:sz w:val="24"/>
          <w:szCs w:val="24"/>
          <w:lang w:eastAsia="lt-LT"/>
        </w:rPr>
        <w:t xml:space="preserve"> Eur.</w:t>
      </w:r>
      <w:r w:rsidRPr="00896F57">
        <w:rPr>
          <w:sz w:val="24"/>
          <w:szCs w:val="24"/>
          <w:lang w:eastAsia="lt-LT"/>
        </w:rPr>
        <w:t xml:space="preserve"> </w:t>
      </w:r>
    </w:p>
    <w:p w14:paraId="2DE08251" w14:textId="7A2C5F70" w:rsidR="00701804" w:rsidRPr="00896F57" w:rsidRDefault="00A530E2" w:rsidP="008F18F5">
      <w:pPr>
        <w:ind w:left="357" w:firstLine="397"/>
        <w:jc w:val="both"/>
        <w:rPr>
          <w:sz w:val="24"/>
          <w:szCs w:val="24"/>
          <w:lang w:eastAsia="lt-LT"/>
        </w:rPr>
      </w:pPr>
      <w:r>
        <w:rPr>
          <w:sz w:val="24"/>
          <w:szCs w:val="24"/>
          <w:lang w:eastAsia="lt-LT"/>
        </w:rPr>
        <w:t xml:space="preserve">Atsižvelgiant į </w:t>
      </w:r>
      <w:r w:rsidR="007112F7">
        <w:rPr>
          <w:sz w:val="24"/>
          <w:szCs w:val="24"/>
          <w:lang w:eastAsia="lt-LT"/>
        </w:rPr>
        <w:t xml:space="preserve">energetinių išteklių </w:t>
      </w:r>
      <w:r w:rsidR="00742DC2">
        <w:rPr>
          <w:sz w:val="24"/>
          <w:szCs w:val="24"/>
          <w:lang w:eastAsia="lt-LT"/>
        </w:rPr>
        <w:t xml:space="preserve">rinkos </w:t>
      </w:r>
      <w:r w:rsidR="007112F7">
        <w:rPr>
          <w:sz w:val="24"/>
          <w:szCs w:val="24"/>
          <w:lang w:eastAsia="lt-LT"/>
        </w:rPr>
        <w:t xml:space="preserve">kainų </w:t>
      </w:r>
      <w:r>
        <w:rPr>
          <w:sz w:val="24"/>
          <w:szCs w:val="24"/>
          <w:lang w:eastAsia="lt-LT"/>
        </w:rPr>
        <w:t>svyravimus</w:t>
      </w:r>
      <w:r w:rsidR="00256FCC" w:rsidRPr="00256FCC">
        <w:rPr>
          <w:sz w:val="24"/>
          <w:szCs w:val="24"/>
          <w:lang w:eastAsia="lt-LT"/>
        </w:rPr>
        <w:t xml:space="preserve">, </w:t>
      </w:r>
      <w:r w:rsidR="00256FCC" w:rsidRPr="00256FCC">
        <w:rPr>
          <w:sz w:val="24"/>
          <w:szCs w:val="24"/>
        </w:rPr>
        <w:t>Seim</w:t>
      </w:r>
      <w:r w:rsidR="007112F7">
        <w:rPr>
          <w:sz w:val="24"/>
          <w:szCs w:val="24"/>
        </w:rPr>
        <w:t>ui, skubos tvarka svarstyti p</w:t>
      </w:r>
      <w:r w:rsidR="002178D6">
        <w:rPr>
          <w:sz w:val="24"/>
          <w:szCs w:val="24"/>
        </w:rPr>
        <w:t>ateiktą</w:t>
      </w:r>
      <w:r w:rsidR="007112F7">
        <w:rPr>
          <w:sz w:val="24"/>
          <w:szCs w:val="24"/>
        </w:rPr>
        <w:t xml:space="preserve"> Įstatymo pakei</w:t>
      </w:r>
      <w:r w:rsidR="00742DC2">
        <w:rPr>
          <w:sz w:val="24"/>
          <w:szCs w:val="24"/>
        </w:rPr>
        <w:t>t</w:t>
      </w:r>
      <w:r w:rsidR="007112F7">
        <w:rPr>
          <w:sz w:val="24"/>
          <w:szCs w:val="24"/>
        </w:rPr>
        <w:t xml:space="preserve">imą siekiant </w:t>
      </w:r>
      <w:r w:rsidR="002178D6">
        <w:rPr>
          <w:sz w:val="24"/>
          <w:szCs w:val="24"/>
        </w:rPr>
        <w:t xml:space="preserve">nuo 2023-09-01 </w:t>
      </w:r>
      <w:r w:rsidR="00742DC2">
        <w:rPr>
          <w:sz w:val="24"/>
          <w:szCs w:val="24"/>
        </w:rPr>
        <w:t xml:space="preserve">sugrąžinti </w:t>
      </w:r>
      <w:r w:rsidR="00742DC2" w:rsidRPr="00742DC2">
        <w:rPr>
          <w:color w:val="000000"/>
          <w:spacing w:val="2"/>
          <w:sz w:val="24"/>
          <w:szCs w:val="24"/>
          <w:shd w:val="clear" w:color="auto" w:fill="FFFFFF"/>
        </w:rPr>
        <w:t xml:space="preserve">asmenų nuosavybės teise turimo turto </w:t>
      </w:r>
      <w:r w:rsidR="00742DC2">
        <w:rPr>
          <w:color w:val="000000"/>
          <w:spacing w:val="2"/>
          <w:sz w:val="24"/>
          <w:szCs w:val="24"/>
          <w:shd w:val="clear" w:color="auto" w:fill="FFFFFF"/>
        </w:rPr>
        <w:t xml:space="preserve">vertinimą nustatant </w:t>
      </w:r>
      <w:r w:rsidR="002178D6">
        <w:rPr>
          <w:color w:val="000000"/>
          <w:spacing w:val="2"/>
          <w:sz w:val="24"/>
          <w:szCs w:val="24"/>
          <w:shd w:val="clear" w:color="auto" w:fill="FFFFFF"/>
        </w:rPr>
        <w:t>jų</w:t>
      </w:r>
      <w:r w:rsidR="00742DC2">
        <w:rPr>
          <w:color w:val="000000"/>
          <w:spacing w:val="2"/>
          <w:sz w:val="24"/>
          <w:szCs w:val="24"/>
          <w:shd w:val="clear" w:color="auto" w:fill="FFFFFF"/>
        </w:rPr>
        <w:t xml:space="preserve"> teisę į kompensacijas,</w:t>
      </w:r>
      <w:r w:rsidR="00701804" w:rsidRPr="00896F57">
        <w:rPr>
          <w:sz w:val="24"/>
          <w:szCs w:val="24"/>
          <w:lang w:eastAsia="lt-LT"/>
        </w:rPr>
        <w:t xml:space="preserve"> 202</w:t>
      </w:r>
      <w:r w:rsidR="00742DC2">
        <w:rPr>
          <w:sz w:val="24"/>
          <w:szCs w:val="24"/>
          <w:lang w:eastAsia="lt-LT"/>
        </w:rPr>
        <w:t>3</w:t>
      </w:r>
      <w:r w:rsidR="00701804" w:rsidRPr="00896F57">
        <w:rPr>
          <w:sz w:val="24"/>
          <w:szCs w:val="24"/>
          <w:lang w:eastAsia="lt-LT"/>
        </w:rPr>
        <w:t>-202</w:t>
      </w:r>
      <w:r w:rsidR="00742DC2">
        <w:rPr>
          <w:sz w:val="24"/>
          <w:szCs w:val="24"/>
          <w:lang w:eastAsia="lt-LT"/>
        </w:rPr>
        <w:t>4</w:t>
      </w:r>
      <w:r w:rsidR="00701804" w:rsidRPr="00896F57">
        <w:rPr>
          <w:sz w:val="24"/>
          <w:szCs w:val="24"/>
          <w:lang w:eastAsia="lt-LT"/>
        </w:rPr>
        <w:t xml:space="preserve"> m. šildymo sezonui papildomų piniginių lėšų poreikis </w:t>
      </w:r>
      <w:r w:rsidR="00742DC2">
        <w:rPr>
          <w:sz w:val="24"/>
          <w:szCs w:val="24"/>
          <w:lang w:eastAsia="lt-LT"/>
        </w:rPr>
        <w:t>išliks panašus arba mažės</w:t>
      </w:r>
      <w:r w:rsidR="00AA5597">
        <w:rPr>
          <w:sz w:val="24"/>
          <w:szCs w:val="24"/>
          <w:lang w:eastAsia="lt-LT"/>
        </w:rPr>
        <w:t xml:space="preserve"> </w:t>
      </w:r>
      <w:r w:rsidR="00846AF4">
        <w:rPr>
          <w:sz w:val="24"/>
          <w:szCs w:val="24"/>
        </w:rPr>
        <w:t>–</w:t>
      </w:r>
      <w:r w:rsidR="00AA5597" w:rsidRPr="00F8181C">
        <w:rPr>
          <w:sz w:val="24"/>
          <w:szCs w:val="24"/>
        </w:rPr>
        <w:t xml:space="preserve"> </w:t>
      </w:r>
      <w:r w:rsidR="00846AF4">
        <w:rPr>
          <w:sz w:val="24"/>
          <w:szCs w:val="24"/>
        </w:rPr>
        <w:t xml:space="preserve">papildomas </w:t>
      </w:r>
      <w:r w:rsidR="00AA5597" w:rsidRPr="00F8181C">
        <w:rPr>
          <w:sz w:val="24"/>
          <w:szCs w:val="24"/>
          <w:lang w:eastAsia="lt-LT"/>
        </w:rPr>
        <w:t>piniginių lėšų poreikis neplanuojamas</w:t>
      </w:r>
      <w:r w:rsidR="00F8181C">
        <w:rPr>
          <w:sz w:val="24"/>
          <w:szCs w:val="24"/>
          <w:lang w:eastAsia="lt-LT"/>
        </w:rPr>
        <w:t>.</w:t>
      </w:r>
    </w:p>
    <w:p w14:paraId="18F41C98" w14:textId="16435B91" w:rsidR="00701804" w:rsidRPr="00F8181C" w:rsidRDefault="00AA5597" w:rsidP="008F18F5">
      <w:pPr>
        <w:ind w:left="357" w:firstLine="397"/>
        <w:jc w:val="both"/>
        <w:rPr>
          <w:sz w:val="24"/>
          <w:szCs w:val="24"/>
        </w:rPr>
      </w:pPr>
      <w:r>
        <w:rPr>
          <w:sz w:val="24"/>
          <w:szCs w:val="24"/>
        </w:rPr>
        <w:t xml:space="preserve">Vadovaujantis </w:t>
      </w:r>
      <w:r w:rsidR="00701804" w:rsidRPr="00F8181C">
        <w:rPr>
          <w:sz w:val="24"/>
          <w:szCs w:val="24"/>
        </w:rPr>
        <w:t>Įstatymo 4 straipsnio 4 dal</w:t>
      </w:r>
      <w:r>
        <w:rPr>
          <w:sz w:val="24"/>
          <w:szCs w:val="24"/>
        </w:rPr>
        <w:t xml:space="preserve">imi </w:t>
      </w:r>
      <w:r w:rsidR="00F8181C" w:rsidRPr="00F8181C">
        <w:rPr>
          <w:sz w:val="24"/>
          <w:szCs w:val="24"/>
        </w:rPr>
        <w:t>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r w:rsidR="002C4D77">
        <w:rPr>
          <w:sz w:val="24"/>
          <w:szCs w:val="24"/>
        </w:rPr>
        <w:t>.</w:t>
      </w:r>
    </w:p>
    <w:p w14:paraId="0703FA2B" w14:textId="77777777" w:rsidR="00C055A4" w:rsidRPr="00E92909" w:rsidRDefault="00C055A4" w:rsidP="00701804">
      <w:pPr>
        <w:ind w:left="357" w:firstLine="397"/>
        <w:jc w:val="both"/>
        <w:rPr>
          <w:sz w:val="24"/>
          <w:szCs w:val="24"/>
          <w:lang w:eastAsia="lt-LT"/>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465829A9" w14:textId="54B4907D" w:rsidR="00E16B50" w:rsidRPr="00AB2269" w:rsidRDefault="00E16B50" w:rsidP="00AD1AB5">
      <w:pPr>
        <w:spacing w:before="60"/>
        <w:ind w:left="357" w:firstLine="397"/>
        <w:jc w:val="both"/>
        <w:rPr>
          <w:bCs/>
          <w:sz w:val="24"/>
          <w:szCs w:val="24"/>
        </w:rPr>
      </w:pPr>
      <w:r w:rsidRPr="00AB2269">
        <w:rPr>
          <w:bCs/>
          <w:sz w:val="24"/>
          <w:szCs w:val="24"/>
        </w:rPr>
        <w:t>Siekiant 202</w:t>
      </w:r>
      <w:r w:rsidR="00AD1AB5">
        <w:rPr>
          <w:bCs/>
          <w:sz w:val="24"/>
          <w:szCs w:val="24"/>
        </w:rPr>
        <w:t>3</w:t>
      </w:r>
      <w:r w:rsidRPr="00AB2269">
        <w:rPr>
          <w:bCs/>
          <w:sz w:val="24"/>
          <w:szCs w:val="24"/>
        </w:rPr>
        <w:t>-202</w:t>
      </w:r>
      <w:r w:rsidR="00AD1AB5">
        <w:rPr>
          <w:bCs/>
          <w:sz w:val="24"/>
          <w:szCs w:val="24"/>
        </w:rPr>
        <w:t>4</w:t>
      </w:r>
      <w:r w:rsidRPr="00AB2269">
        <w:rPr>
          <w:bCs/>
          <w:sz w:val="24"/>
          <w:szCs w:val="24"/>
        </w:rPr>
        <w:t xml:space="preserve"> m. šildymo sezonui nustatyti vidutin</w:t>
      </w:r>
      <w:r>
        <w:rPr>
          <w:bCs/>
          <w:sz w:val="24"/>
          <w:szCs w:val="24"/>
        </w:rPr>
        <w:t>es</w:t>
      </w:r>
      <w:r w:rsidRPr="00AB2269">
        <w:rPr>
          <w:bCs/>
          <w:sz w:val="24"/>
          <w:szCs w:val="24"/>
        </w:rPr>
        <w:t xml:space="preserve"> kuro kain</w:t>
      </w:r>
      <w:r>
        <w:rPr>
          <w:bCs/>
          <w:sz w:val="24"/>
          <w:szCs w:val="24"/>
        </w:rPr>
        <w:t>as</w:t>
      </w:r>
      <w:r w:rsidRPr="00AB2269">
        <w:rPr>
          <w:bCs/>
          <w:sz w:val="24"/>
          <w:szCs w:val="24"/>
        </w:rPr>
        <w:t xml:space="preserve"> Klaipėdos miesto savivaldybėje, 202</w:t>
      </w:r>
      <w:r w:rsidR="00AD1AB5">
        <w:rPr>
          <w:bCs/>
          <w:sz w:val="24"/>
          <w:szCs w:val="24"/>
        </w:rPr>
        <w:t>3</w:t>
      </w:r>
      <w:r w:rsidRPr="00AB2269">
        <w:rPr>
          <w:bCs/>
          <w:sz w:val="24"/>
          <w:szCs w:val="24"/>
        </w:rPr>
        <w:t xml:space="preserve"> m. rugpjūčio mėnesį buvo apklaustos 7 malkomis</w:t>
      </w:r>
      <w:r>
        <w:rPr>
          <w:bCs/>
          <w:sz w:val="24"/>
          <w:szCs w:val="24"/>
        </w:rPr>
        <w:t>,</w:t>
      </w:r>
      <w:r w:rsidRPr="00AB2269">
        <w:rPr>
          <w:bCs/>
          <w:sz w:val="24"/>
          <w:szCs w:val="24"/>
        </w:rPr>
        <w:t xml:space="preserve"> </w:t>
      </w:r>
      <w:r w:rsidR="000F6452">
        <w:rPr>
          <w:bCs/>
          <w:sz w:val="24"/>
          <w:szCs w:val="24"/>
        </w:rPr>
        <w:t>5</w:t>
      </w:r>
      <w:r w:rsidRPr="00AB2269">
        <w:rPr>
          <w:bCs/>
          <w:sz w:val="24"/>
          <w:szCs w:val="24"/>
        </w:rPr>
        <w:t xml:space="preserve"> </w:t>
      </w:r>
      <w:r>
        <w:rPr>
          <w:sz w:val="24"/>
          <w:szCs w:val="24"/>
          <w:lang w:eastAsia="lt-LT"/>
        </w:rPr>
        <w:t>medžio pjuvenų granulėmis</w:t>
      </w:r>
      <w:r w:rsidRPr="0011560B">
        <w:rPr>
          <w:sz w:val="24"/>
          <w:szCs w:val="24"/>
          <w:lang w:eastAsia="lt-LT"/>
        </w:rPr>
        <w:t xml:space="preserve"> </w:t>
      </w:r>
      <w:r>
        <w:rPr>
          <w:sz w:val="24"/>
          <w:szCs w:val="24"/>
        </w:rPr>
        <w:t xml:space="preserve">ir </w:t>
      </w:r>
      <w:r>
        <w:rPr>
          <w:sz w:val="24"/>
          <w:szCs w:val="24"/>
          <w:lang w:eastAsia="lt-LT"/>
        </w:rPr>
        <w:t xml:space="preserve">medžio pjuvenų </w:t>
      </w:r>
      <w:r w:rsidRPr="00242189">
        <w:rPr>
          <w:sz w:val="24"/>
          <w:szCs w:val="24"/>
        </w:rPr>
        <w:t>briketais</w:t>
      </w:r>
      <w:r>
        <w:rPr>
          <w:sz w:val="24"/>
          <w:szCs w:val="24"/>
        </w:rPr>
        <w:t xml:space="preserve"> </w:t>
      </w:r>
      <w:r w:rsidRPr="00AB2269">
        <w:rPr>
          <w:bCs/>
          <w:sz w:val="24"/>
          <w:szCs w:val="24"/>
        </w:rPr>
        <w:t>Klaipėdos apskrityje prekiaujančios įmonės.</w:t>
      </w:r>
      <w:r>
        <w:rPr>
          <w:bCs/>
          <w:sz w:val="24"/>
          <w:szCs w:val="24"/>
        </w:rPr>
        <w:t xml:space="preserve"> Minėtam kurui taikomas lengvatinis 9 proc. PVM tarifas.</w:t>
      </w:r>
    </w:p>
    <w:p w14:paraId="3F431A2D" w14:textId="77777777" w:rsidR="00E16B50" w:rsidRPr="005701CE" w:rsidRDefault="00E16B50" w:rsidP="00E16B50">
      <w:pPr>
        <w:rPr>
          <w:sz w:val="6"/>
          <w:szCs w:val="6"/>
          <w:lang w:eastAsia="lt-LT"/>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17"/>
        <w:gridCol w:w="1097"/>
        <w:gridCol w:w="2120"/>
        <w:gridCol w:w="1124"/>
        <w:gridCol w:w="1046"/>
      </w:tblGrid>
      <w:tr w:rsidR="00E16B50" w:rsidRPr="005A5664" w14:paraId="4AFD5A60" w14:textId="77777777" w:rsidTr="00D9012D">
        <w:trPr>
          <w:trHeight w:val="303"/>
        </w:trPr>
        <w:tc>
          <w:tcPr>
            <w:tcW w:w="2693" w:type="dxa"/>
            <w:vMerge w:val="restart"/>
            <w:shd w:val="clear" w:color="auto" w:fill="auto"/>
            <w:vAlign w:val="center"/>
          </w:tcPr>
          <w:p w14:paraId="0C500BC3" w14:textId="77777777" w:rsidR="00E16B50" w:rsidRPr="00713B1A" w:rsidRDefault="00E16B50" w:rsidP="00D9012D">
            <w:pPr>
              <w:jc w:val="center"/>
              <w:rPr>
                <w:b/>
                <w:sz w:val="23"/>
                <w:szCs w:val="23"/>
                <w:lang w:eastAsia="lt-LT"/>
              </w:rPr>
            </w:pPr>
            <w:r w:rsidRPr="00713B1A">
              <w:rPr>
                <w:b/>
                <w:sz w:val="23"/>
                <w:szCs w:val="23"/>
                <w:lang w:eastAsia="lt-LT"/>
              </w:rPr>
              <w:t>Pavadinimas</w:t>
            </w:r>
          </w:p>
        </w:tc>
        <w:tc>
          <w:tcPr>
            <w:tcW w:w="2514" w:type="dxa"/>
            <w:gridSpan w:val="2"/>
            <w:shd w:val="clear" w:color="auto" w:fill="auto"/>
            <w:vAlign w:val="center"/>
          </w:tcPr>
          <w:p w14:paraId="75E00264" w14:textId="77777777" w:rsidR="00E16B50" w:rsidRPr="00713B1A" w:rsidRDefault="00E16B50" w:rsidP="00D9012D">
            <w:pPr>
              <w:jc w:val="center"/>
              <w:rPr>
                <w:b/>
                <w:sz w:val="23"/>
                <w:szCs w:val="23"/>
                <w:lang w:eastAsia="lt-LT"/>
              </w:rPr>
            </w:pPr>
            <w:r>
              <w:rPr>
                <w:b/>
                <w:sz w:val="23"/>
                <w:szCs w:val="23"/>
                <w:lang w:eastAsia="lt-LT"/>
              </w:rPr>
              <w:t>K</w:t>
            </w:r>
            <w:r w:rsidRPr="00713B1A">
              <w:rPr>
                <w:b/>
                <w:sz w:val="23"/>
                <w:szCs w:val="23"/>
                <w:lang w:eastAsia="lt-LT"/>
              </w:rPr>
              <w:t>aina su</w:t>
            </w:r>
            <w:r w:rsidRPr="00713B1A">
              <w:rPr>
                <w:b/>
                <w:sz w:val="23"/>
                <w:szCs w:val="23"/>
                <w:lang w:val="en-US" w:eastAsia="lt-LT"/>
              </w:rPr>
              <w:t xml:space="preserve"> </w:t>
            </w:r>
            <w:r w:rsidRPr="00713B1A">
              <w:rPr>
                <w:b/>
                <w:sz w:val="23"/>
                <w:szCs w:val="23"/>
                <w:lang w:eastAsia="lt-LT"/>
              </w:rPr>
              <w:t>PVM Eur</w:t>
            </w:r>
            <w:r>
              <w:rPr>
                <w:b/>
                <w:sz w:val="23"/>
                <w:szCs w:val="23"/>
                <w:lang w:eastAsia="lt-LT"/>
              </w:rPr>
              <w:t xml:space="preserve"> </w:t>
            </w:r>
            <w:r w:rsidRPr="00713B1A">
              <w:rPr>
                <w:b/>
                <w:sz w:val="23"/>
                <w:szCs w:val="23"/>
                <w:lang w:eastAsia="lt-LT"/>
              </w:rPr>
              <w:t>/</w:t>
            </w:r>
            <w:r>
              <w:rPr>
                <w:b/>
                <w:sz w:val="23"/>
                <w:szCs w:val="23"/>
                <w:lang w:eastAsia="lt-LT"/>
              </w:rPr>
              <w:t xml:space="preserve"> </w:t>
            </w:r>
            <w:r w:rsidRPr="00713B1A">
              <w:rPr>
                <w:b/>
                <w:sz w:val="23"/>
                <w:szCs w:val="23"/>
                <w:lang w:eastAsia="lt-LT"/>
              </w:rPr>
              <w:t>t</w:t>
            </w:r>
          </w:p>
        </w:tc>
        <w:tc>
          <w:tcPr>
            <w:tcW w:w="2120" w:type="dxa"/>
            <w:vMerge w:val="restart"/>
            <w:shd w:val="clear" w:color="auto" w:fill="auto"/>
            <w:vAlign w:val="center"/>
          </w:tcPr>
          <w:p w14:paraId="2DC8AC44" w14:textId="77777777" w:rsidR="00E16B50" w:rsidRPr="00713B1A" w:rsidRDefault="00E16B50" w:rsidP="00D9012D">
            <w:pPr>
              <w:jc w:val="center"/>
              <w:rPr>
                <w:b/>
                <w:sz w:val="23"/>
                <w:szCs w:val="23"/>
                <w:lang w:eastAsia="lt-LT"/>
              </w:rPr>
            </w:pPr>
            <w:r w:rsidRPr="00713B1A">
              <w:rPr>
                <w:b/>
                <w:sz w:val="23"/>
                <w:szCs w:val="23"/>
                <w:lang w:eastAsia="lt-LT"/>
              </w:rPr>
              <w:t xml:space="preserve">Transportavimo kaina </w:t>
            </w:r>
            <w:r>
              <w:rPr>
                <w:b/>
                <w:sz w:val="23"/>
                <w:szCs w:val="23"/>
                <w:lang w:eastAsia="lt-LT"/>
              </w:rPr>
              <w:t>su</w:t>
            </w:r>
            <w:r w:rsidRPr="00713B1A">
              <w:rPr>
                <w:b/>
                <w:sz w:val="23"/>
                <w:szCs w:val="23"/>
                <w:lang w:val="en-US" w:eastAsia="lt-LT"/>
              </w:rPr>
              <w:t xml:space="preserve"> </w:t>
            </w:r>
            <w:r w:rsidRPr="00713B1A">
              <w:rPr>
                <w:b/>
                <w:sz w:val="23"/>
                <w:szCs w:val="23"/>
                <w:lang w:eastAsia="lt-LT"/>
              </w:rPr>
              <w:t xml:space="preserve">PVM </w:t>
            </w:r>
            <w:r>
              <w:rPr>
                <w:b/>
                <w:sz w:val="23"/>
                <w:szCs w:val="23"/>
                <w:lang w:eastAsia="lt-LT"/>
              </w:rPr>
              <w:t>Eur</w:t>
            </w:r>
          </w:p>
        </w:tc>
        <w:tc>
          <w:tcPr>
            <w:tcW w:w="2170" w:type="dxa"/>
            <w:gridSpan w:val="2"/>
            <w:shd w:val="clear" w:color="auto" w:fill="auto"/>
            <w:vAlign w:val="center"/>
          </w:tcPr>
          <w:p w14:paraId="068582F3" w14:textId="77777777" w:rsidR="00E16B50" w:rsidRPr="00713B1A" w:rsidRDefault="00E16B50" w:rsidP="00D9012D">
            <w:pPr>
              <w:jc w:val="center"/>
              <w:rPr>
                <w:b/>
                <w:sz w:val="23"/>
                <w:szCs w:val="23"/>
                <w:lang w:eastAsia="lt-LT"/>
              </w:rPr>
            </w:pPr>
            <w:r w:rsidRPr="00713B1A">
              <w:rPr>
                <w:b/>
                <w:sz w:val="23"/>
                <w:szCs w:val="23"/>
                <w:lang w:eastAsia="lt-LT"/>
              </w:rPr>
              <w:t>Iš viso</w:t>
            </w:r>
            <w:r>
              <w:rPr>
                <w:b/>
                <w:sz w:val="23"/>
                <w:szCs w:val="23"/>
                <w:lang w:eastAsia="lt-LT"/>
              </w:rPr>
              <w:t xml:space="preserve"> </w:t>
            </w:r>
            <w:r w:rsidRPr="00713B1A">
              <w:rPr>
                <w:b/>
                <w:sz w:val="23"/>
                <w:szCs w:val="23"/>
                <w:lang w:eastAsia="lt-LT"/>
              </w:rPr>
              <w:t>Eur</w:t>
            </w:r>
            <w:r>
              <w:rPr>
                <w:b/>
                <w:sz w:val="23"/>
                <w:szCs w:val="23"/>
                <w:lang w:eastAsia="lt-LT"/>
              </w:rPr>
              <w:t xml:space="preserve"> </w:t>
            </w:r>
            <w:r w:rsidRPr="00713B1A">
              <w:rPr>
                <w:b/>
                <w:sz w:val="23"/>
                <w:szCs w:val="23"/>
                <w:lang w:eastAsia="lt-LT"/>
              </w:rPr>
              <w:t>/</w:t>
            </w:r>
            <w:r>
              <w:rPr>
                <w:b/>
                <w:sz w:val="23"/>
                <w:szCs w:val="23"/>
                <w:lang w:eastAsia="lt-LT"/>
              </w:rPr>
              <w:t xml:space="preserve"> </w:t>
            </w:r>
            <w:r w:rsidRPr="00713B1A">
              <w:rPr>
                <w:b/>
                <w:sz w:val="23"/>
                <w:szCs w:val="23"/>
                <w:lang w:eastAsia="lt-LT"/>
              </w:rPr>
              <w:t>t</w:t>
            </w:r>
          </w:p>
        </w:tc>
      </w:tr>
      <w:tr w:rsidR="00D354C2" w:rsidRPr="005A5664" w14:paraId="3B71938C" w14:textId="77777777" w:rsidTr="00D9012D">
        <w:trPr>
          <w:trHeight w:val="244"/>
        </w:trPr>
        <w:tc>
          <w:tcPr>
            <w:tcW w:w="2693" w:type="dxa"/>
            <w:vMerge/>
            <w:shd w:val="clear" w:color="auto" w:fill="auto"/>
            <w:vAlign w:val="center"/>
          </w:tcPr>
          <w:p w14:paraId="7480F441" w14:textId="77777777" w:rsidR="00E16B50" w:rsidRPr="00713B1A" w:rsidRDefault="00E16B50" w:rsidP="00D9012D">
            <w:pPr>
              <w:jc w:val="center"/>
              <w:rPr>
                <w:b/>
                <w:sz w:val="23"/>
                <w:szCs w:val="23"/>
                <w:lang w:eastAsia="lt-LT"/>
              </w:rPr>
            </w:pPr>
          </w:p>
        </w:tc>
        <w:tc>
          <w:tcPr>
            <w:tcW w:w="1417" w:type="dxa"/>
            <w:shd w:val="clear" w:color="auto" w:fill="auto"/>
            <w:vAlign w:val="center"/>
          </w:tcPr>
          <w:p w14:paraId="12276A96" w14:textId="77777777" w:rsidR="00E16B50" w:rsidRDefault="00E16B50" w:rsidP="00D9012D">
            <w:pPr>
              <w:jc w:val="center"/>
              <w:rPr>
                <w:b/>
                <w:sz w:val="23"/>
                <w:szCs w:val="23"/>
                <w:lang w:eastAsia="lt-LT"/>
              </w:rPr>
            </w:pPr>
            <w:r>
              <w:rPr>
                <w:b/>
                <w:sz w:val="23"/>
                <w:szCs w:val="23"/>
                <w:lang w:eastAsia="lt-LT"/>
              </w:rPr>
              <w:t>Granulių</w:t>
            </w:r>
          </w:p>
        </w:tc>
        <w:tc>
          <w:tcPr>
            <w:tcW w:w="1097" w:type="dxa"/>
            <w:shd w:val="clear" w:color="auto" w:fill="auto"/>
            <w:vAlign w:val="center"/>
          </w:tcPr>
          <w:p w14:paraId="0D30B178" w14:textId="77777777" w:rsidR="00E16B50" w:rsidRDefault="00E16B50" w:rsidP="00D9012D">
            <w:pPr>
              <w:jc w:val="center"/>
              <w:rPr>
                <w:b/>
                <w:sz w:val="23"/>
                <w:szCs w:val="23"/>
                <w:lang w:eastAsia="lt-LT"/>
              </w:rPr>
            </w:pPr>
            <w:r>
              <w:rPr>
                <w:b/>
                <w:sz w:val="23"/>
                <w:szCs w:val="23"/>
                <w:lang w:eastAsia="lt-LT"/>
              </w:rPr>
              <w:t>Briketų</w:t>
            </w:r>
          </w:p>
        </w:tc>
        <w:tc>
          <w:tcPr>
            <w:tcW w:w="2120" w:type="dxa"/>
            <w:vMerge/>
            <w:shd w:val="clear" w:color="auto" w:fill="auto"/>
            <w:vAlign w:val="center"/>
          </w:tcPr>
          <w:p w14:paraId="20150C2E" w14:textId="77777777" w:rsidR="00E16B50" w:rsidRPr="00713B1A" w:rsidRDefault="00E16B50" w:rsidP="00D9012D">
            <w:pPr>
              <w:jc w:val="center"/>
              <w:rPr>
                <w:b/>
                <w:sz w:val="23"/>
                <w:szCs w:val="23"/>
                <w:lang w:eastAsia="lt-LT"/>
              </w:rPr>
            </w:pPr>
          </w:p>
        </w:tc>
        <w:tc>
          <w:tcPr>
            <w:tcW w:w="1124" w:type="dxa"/>
            <w:shd w:val="clear" w:color="auto" w:fill="auto"/>
            <w:vAlign w:val="center"/>
          </w:tcPr>
          <w:p w14:paraId="62811467" w14:textId="77777777" w:rsidR="00E16B50" w:rsidRPr="00713B1A" w:rsidRDefault="00E16B50" w:rsidP="00D9012D">
            <w:pPr>
              <w:jc w:val="center"/>
              <w:rPr>
                <w:b/>
                <w:sz w:val="23"/>
                <w:szCs w:val="23"/>
                <w:lang w:eastAsia="lt-LT"/>
              </w:rPr>
            </w:pPr>
            <w:r>
              <w:rPr>
                <w:b/>
                <w:sz w:val="23"/>
                <w:szCs w:val="23"/>
                <w:lang w:eastAsia="lt-LT"/>
              </w:rPr>
              <w:t>Granulių</w:t>
            </w:r>
          </w:p>
        </w:tc>
        <w:tc>
          <w:tcPr>
            <w:tcW w:w="1046" w:type="dxa"/>
            <w:shd w:val="clear" w:color="auto" w:fill="auto"/>
            <w:vAlign w:val="center"/>
          </w:tcPr>
          <w:p w14:paraId="0CF8AF81" w14:textId="77777777" w:rsidR="00E16B50" w:rsidRPr="00713B1A" w:rsidRDefault="00E16B50" w:rsidP="00D9012D">
            <w:pPr>
              <w:jc w:val="center"/>
              <w:rPr>
                <w:b/>
                <w:sz w:val="23"/>
                <w:szCs w:val="23"/>
                <w:lang w:eastAsia="lt-LT"/>
              </w:rPr>
            </w:pPr>
            <w:r>
              <w:rPr>
                <w:b/>
                <w:sz w:val="23"/>
                <w:szCs w:val="23"/>
                <w:lang w:eastAsia="lt-LT"/>
              </w:rPr>
              <w:t>Briketų</w:t>
            </w:r>
          </w:p>
        </w:tc>
      </w:tr>
      <w:tr w:rsidR="00D354C2" w:rsidRPr="005A5664" w14:paraId="6553848A" w14:textId="77777777" w:rsidTr="00D9012D">
        <w:trPr>
          <w:trHeight w:val="255"/>
        </w:trPr>
        <w:tc>
          <w:tcPr>
            <w:tcW w:w="2693" w:type="dxa"/>
            <w:shd w:val="clear" w:color="auto" w:fill="auto"/>
            <w:vAlign w:val="center"/>
          </w:tcPr>
          <w:p w14:paraId="0F3637BB" w14:textId="77777777" w:rsidR="00E16B50" w:rsidRPr="00940402" w:rsidRDefault="00E16B50" w:rsidP="00D9012D">
            <w:pPr>
              <w:rPr>
                <w:sz w:val="23"/>
                <w:szCs w:val="23"/>
                <w:lang w:eastAsia="lt-LT"/>
              </w:rPr>
            </w:pPr>
            <w:r w:rsidRPr="00940402">
              <w:rPr>
                <w:sz w:val="23"/>
                <w:szCs w:val="23"/>
                <w:lang w:eastAsia="lt-LT"/>
              </w:rPr>
              <w:t xml:space="preserve">UAB </w:t>
            </w:r>
            <w:r>
              <w:rPr>
                <w:sz w:val="23"/>
                <w:szCs w:val="23"/>
                <w:lang w:eastAsia="lt-LT"/>
              </w:rPr>
              <w:t>„Medžio sandėlis</w:t>
            </w:r>
            <w:r w:rsidRPr="00940402">
              <w:rPr>
                <w:sz w:val="23"/>
                <w:szCs w:val="23"/>
                <w:lang w:eastAsia="lt-LT"/>
              </w:rPr>
              <w:t>“</w:t>
            </w:r>
          </w:p>
        </w:tc>
        <w:tc>
          <w:tcPr>
            <w:tcW w:w="1417" w:type="dxa"/>
            <w:shd w:val="clear" w:color="auto" w:fill="auto"/>
            <w:vAlign w:val="center"/>
          </w:tcPr>
          <w:p w14:paraId="2E04BA8E" w14:textId="2755A2B2" w:rsidR="00E16B50" w:rsidRPr="00940402" w:rsidRDefault="002F51CF" w:rsidP="00D9012D">
            <w:pPr>
              <w:jc w:val="center"/>
              <w:rPr>
                <w:sz w:val="23"/>
                <w:szCs w:val="23"/>
                <w:lang w:eastAsia="lt-LT"/>
              </w:rPr>
            </w:pPr>
            <w:r>
              <w:rPr>
                <w:sz w:val="23"/>
                <w:szCs w:val="23"/>
                <w:lang w:eastAsia="lt-LT"/>
              </w:rPr>
              <w:t>330,00</w:t>
            </w:r>
          </w:p>
        </w:tc>
        <w:tc>
          <w:tcPr>
            <w:tcW w:w="1097" w:type="dxa"/>
            <w:shd w:val="clear" w:color="auto" w:fill="auto"/>
            <w:vAlign w:val="center"/>
          </w:tcPr>
          <w:p w14:paraId="0675A737" w14:textId="318D5027" w:rsidR="00E16B50" w:rsidRPr="00940402" w:rsidRDefault="002F51CF" w:rsidP="00D9012D">
            <w:pPr>
              <w:jc w:val="center"/>
              <w:rPr>
                <w:sz w:val="23"/>
                <w:szCs w:val="23"/>
                <w:lang w:eastAsia="lt-LT"/>
              </w:rPr>
            </w:pPr>
            <w:r>
              <w:rPr>
                <w:sz w:val="23"/>
                <w:szCs w:val="23"/>
                <w:lang w:eastAsia="lt-LT"/>
              </w:rPr>
              <w:t>280,00</w:t>
            </w:r>
          </w:p>
        </w:tc>
        <w:tc>
          <w:tcPr>
            <w:tcW w:w="2120" w:type="dxa"/>
            <w:shd w:val="clear" w:color="auto" w:fill="auto"/>
            <w:vAlign w:val="center"/>
          </w:tcPr>
          <w:p w14:paraId="6A9CA359" w14:textId="13B18CDE" w:rsidR="00E16B50" w:rsidRPr="00351D8E" w:rsidRDefault="00E16B50" w:rsidP="00D9012D">
            <w:pPr>
              <w:jc w:val="center"/>
              <w:rPr>
                <w:sz w:val="23"/>
                <w:szCs w:val="23"/>
                <w:lang w:eastAsia="lt-LT"/>
              </w:rPr>
            </w:pPr>
            <w:r>
              <w:rPr>
                <w:sz w:val="23"/>
                <w:szCs w:val="23"/>
                <w:lang w:eastAsia="lt-LT"/>
              </w:rPr>
              <w:t>2</w:t>
            </w:r>
            <w:r w:rsidR="002F51CF">
              <w:rPr>
                <w:sz w:val="23"/>
                <w:szCs w:val="23"/>
                <w:lang w:eastAsia="lt-LT"/>
              </w:rPr>
              <w:t>4,20</w:t>
            </w:r>
          </w:p>
        </w:tc>
        <w:tc>
          <w:tcPr>
            <w:tcW w:w="1124" w:type="dxa"/>
            <w:shd w:val="clear" w:color="auto" w:fill="auto"/>
            <w:vAlign w:val="center"/>
          </w:tcPr>
          <w:p w14:paraId="16337A48" w14:textId="2080B23B" w:rsidR="00E16B50" w:rsidRPr="00351D8E" w:rsidRDefault="002F51CF" w:rsidP="00D9012D">
            <w:pPr>
              <w:jc w:val="center"/>
              <w:rPr>
                <w:sz w:val="23"/>
                <w:szCs w:val="23"/>
                <w:lang w:eastAsia="lt-LT"/>
              </w:rPr>
            </w:pPr>
            <w:r>
              <w:rPr>
                <w:sz w:val="23"/>
                <w:szCs w:val="23"/>
                <w:lang w:eastAsia="lt-LT"/>
              </w:rPr>
              <w:t>354,20</w:t>
            </w:r>
          </w:p>
        </w:tc>
        <w:tc>
          <w:tcPr>
            <w:tcW w:w="1046" w:type="dxa"/>
            <w:shd w:val="clear" w:color="auto" w:fill="auto"/>
            <w:vAlign w:val="center"/>
          </w:tcPr>
          <w:p w14:paraId="4FE6D3AD" w14:textId="21EE3375" w:rsidR="00E16B50" w:rsidRPr="00351D8E" w:rsidRDefault="002F51CF" w:rsidP="00D9012D">
            <w:pPr>
              <w:jc w:val="center"/>
              <w:rPr>
                <w:sz w:val="23"/>
                <w:szCs w:val="23"/>
                <w:lang w:eastAsia="lt-LT"/>
              </w:rPr>
            </w:pPr>
            <w:r>
              <w:rPr>
                <w:sz w:val="23"/>
                <w:szCs w:val="23"/>
                <w:lang w:eastAsia="lt-LT"/>
              </w:rPr>
              <w:t>304,20</w:t>
            </w:r>
          </w:p>
        </w:tc>
      </w:tr>
      <w:tr w:rsidR="00D354C2" w:rsidRPr="005A5664" w14:paraId="5E4E828A" w14:textId="77777777" w:rsidTr="00D9012D">
        <w:trPr>
          <w:trHeight w:val="255"/>
        </w:trPr>
        <w:tc>
          <w:tcPr>
            <w:tcW w:w="2693" w:type="dxa"/>
            <w:shd w:val="clear" w:color="auto" w:fill="auto"/>
            <w:vAlign w:val="center"/>
          </w:tcPr>
          <w:p w14:paraId="5010832A" w14:textId="77777777" w:rsidR="00E16B50" w:rsidRPr="00940402" w:rsidRDefault="00E16B50" w:rsidP="00D9012D">
            <w:pPr>
              <w:rPr>
                <w:sz w:val="23"/>
                <w:szCs w:val="23"/>
                <w:lang w:eastAsia="lt-LT"/>
              </w:rPr>
            </w:pPr>
            <w:r w:rsidRPr="00E61DCE">
              <w:rPr>
                <w:sz w:val="23"/>
                <w:szCs w:val="23"/>
                <w:lang w:eastAsia="lt-LT"/>
              </w:rPr>
              <w:t>UAB „Paežerio medis“</w:t>
            </w:r>
          </w:p>
        </w:tc>
        <w:tc>
          <w:tcPr>
            <w:tcW w:w="1417" w:type="dxa"/>
            <w:shd w:val="clear" w:color="auto" w:fill="auto"/>
            <w:vAlign w:val="center"/>
          </w:tcPr>
          <w:p w14:paraId="2484C4B7" w14:textId="25FC088E" w:rsidR="00E16B50" w:rsidRPr="007C0168" w:rsidRDefault="007C0168" w:rsidP="00D9012D">
            <w:pPr>
              <w:jc w:val="center"/>
              <w:rPr>
                <w:sz w:val="23"/>
                <w:szCs w:val="23"/>
                <w:lang w:eastAsia="lt-LT"/>
              </w:rPr>
            </w:pPr>
            <w:r w:rsidRPr="007C0168">
              <w:rPr>
                <w:sz w:val="23"/>
                <w:szCs w:val="23"/>
                <w:lang w:eastAsia="lt-LT"/>
              </w:rPr>
              <w:t>310,00</w:t>
            </w:r>
          </w:p>
        </w:tc>
        <w:tc>
          <w:tcPr>
            <w:tcW w:w="1097" w:type="dxa"/>
            <w:shd w:val="clear" w:color="auto" w:fill="auto"/>
            <w:vAlign w:val="center"/>
          </w:tcPr>
          <w:p w14:paraId="147B6DE2" w14:textId="447A3258" w:rsidR="00E16B50" w:rsidRPr="007C0168" w:rsidRDefault="007C0168" w:rsidP="00D9012D">
            <w:pPr>
              <w:jc w:val="center"/>
              <w:rPr>
                <w:sz w:val="23"/>
                <w:szCs w:val="23"/>
                <w:lang w:eastAsia="lt-LT"/>
              </w:rPr>
            </w:pPr>
            <w:r w:rsidRPr="007C0168">
              <w:rPr>
                <w:sz w:val="23"/>
                <w:szCs w:val="23"/>
                <w:lang w:eastAsia="lt-LT"/>
              </w:rPr>
              <w:t>295,00</w:t>
            </w:r>
          </w:p>
        </w:tc>
        <w:tc>
          <w:tcPr>
            <w:tcW w:w="2120" w:type="dxa"/>
            <w:shd w:val="clear" w:color="auto" w:fill="auto"/>
            <w:vAlign w:val="center"/>
          </w:tcPr>
          <w:p w14:paraId="5E3342ED" w14:textId="77777777" w:rsidR="00E16B50" w:rsidRPr="007C0168" w:rsidRDefault="00E16B50" w:rsidP="00D9012D">
            <w:pPr>
              <w:jc w:val="center"/>
              <w:rPr>
                <w:sz w:val="23"/>
                <w:szCs w:val="23"/>
                <w:lang w:eastAsia="lt-LT"/>
              </w:rPr>
            </w:pPr>
            <w:r w:rsidRPr="007C0168">
              <w:rPr>
                <w:sz w:val="23"/>
                <w:szCs w:val="23"/>
                <w:lang w:eastAsia="lt-LT"/>
              </w:rPr>
              <w:t>įskaičiuota</w:t>
            </w:r>
          </w:p>
        </w:tc>
        <w:tc>
          <w:tcPr>
            <w:tcW w:w="1124" w:type="dxa"/>
            <w:shd w:val="clear" w:color="auto" w:fill="auto"/>
            <w:vAlign w:val="center"/>
          </w:tcPr>
          <w:p w14:paraId="6F9B7767" w14:textId="115A0222" w:rsidR="00E16B50" w:rsidRPr="005D326F" w:rsidRDefault="007C0168" w:rsidP="00D9012D">
            <w:pPr>
              <w:jc w:val="center"/>
              <w:rPr>
                <w:sz w:val="23"/>
                <w:szCs w:val="23"/>
                <w:lang w:eastAsia="lt-LT"/>
              </w:rPr>
            </w:pPr>
            <w:r>
              <w:rPr>
                <w:sz w:val="23"/>
                <w:szCs w:val="23"/>
                <w:lang w:eastAsia="lt-LT"/>
              </w:rPr>
              <w:t>310,00</w:t>
            </w:r>
          </w:p>
        </w:tc>
        <w:tc>
          <w:tcPr>
            <w:tcW w:w="1046" w:type="dxa"/>
            <w:shd w:val="clear" w:color="auto" w:fill="auto"/>
            <w:vAlign w:val="center"/>
          </w:tcPr>
          <w:p w14:paraId="3A40AD8B" w14:textId="2F8E66AB" w:rsidR="00E16B50" w:rsidRPr="005D326F" w:rsidRDefault="007C0168" w:rsidP="00D9012D">
            <w:pPr>
              <w:jc w:val="center"/>
              <w:rPr>
                <w:sz w:val="23"/>
                <w:szCs w:val="23"/>
                <w:lang w:eastAsia="lt-LT"/>
              </w:rPr>
            </w:pPr>
            <w:r>
              <w:rPr>
                <w:sz w:val="23"/>
                <w:szCs w:val="23"/>
                <w:lang w:eastAsia="lt-LT"/>
              </w:rPr>
              <w:t>295,00</w:t>
            </w:r>
          </w:p>
        </w:tc>
      </w:tr>
      <w:tr w:rsidR="00D354C2" w:rsidRPr="005A5664" w14:paraId="7F399661" w14:textId="77777777" w:rsidTr="00D9012D">
        <w:trPr>
          <w:trHeight w:val="255"/>
        </w:trPr>
        <w:tc>
          <w:tcPr>
            <w:tcW w:w="2693" w:type="dxa"/>
            <w:shd w:val="clear" w:color="auto" w:fill="auto"/>
            <w:vAlign w:val="center"/>
          </w:tcPr>
          <w:p w14:paraId="04F2C832" w14:textId="77777777" w:rsidR="00E16B50" w:rsidRPr="00940402" w:rsidRDefault="00E16B50" w:rsidP="00D9012D">
            <w:pPr>
              <w:rPr>
                <w:sz w:val="23"/>
                <w:szCs w:val="23"/>
                <w:lang w:eastAsia="lt-LT"/>
              </w:rPr>
            </w:pPr>
            <w:r w:rsidRPr="00940402">
              <w:rPr>
                <w:sz w:val="23"/>
                <w:szCs w:val="23"/>
                <w:lang w:eastAsia="lt-LT"/>
              </w:rPr>
              <w:t>UAB „</w:t>
            </w:r>
            <w:r>
              <w:rPr>
                <w:sz w:val="23"/>
                <w:szCs w:val="23"/>
                <w:lang w:eastAsia="lt-LT"/>
              </w:rPr>
              <w:t>Saurida</w:t>
            </w:r>
            <w:r w:rsidRPr="00940402">
              <w:rPr>
                <w:sz w:val="23"/>
                <w:szCs w:val="23"/>
                <w:lang w:eastAsia="lt-LT"/>
              </w:rPr>
              <w:t>“</w:t>
            </w:r>
          </w:p>
        </w:tc>
        <w:tc>
          <w:tcPr>
            <w:tcW w:w="1417" w:type="dxa"/>
            <w:shd w:val="clear" w:color="auto" w:fill="auto"/>
            <w:vAlign w:val="center"/>
          </w:tcPr>
          <w:p w14:paraId="70F6D464" w14:textId="338D2D53" w:rsidR="00E16B50" w:rsidRPr="000937D8" w:rsidRDefault="000937D8" w:rsidP="00D9012D">
            <w:pPr>
              <w:jc w:val="center"/>
              <w:rPr>
                <w:sz w:val="23"/>
                <w:szCs w:val="23"/>
                <w:lang w:eastAsia="lt-LT"/>
              </w:rPr>
            </w:pPr>
            <w:r w:rsidRPr="000937D8">
              <w:rPr>
                <w:sz w:val="23"/>
                <w:szCs w:val="23"/>
                <w:lang w:eastAsia="lt-LT"/>
              </w:rPr>
              <w:t>364</w:t>
            </w:r>
            <w:r w:rsidR="00E16B50" w:rsidRPr="000937D8">
              <w:rPr>
                <w:sz w:val="23"/>
                <w:szCs w:val="23"/>
                <w:lang w:eastAsia="lt-LT"/>
              </w:rPr>
              <w:t>,00</w:t>
            </w:r>
          </w:p>
        </w:tc>
        <w:tc>
          <w:tcPr>
            <w:tcW w:w="1097" w:type="dxa"/>
            <w:shd w:val="clear" w:color="auto" w:fill="auto"/>
            <w:vAlign w:val="center"/>
          </w:tcPr>
          <w:p w14:paraId="483F034D" w14:textId="3BE84617" w:rsidR="00E16B50" w:rsidRPr="000937D8" w:rsidRDefault="000937D8" w:rsidP="00D9012D">
            <w:pPr>
              <w:jc w:val="center"/>
              <w:rPr>
                <w:sz w:val="23"/>
                <w:szCs w:val="23"/>
                <w:lang w:eastAsia="lt-LT"/>
              </w:rPr>
            </w:pPr>
            <w:r w:rsidRPr="000937D8">
              <w:rPr>
                <w:sz w:val="23"/>
                <w:szCs w:val="23"/>
                <w:lang w:eastAsia="lt-LT"/>
              </w:rPr>
              <w:t>340</w:t>
            </w:r>
            <w:r w:rsidR="00E16B50" w:rsidRPr="000937D8">
              <w:rPr>
                <w:sz w:val="23"/>
                <w:szCs w:val="23"/>
                <w:lang w:eastAsia="lt-LT"/>
              </w:rPr>
              <w:t>,00</w:t>
            </w:r>
          </w:p>
        </w:tc>
        <w:tc>
          <w:tcPr>
            <w:tcW w:w="2120" w:type="dxa"/>
            <w:shd w:val="clear" w:color="auto" w:fill="auto"/>
            <w:vAlign w:val="center"/>
          </w:tcPr>
          <w:p w14:paraId="346E8E4B" w14:textId="77777777" w:rsidR="00E16B50" w:rsidRPr="000937D8" w:rsidRDefault="00E16B50" w:rsidP="00D9012D">
            <w:pPr>
              <w:jc w:val="center"/>
              <w:rPr>
                <w:sz w:val="23"/>
                <w:szCs w:val="23"/>
                <w:lang w:eastAsia="lt-LT"/>
              </w:rPr>
            </w:pPr>
            <w:r w:rsidRPr="000937D8">
              <w:rPr>
                <w:sz w:val="23"/>
                <w:szCs w:val="23"/>
                <w:lang w:eastAsia="lt-LT"/>
              </w:rPr>
              <w:t>įskaičiuota</w:t>
            </w:r>
          </w:p>
        </w:tc>
        <w:tc>
          <w:tcPr>
            <w:tcW w:w="1124" w:type="dxa"/>
            <w:shd w:val="clear" w:color="auto" w:fill="auto"/>
            <w:vAlign w:val="center"/>
          </w:tcPr>
          <w:p w14:paraId="1055AD9D" w14:textId="7378C0E2" w:rsidR="00E16B50" w:rsidRPr="00B1722E" w:rsidRDefault="000937D8" w:rsidP="00D9012D">
            <w:pPr>
              <w:jc w:val="center"/>
              <w:rPr>
                <w:sz w:val="23"/>
                <w:szCs w:val="23"/>
                <w:lang w:eastAsia="lt-LT"/>
              </w:rPr>
            </w:pPr>
            <w:r>
              <w:rPr>
                <w:sz w:val="23"/>
                <w:szCs w:val="23"/>
                <w:lang w:eastAsia="lt-LT"/>
              </w:rPr>
              <w:t>364</w:t>
            </w:r>
            <w:r w:rsidR="00E16B50">
              <w:rPr>
                <w:sz w:val="23"/>
                <w:szCs w:val="23"/>
                <w:lang w:eastAsia="lt-LT"/>
              </w:rPr>
              <w:t>,00</w:t>
            </w:r>
          </w:p>
        </w:tc>
        <w:tc>
          <w:tcPr>
            <w:tcW w:w="1046" w:type="dxa"/>
            <w:shd w:val="clear" w:color="auto" w:fill="auto"/>
            <w:vAlign w:val="center"/>
          </w:tcPr>
          <w:p w14:paraId="41F215C2" w14:textId="39CE7D95" w:rsidR="00E16B50" w:rsidRPr="00B1722E" w:rsidRDefault="000937D8" w:rsidP="00D9012D">
            <w:pPr>
              <w:jc w:val="center"/>
              <w:rPr>
                <w:sz w:val="23"/>
                <w:szCs w:val="23"/>
                <w:lang w:eastAsia="lt-LT"/>
              </w:rPr>
            </w:pPr>
            <w:r>
              <w:rPr>
                <w:sz w:val="23"/>
                <w:szCs w:val="23"/>
                <w:lang w:eastAsia="lt-LT"/>
              </w:rPr>
              <w:t>340</w:t>
            </w:r>
            <w:r w:rsidR="00E16B50">
              <w:rPr>
                <w:sz w:val="23"/>
                <w:szCs w:val="23"/>
                <w:lang w:eastAsia="lt-LT"/>
              </w:rPr>
              <w:t>,00</w:t>
            </w:r>
          </w:p>
        </w:tc>
      </w:tr>
      <w:tr w:rsidR="00D354C2" w:rsidRPr="005A5664" w14:paraId="1601184B" w14:textId="77777777" w:rsidTr="00D9012D">
        <w:trPr>
          <w:trHeight w:val="255"/>
        </w:trPr>
        <w:tc>
          <w:tcPr>
            <w:tcW w:w="2693" w:type="dxa"/>
            <w:shd w:val="clear" w:color="auto" w:fill="auto"/>
            <w:vAlign w:val="center"/>
          </w:tcPr>
          <w:p w14:paraId="6F9F5A0E" w14:textId="77777777" w:rsidR="00E16B50" w:rsidRPr="00940402" w:rsidRDefault="00E16B50" w:rsidP="00D9012D">
            <w:pPr>
              <w:rPr>
                <w:sz w:val="23"/>
                <w:szCs w:val="23"/>
                <w:lang w:eastAsia="lt-LT"/>
              </w:rPr>
            </w:pPr>
            <w:r w:rsidRPr="00940402">
              <w:rPr>
                <w:sz w:val="23"/>
                <w:szCs w:val="23"/>
                <w:lang w:eastAsia="lt-LT"/>
              </w:rPr>
              <w:t>UAB „Klaipėdos Lytagra“</w:t>
            </w:r>
          </w:p>
        </w:tc>
        <w:tc>
          <w:tcPr>
            <w:tcW w:w="1417" w:type="dxa"/>
            <w:shd w:val="clear" w:color="auto" w:fill="auto"/>
            <w:vAlign w:val="center"/>
          </w:tcPr>
          <w:p w14:paraId="4F4EBFC0" w14:textId="7396A701" w:rsidR="00E16B50" w:rsidRPr="004E38F6" w:rsidRDefault="004E38F6" w:rsidP="00D9012D">
            <w:pPr>
              <w:jc w:val="center"/>
              <w:rPr>
                <w:sz w:val="23"/>
                <w:szCs w:val="23"/>
                <w:lang w:eastAsia="lt-LT"/>
              </w:rPr>
            </w:pPr>
            <w:r w:rsidRPr="004E38F6">
              <w:rPr>
                <w:sz w:val="23"/>
                <w:szCs w:val="23"/>
                <w:lang w:eastAsia="lt-LT"/>
              </w:rPr>
              <w:t>342,00</w:t>
            </w:r>
          </w:p>
        </w:tc>
        <w:tc>
          <w:tcPr>
            <w:tcW w:w="1097" w:type="dxa"/>
            <w:shd w:val="clear" w:color="auto" w:fill="auto"/>
            <w:vAlign w:val="center"/>
          </w:tcPr>
          <w:p w14:paraId="1B1EFB8C" w14:textId="3D268482" w:rsidR="00E16B50" w:rsidRPr="004E38F6" w:rsidRDefault="004E38F6" w:rsidP="00D9012D">
            <w:pPr>
              <w:jc w:val="center"/>
              <w:rPr>
                <w:sz w:val="23"/>
                <w:szCs w:val="23"/>
                <w:lang w:eastAsia="lt-LT"/>
              </w:rPr>
            </w:pPr>
            <w:r w:rsidRPr="004E38F6">
              <w:rPr>
                <w:sz w:val="23"/>
                <w:szCs w:val="23"/>
                <w:lang w:eastAsia="lt-LT"/>
              </w:rPr>
              <w:t>310,0</w:t>
            </w:r>
            <w:r w:rsidR="00E16B50" w:rsidRPr="004E38F6">
              <w:rPr>
                <w:sz w:val="23"/>
                <w:szCs w:val="23"/>
                <w:lang w:eastAsia="lt-LT"/>
              </w:rPr>
              <w:t>0</w:t>
            </w:r>
          </w:p>
        </w:tc>
        <w:tc>
          <w:tcPr>
            <w:tcW w:w="2120" w:type="dxa"/>
            <w:shd w:val="clear" w:color="auto" w:fill="auto"/>
            <w:vAlign w:val="center"/>
          </w:tcPr>
          <w:p w14:paraId="0EA4F8B0" w14:textId="435C3DE4" w:rsidR="00E16B50" w:rsidRPr="004E38F6" w:rsidRDefault="004E38F6" w:rsidP="00D9012D">
            <w:pPr>
              <w:jc w:val="center"/>
              <w:rPr>
                <w:sz w:val="23"/>
                <w:szCs w:val="23"/>
                <w:lang w:eastAsia="lt-LT"/>
              </w:rPr>
            </w:pPr>
            <w:r>
              <w:rPr>
                <w:sz w:val="23"/>
                <w:szCs w:val="23"/>
                <w:lang w:eastAsia="lt-LT"/>
              </w:rPr>
              <w:t>35</w:t>
            </w:r>
            <w:r w:rsidR="00E16B50" w:rsidRPr="004E38F6">
              <w:rPr>
                <w:sz w:val="23"/>
                <w:szCs w:val="23"/>
                <w:lang w:eastAsia="lt-LT"/>
              </w:rPr>
              <w:t>,00</w:t>
            </w:r>
          </w:p>
        </w:tc>
        <w:tc>
          <w:tcPr>
            <w:tcW w:w="1124" w:type="dxa"/>
            <w:shd w:val="clear" w:color="auto" w:fill="auto"/>
            <w:vAlign w:val="center"/>
          </w:tcPr>
          <w:p w14:paraId="69E52EB5" w14:textId="6A147B4B" w:rsidR="004E38F6" w:rsidRDefault="004E38F6" w:rsidP="004E38F6">
            <w:pPr>
              <w:jc w:val="center"/>
              <w:rPr>
                <w:sz w:val="23"/>
                <w:szCs w:val="23"/>
                <w:lang w:eastAsia="lt-LT"/>
              </w:rPr>
            </w:pPr>
            <w:r>
              <w:rPr>
                <w:sz w:val="23"/>
                <w:szCs w:val="23"/>
                <w:lang w:eastAsia="lt-LT"/>
              </w:rPr>
              <w:t>377,00</w:t>
            </w:r>
          </w:p>
        </w:tc>
        <w:tc>
          <w:tcPr>
            <w:tcW w:w="1046" w:type="dxa"/>
            <w:shd w:val="clear" w:color="auto" w:fill="auto"/>
            <w:vAlign w:val="center"/>
          </w:tcPr>
          <w:p w14:paraId="183DCD7E" w14:textId="204F7B87" w:rsidR="00E16B50" w:rsidRDefault="004E38F6" w:rsidP="00D9012D">
            <w:pPr>
              <w:jc w:val="center"/>
              <w:rPr>
                <w:sz w:val="23"/>
                <w:szCs w:val="23"/>
                <w:lang w:eastAsia="lt-LT"/>
              </w:rPr>
            </w:pPr>
            <w:r>
              <w:rPr>
                <w:sz w:val="23"/>
                <w:szCs w:val="23"/>
                <w:lang w:eastAsia="lt-LT"/>
              </w:rPr>
              <w:t>34</w:t>
            </w:r>
            <w:r w:rsidR="00E16B50">
              <w:rPr>
                <w:sz w:val="23"/>
                <w:szCs w:val="23"/>
                <w:lang w:eastAsia="lt-LT"/>
              </w:rPr>
              <w:t>5,00</w:t>
            </w:r>
          </w:p>
        </w:tc>
      </w:tr>
      <w:tr w:rsidR="00D354C2" w:rsidRPr="005A5664" w14:paraId="523E9632" w14:textId="77777777" w:rsidTr="00D9012D">
        <w:trPr>
          <w:trHeight w:val="255"/>
        </w:trPr>
        <w:tc>
          <w:tcPr>
            <w:tcW w:w="2693" w:type="dxa"/>
            <w:shd w:val="clear" w:color="auto" w:fill="auto"/>
            <w:vAlign w:val="center"/>
          </w:tcPr>
          <w:p w14:paraId="6D8621C6" w14:textId="5FCA7A9B" w:rsidR="00D354C2" w:rsidRDefault="00D354C2" w:rsidP="00D9012D">
            <w:pPr>
              <w:rPr>
                <w:sz w:val="23"/>
                <w:szCs w:val="23"/>
                <w:lang w:eastAsia="lt-LT"/>
              </w:rPr>
            </w:pPr>
            <w:r>
              <w:rPr>
                <w:sz w:val="23"/>
                <w:szCs w:val="23"/>
                <w:lang w:eastAsia="lt-LT"/>
              </w:rPr>
              <w:t>UAB „Destra“</w:t>
            </w:r>
          </w:p>
        </w:tc>
        <w:tc>
          <w:tcPr>
            <w:tcW w:w="1417" w:type="dxa"/>
            <w:shd w:val="clear" w:color="auto" w:fill="auto"/>
            <w:vAlign w:val="center"/>
          </w:tcPr>
          <w:p w14:paraId="4DCA9174" w14:textId="5F1C4DD2" w:rsidR="00D354C2" w:rsidRPr="00024F93" w:rsidRDefault="00D354C2" w:rsidP="00D9012D">
            <w:pPr>
              <w:jc w:val="center"/>
              <w:rPr>
                <w:sz w:val="23"/>
                <w:szCs w:val="23"/>
                <w:lang w:eastAsia="lt-LT"/>
              </w:rPr>
            </w:pPr>
            <w:r>
              <w:rPr>
                <w:sz w:val="23"/>
                <w:szCs w:val="23"/>
                <w:lang w:eastAsia="lt-LT"/>
              </w:rPr>
              <w:t>3</w:t>
            </w:r>
            <w:r w:rsidR="000D4A11">
              <w:rPr>
                <w:sz w:val="23"/>
                <w:szCs w:val="23"/>
                <w:lang w:eastAsia="lt-LT"/>
              </w:rPr>
              <w:t>30</w:t>
            </w:r>
            <w:r>
              <w:rPr>
                <w:sz w:val="23"/>
                <w:szCs w:val="23"/>
                <w:lang w:eastAsia="lt-LT"/>
              </w:rPr>
              <w:t>,00</w:t>
            </w:r>
          </w:p>
        </w:tc>
        <w:tc>
          <w:tcPr>
            <w:tcW w:w="1097" w:type="dxa"/>
            <w:shd w:val="clear" w:color="auto" w:fill="auto"/>
            <w:vAlign w:val="center"/>
          </w:tcPr>
          <w:p w14:paraId="6F3AF7F6" w14:textId="71913052" w:rsidR="00D354C2" w:rsidRDefault="00AE50BE" w:rsidP="00D9012D">
            <w:pPr>
              <w:jc w:val="center"/>
              <w:rPr>
                <w:sz w:val="23"/>
                <w:szCs w:val="23"/>
                <w:lang w:eastAsia="lt-LT"/>
              </w:rPr>
            </w:pPr>
            <w:r>
              <w:rPr>
                <w:sz w:val="23"/>
                <w:szCs w:val="23"/>
                <w:lang w:eastAsia="lt-LT"/>
              </w:rPr>
              <w:t>339,00</w:t>
            </w:r>
          </w:p>
        </w:tc>
        <w:tc>
          <w:tcPr>
            <w:tcW w:w="2120" w:type="dxa"/>
            <w:shd w:val="clear" w:color="auto" w:fill="auto"/>
            <w:vAlign w:val="center"/>
          </w:tcPr>
          <w:p w14:paraId="44479CFE" w14:textId="4900FC5E" w:rsidR="00D354C2" w:rsidRPr="00024F93" w:rsidRDefault="005C2CB5" w:rsidP="00D9012D">
            <w:pPr>
              <w:jc w:val="center"/>
              <w:rPr>
                <w:sz w:val="23"/>
                <w:szCs w:val="23"/>
                <w:lang w:eastAsia="lt-LT"/>
              </w:rPr>
            </w:pPr>
            <w:r>
              <w:rPr>
                <w:sz w:val="23"/>
                <w:szCs w:val="23"/>
                <w:lang w:eastAsia="lt-LT"/>
              </w:rPr>
              <w:t>70,00</w:t>
            </w:r>
          </w:p>
        </w:tc>
        <w:tc>
          <w:tcPr>
            <w:tcW w:w="1124" w:type="dxa"/>
            <w:shd w:val="clear" w:color="auto" w:fill="auto"/>
            <w:vAlign w:val="center"/>
          </w:tcPr>
          <w:p w14:paraId="0A5E833C" w14:textId="469AA324" w:rsidR="00D354C2" w:rsidRDefault="00AE50BE" w:rsidP="00D9012D">
            <w:pPr>
              <w:jc w:val="center"/>
              <w:rPr>
                <w:sz w:val="23"/>
                <w:szCs w:val="23"/>
                <w:lang w:val="en-US" w:eastAsia="lt-LT"/>
              </w:rPr>
            </w:pPr>
            <w:r>
              <w:rPr>
                <w:sz w:val="23"/>
                <w:szCs w:val="23"/>
                <w:lang w:val="en-US" w:eastAsia="lt-LT"/>
              </w:rPr>
              <w:t>400,00</w:t>
            </w:r>
          </w:p>
        </w:tc>
        <w:tc>
          <w:tcPr>
            <w:tcW w:w="1046" w:type="dxa"/>
            <w:shd w:val="clear" w:color="auto" w:fill="auto"/>
            <w:vAlign w:val="center"/>
          </w:tcPr>
          <w:p w14:paraId="66DD48CC" w14:textId="7C160499" w:rsidR="00D354C2" w:rsidRDefault="00AD1AB5" w:rsidP="00D9012D">
            <w:pPr>
              <w:jc w:val="center"/>
              <w:rPr>
                <w:sz w:val="23"/>
                <w:szCs w:val="23"/>
                <w:lang w:val="en-US" w:eastAsia="lt-LT"/>
              </w:rPr>
            </w:pPr>
            <w:r>
              <w:rPr>
                <w:sz w:val="23"/>
                <w:szCs w:val="23"/>
                <w:lang w:val="en-US" w:eastAsia="lt-LT"/>
              </w:rPr>
              <w:t>4</w:t>
            </w:r>
            <w:r w:rsidR="00A94A22">
              <w:rPr>
                <w:sz w:val="23"/>
                <w:szCs w:val="23"/>
                <w:lang w:val="en-US" w:eastAsia="lt-LT"/>
              </w:rPr>
              <w:t>09</w:t>
            </w:r>
            <w:r w:rsidR="00AE50BE">
              <w:rPr>
                <w:sz w:val="23"/>
                <w:szCs w:val="23"/>
                <w:lang w:val="en-US" w:eastAsia="lt-LT"/>
              </w:rPr>
              <w:t>,00</w:t>
            </w:r>
          </w:p>
        </w:tc>
      </w:tr>
      <w:tr w:rsidR="00D354C2" w:rsidRPr="005A5664" w14:paraId="0C081C01" w14:textId="77777777" w:rsidTr="00D9012D">
        <w:trPr>
          <w:trHeight w:val="255"/>
        </w:trPr>
        <w:tc>
          <w:tcPr>
            <w:tcW w:w="2693" w:type="dxa"/>
            <w:shd w:val="clear" w:color="auto" w:fill="auto"/>
            <w:vAlign w:val="center"/>
          </w:tcPr>
          <w:p w14:paraId="2ADCB253" w14:textId="77777777" w:rsidR="00E16B50" w:rsidRPr="00F22A14" w:rsidRDefault="00E16B50" w:rsidP="00D9012D">
            <w:pPr>
              <w:rPr>
                <w:b/>
                <w:sz w:val="23"/>
                <w:szCs w:val="23"/>
                <w:lang w:eastAsia="lt-LT"/>
              </w:rPr>
            </w:pPr>
            <w:r w:rsidRPr="00F22A14">
              <w:rPr>
                <w:b/>
                <w:sz w:val="23"/>
                <w:szCs w:val="23"/>
                <w:lang w:eastAsia="lt-LT"/>
              </w:rPr>
              <w:t>Iš viso</w:t>
            </w:r>
          </w:p>
        </w:tc>
        <w:tc>
          <w:tcPr>
            <w:tcW w:w="1417" w:type="dxa"/>
            <w:shd w:val="clear" w:color="auto" w:fill="auto"/>
            <w:vAlign w:val="center"/>
          </w:tcPr>
          <w:p w14:paraId="6FB1D771" w14:textId="77777777" w:rsidR="00E16B50" w:rsidRPr="00593ACA" w:rsidRDefault="00E16B50" w:rsidP="00D9012D">
            <w:pPr>
              <w:jc w:val="center"/>
              <w:rPr>
                <w:b/>
                <w:color w:val="FF0000"/>
                <w:sz w:val="23"/>
                <w:szCs w:val="23"/>
                <w:lang w:eastAsia="lt-LT"/>
              </w:rPr>
            </w:pPr>
          </w:p>
        </w:tc>
        <w:tc>
          <w:tcPr>
            <w:tcW w:w="1097" w:type="dxa"/>
            <w:shd w:val="clear" w:color="auto" w:fill="auto"/>
            <w:vAlign w:val="center"/>
          </w:tcPr>
          <w:p w14:paraId="14A2FA39" w14:textId="77777777" w:rsidR="00E16B50" w:rsidRPr="00593ACA" w:rsidRDefault="00E16B50" w:rsidP="00D9012D">
            <w:pPr>
              <w:jc w:val="center"/>
              <w:rPr>
                <w:b/>
                <w:color w:val="FF0000"/>
                <w:sz w:val="23"/>
                <w:szCs w:val="23"/>
                <w:lang w:eastAsia="lt-LT"/>
              </w:rPr>
            </w:pPr>
          </w:p>
        </w:tc>
        <w:tc>
          <w:tcPr>
            <w:tcW w:w="2120" w:type="dxa"/>
            <w:shd w:val="clear" w:color="auto" w:fill="auto"/>
            <w:vAlign w:val="center"/>
          </w:tcPr>
          <w:p w14:paraId="4B660D09" w14:textId="77777777" w:rsidR="00E16B50" w:rsidRPr="001D4817" w:rsidRDefault="00E16B50" w:rsidP="00D9012D">
            <w:pPr>
              <w:jc w:val="center"/>
              <w:rPr>
                <w:b/>
                <w:sz w:val="23"/>
                <w:szCs w:val="23"/>
                <w:lang w:eastAsia="lt-LT"/>
              </w:rPr>
            </w:pPr>
          </w:p>
        </w:tc>
        <w:tc>
          <w:tcPr>
            <w:tcW w:w="1124" w:type="dxa"/>
            <w:shd w:val="clear" w:color="auto" w:fill="auto"/>
            <w:vAlign w:val="center"/>
          </w:tcPr>
          <w:p w14:paraId="250EF22E" w14:textId="3CC8214D" w:rsidR="00E16B50" w:rsidRPr="001D4817" w:rsidRDefault="000937D8" w:rsidP="00D9012D">
            <w:pPr>
              <w:jc w:val="center"/>
              <w:rPr>
                <w:b/>
                <w:sz w:val="23"/>
                <w:szCs w:val="23"/>
                <w:lang w:eastAsia="lt-LT"/>
              </w:rPr>
            </w:pPr>
            <w:r>
              <w:rPr>
                <w:b/>
                <w:sz w:val="23"/>
                <w:szCs w:val="23"/>
                <w:lang w:eastAsia="lt-LT"/>
              </w:rPr>
              <w:fldChar w:fldCharType="begin"/>
            </w:r>
            <w:r>
              <w:rPr>
                <w:b/>
                <w:sz w:val="23"/>
                <w:szCs w:val="23"/>
                <w:lang w:eastAsia="lt-LT"/>
              </w:rPr>
              <w:instrText xml:space="preserve"> =SUM(ABOVE) </w:instrText>
            </w:r>
            <w:r>
              <w:rPr>
                <w:b/>
                <w:sz w:val="23"/>
                <w:szCs w:val="23"/>
                <w:lang w:eastAsia="lt-LT"/>
              </w:rPr>
              <w:fldChar w:fldCharType="end"/>
            </w:r>
            <w:r w:rsidR="00195115">
              <w:rPr>
                <w:b/>
                <w:sz w:val="23"/>
                <w:szCs w:val="23"/>
                <w:lang w:eastAsia="lt-LT"/>
              </w:rPr>
              <w:fldChar w:fldCharType="begin"/>
            </w:r>
            <w:r w:rsidR="00195115">
              <w:rPr>
                <w:b/>
                <w:sz w:val="23"/>
                <w:szCs w:val="23"/>
                <w:lang w:eastAsia="lt-LT"/>
              </w:rPr>
              <w:instrText xml:space="preserve"> =SUM(ABOVE) </w:instrText>
            </w:r>
            <w:r w:rsidR="00195115">
              <w:rPr>
                <w:b/>
                <w:sz w:val="23"/>
                <w:szCs w:val="23"/>
                <w:lang w:eastAsia="lt-LT"/>
              </w:rPr>
              <w:fldChar w:fldCharType="separate"/>
            </w:r>
            <w:r w:rsidR="00195115">
              <w:rPr>
                <w:b/>
                <w:noProof/>
                <w:sz w:val="23"/>
                <w:szCs w:val="23"/>
                <w:lang w:eastAsia="lt-LT"/>
              </w:rPr>
              <w:t>1805,2</w:t>
            </w:r>
            <w:r w:rsidR="00195115">
              <w:rPr>
                <w:b/>
                <w:sz w:val="23"/>
                <w:szCs w:val="23"/>
                <w:lang w:eastAsia="lt-LT"/>
              </w:rPr>
              <w:fldChar w:fldCharType="end"/>
            </w:r>
          </w:p>
        </w:tc>
        <w:tc>
          <w:tcPr>
            <w:tcW w:w="1046" w:type="dxa"/>
            <w:shd w:val="clear" w:color="auto" w:fill="auto"/>
            <w:vAlign w:val="center"/>
          </w:tcPr>
          <w:p w14:paraId="496D955E" w14:textId="32F37BF9" w:rsidR="00E16B50" w:rsidRPr="001D4817" w:rsidRDefault="00195115" w:rsidP="00D9012D">
            <w:pPr>
              <w:jc w:val="center"/>
              <w:rPr>
                <w:b/>
                <w:sz w:val="23"/>
                <w:szCs w:val="23"/>
                <w:lang w:eastAsia="lt-LT"/>
              </w:rPr>
            </w:pPr>
            <w:r>
              <w:rPr>
                <w:b/>
                <w:sz w:val="23"/>
                <w:szCs w:val="23"/>
                <w:lang w:eastAsia="lt-LT"/>
              </w:rPr>
              <w:fldChar w:fldCharType="begin"/>
            </w:r>
            <w:r>
              <w:rPr>
                <w:b/>
                <w:sz w:val="23"/>
                <w:szCs w:val="23"/>
                <w:lang w:eastAsia="lt-LT"/>
              </w:rPr>
              <w:instrText xml:space="preserve"> =SUM(ABOVE) </w:instrText>
            </w:r>
            <w:r>
              <w:rPr>
                <w:b/>
                <w:sz w:val="23"/>
                <w:szCs w:val="23"/>
                <w:lang w:eastAsia="lt-LT"/>
              </w:rPr>
              <w:fldChar w:fldCharType="separate"/>
            </w:r>
            <w:r>
              <w:rPr>
                <w:b/>
                <w:noProof/>
                <w:sz w:val="23"/>
                <w:szCs w:val="23"/>
                <w:lang w:eastAsia="lt-LT"/>
              </w:rPr>
              <w:t>1693,2</w:t>
            </w:r>
            <w:r>
              <w:rPr>
                <w:b/>
                <w:sz w:val="23"/>
                <w:szCs w:val="23"/>
                <w:lang w:eastAsia="lt-LT"/>
              </w:rPr>
              <w:fldChar w:fldCharType="end"/>
            </w:r>
          </w:p>
        </w:tc>
      </w:tr>
    </w:tbl>
    <w:p w14:paraId="2E271893" w14:textId="319E8FB7" w:rsidR="00E16B50" w:rsidRDefault="00E16B50" w:rsidP="00E16B50">
      <w:pPr>
        <w:jc w:val="center"/>
        <w:rPr>
          <w:sz w:val="24"/>
          <w:szCs w:val="24"/>
          <w:lang w:eastAsia="lt-LT"/>
        </w:rPr>
      </w:pPr>
      <w:r w:rsidRPr="0011560B">
        <w:rPr>
          <w:sz w:val="24"/>
          <w:szCs w:val="24"/>
          <w:lang w:eastAsia="lt-LT"/>
        </w:rPr>
        <w:t xml:space="preserve">Vidutinė </w:t>
      </w:r>
      <w:r>
        <w:rPr>
          <w:sz w:val="24"/>
          <w:szCs w:val="24"/>
          <w:lang w:eastAsia="lt-LT"/>
        </w:rPr>
        <w:t>medžio pjuvenų granulių</w:t>
      </w:r>
      <w:r w:rsidRPr="0011560B">
        <w:rPr>
          <w:sz w:val="24"/>
          <w:szCs w:val="24"/>
          <w:lang w:eastAsia="lt-LT"/>
        </w:rPr>
        <w:t xml:space="preserve"> kaina </w:t>
      </w:r>
      <w:r w:rsidR="00195115">
        <w:rPr>
          <w:sz w:val="24"/>
          <w:szCs w:val="24"/>
          <w:lang w:eastAsia="lt-LT"/>
        </w:rPr>
        <w:t>1805,20</w:t>
      </w:r>
      <w:r w:rsidRPr="0011560B">
        <w:rPr>
          <w:sz w:val="24"/>
          <w:szCs w:val="24"/>
          <w:lang w:eastAsia="lt-LT"/>
        </w:rPr>
        <w:t xml:space="preserve"> Eur / </w:t>
      </w:r>
      <w:r w:rsidR="00195115">
        <w:rPr>
          <w:sz w:val="24"/>
          <w:szCs w:val="24"/>
          <w:lang w:eastAsia="lt-LT"/>
        </w:rPr>
        <w:t>5</w:t>
      </w:r>
      <w:r w:rsidRPr="0011560B">
        <w:rPr>
          <w:sz w:val="24"/>
          <w:szCs w:val="24"/>
          <w:lang w:eastAsia="lt-LT"/>
        </w:rPr>
        <w:t xml:space="preserve"> </w:t>
      </w:r>
      <w:r w:rsidRPr="0011560B">
        <w:rPr>
          <w:sz w:val="24"/>
          <w:szCs w:val="24"/>
          <w:lang w:val="en-GB" w:eastAsia="lt-LT"/>
        </w:rPr>
        <w:t xml:space="preserve">= </w:t>
      </w:r>
      <w:r w:rsidR="00195115">
        <w:rPr>
          <w:b/>
          <w:sz w:val="24"/>
          <w:szCs w:val="24"/>
          <w:lang w:val="en-GB" w:eastAsia="lt-LT"/>
        </w:rPr>
        <w:t>361,04</w:t>
      </w:r>
      <w:r w:rsidRPr="0011560B">
        <w:rPr>
          <w:b/>
          <w:sz w:val="24"/>
          <w:szCs w:val="24"/>
          <w:lang w:val="en-GB" w:eastAsia="lt-LT"/>
        </w:rPr>
        <w:t xml:space="preserve"> </w:t>
      </w:r>
      <w:r w:rsidRPr="0011560B">
        <w:rPr>
          <w:b/>
          <w:sz w:val="24"/>
          <w:szCs w:val="24"/>
          <w:lang w:eastAsia="lt-LT"/>
        </w:rPr>
        <w:t xml:space="preserve">Eur </w:t>
      </w:r>
      <w:r w:rsidRPr="0011560B">
        <w:rPr>
          <w:sz w:val="24"/>
          <w:szCs w:val="24"/>
          <w:lang w:eastAsia="lt-LT"/>
        </w:rPr>
        <w:t>už toną</w:t>
      </w:r>
      <w:r>
        <w:rPr>
          <w:sz w:val="24"/>
          <w:szCs w:val="24"/>
          <w:lang w:eastAsia="lt-LT"/>
        </w:rPr>
        <w:t xml:space="preserve"> su PVM</w:t>
      </w:r>
      <w:r w:rsidRPr="0011560B">
        <w:rPr>
          <w:sz w:val="24"/>
          <w:szCs w:val="24"/>
          <w:lang w:eastAsia="lt-LT"/>
        </w:rPr>
        <w:t>.</w:t>
      </w:r>
    </w:p>
    <w:p w14:paraId="2CE67A73" w14:textId="79A09893" w:rsidR="00E16B50" w:rsidRPr="00864724" w:rsidRDefault="00E16B50" w:rsidP="00E16B50">
      <w:pPr>
        <w:spacing w:after="120"/>
        <w:jc w:val="center"/>
        <w:rPr>
          <w:sz w:val="24"/>
          <w:szCs w:val="24"/>
          <w:lang w:eastAsia="lt-LT"/>
        </w:rPr>
      </w:pPr>
      <w:r w:rsidRPr="0011560B">
        <w:rPr>
          <w:sz w:val="24"/>
          <w:szCs w:val="24"/>
          <w:lang w:eastAsia="lt-LT"/>
        </w:rPr>
        <w:t xml:space="preserve">Vidutinė </w:t>
      </w:r>
      <w:r>
        <w:rPr>
          <w:sz w:val="24"/>
          <w:szCs w:val="24"/>
          <w:lang w:eastAsia="lt-LT"/>
        </w:rPr>
        <w:t>medžio pjuvenų briketų</w:t>
      </w:r>
      <w:r w:rsidRPr="0011560B">
        <w:rPr>
          <w:sz w:val="24"/>
          <w:szCs w:val="24"/>
          <w:lang w:eastAsia="lt-LT"/>
        </w:rPr>
        <w:t xml:space="preserve"> kaina </w:t>
      </w:r>
      <w:r w:rsidR="00195115">
        <w:rPr>
          <w:sz w:val="24"/>
          <w:szCs w:val="24"/>
          <w:lang w:eastAsia="lt-LT"/>
        </w:rPr>
        <w:t>1693,20</w:t>
      </w:r>
      <w:r w:rsidRPr="0011560B">
        <w:rPr>
          <w:sz w:val="24"/>
          <w:szCs w:val="24"/>
          <w:lang w:eastAsia="lt-LT"/>
        </w:rPr>
        <w:t xml:space="preserve"> Eur / </w:t>
      </w:r>
      <w:r w:rsidR="00195115">
        <w:rPr>
          <w:sz w:val="24"/>
          <w:szCs w:val="24"/>
          <w:lang w:eastAsia="lt-LT"/>
        </w:rPr>
        <w:t>5</w:t>
      </w:r>
      <w:r w:rsidRPr="0011560B">
        <w:rPr>
          <w:sz w:val="24"/>
          <w:szCs w:val="24"/>
          <w:lang w:eastAsia="lt-LT"/>
        </w:rPr>
        <w:t xml:space="preserve"> </w:t>
      </w:r>
      <w:r w:rsidRPr="0011560B">
        <w:rPr>
          <w:sz w:val="24"/>
          <w:szCs w:val="24"/>
          <w:lang w:val="en-GB" w:eastAsia="lt-LT"/>
        </w:rPr>
        <w:t xml:space="preserve">= </w:t>
      </w:r>
      <w:r w:rsidR="00AD1AB5">
        <w:rPr>
          <w:b/>
          <w:sz w:val="24"/>
          <w:szCs w:val="24"/>
          <w:lang w:val="en-GB" w:eastAsia="lt-LT"/>
        </w:rPr>
        <w:t>3</w:t>
      </w:r>
      <w:r w:rsidR="00667D8E">
        <w:rPr>
          <w:b/>
          <w:sz w:val="24"/>
          <w:szCs w:val="24"/>
          <w:lang w:val="en-GB" w:eastAsia="lt-LT"/>
        </w:rPr>
        <w:t>38,64</w:t>
      </w:r>
      <w:r w:rsidRPr="0011560B">
        <w:rPr>
          <w:b/>
          <w:sz w:val="24"/>
          <w:szCs w:val="24"/>
          <w:lang w:val="en-GB" w:eastAsia="lt-LT"/>
        </w:rPr>
        <w:t xml:space="preserve"> </w:t>
      </w:r>
      <w:r w:rsidRPr="0011560B">
        <w:rPr>
          <w:b/>
          <w:sz w:val="24"/>
          <w:szCs w:val="24"/>
          <w:lang w:eastAsia="lt-LT"/>
        </w:rPr>
        <w:t xml:space="preserve">Eur </w:t>
      </w:r>
      <w:r w:rsidRPr="0011560B">
        <w:rPr>
          <w:sz w:val="24"/>
          <w:szCs w:val="24"/>
          <w:lang w:eastAsia="lt-LT"/>
        </w:rPr>
        <w:t>už toną</w:t>
      </w:r>
      <w:r>
        <w:rPr>
          <w:sz w:val="24"/>
          <w:szCs w:val="24"/>
          <w:lang w:eastAsia="lt-LT"/>
        </w:rPr>
        <w:t xml:space="preserve"> su PVM</w:t>
      </w:r>
      <w:r w:rsidRPr="0011560B">
        <w:rPr>
          <w:sz w:val="24"/>
          <w:szCs w:val="24"/>
          <w:lang w:eastAsia="lt-L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2526"/>
        <w:gridCol w:w="2540"/>
        <w:gridCol w:w="1269"/>
      </w:tblGrid>
      <w:tr w:rsidR="00E16B50" w:rsidRPr="005A5664" w14:paraId="55BFDFD2" w14:textId="77777777" w:rsidTr="00352EC5">
        <w:trPr>
          <w:trHeight w:val="255"/>
        </w:trPr>
        <w:tc>
          <w:tcPr>
            <w:tcW w:w="3093" w:type="dxa"/>
            <w:shd w:val="clear" w:color="auto" w:fill="auto"/>
            <w:vAlign w:val="center"/>
          </w:tcPr>
          <w:p w14:paraId="20F4465A" w14:textId="77777777" w:rsidR="00E16B50" w:rsidRPr="00713B1A" w:rsidRDefault="00E16B50" w:rsidP="00D9012D">
            <w:pPr>
              <w:jc w:val="center"/>
              <w:rPr>
                <w:b/>
                <w:sz w:val="23"/>
                <w:szCs w:val="23"/>
                <w:lang w:eastAsia="lt-LT"/>
              </w:rPr>
            </w:pPr>
            <w:r w:rsidRPr="00713B1A">
              <w:rPr>
                <w:b/>
                <w:sz w:val="23"/>
                <w:szCs w:val="23"/>
                <w:lang w:eastAsia="lt-LT"/>
              </w:rPr>
              <w:t>Pavadinimas</w:t>
            </w:r>
          </w:p>
        </w:tc>
        <w:tc>
          <w:tcPr>
            <w:tcW w:w="2526" w:type="dxa"/>
            <w:shd w:val="clear" w:color="auto" w:fill="auto"/>
            <w:vAlign w:val="center"/>
          </w:tcPr>
          <w:p w14:paraId="563BA37D" w14:textId="77777777" w:rsidR="00E16B50" w:rsidRPr="00713B1A" w:rsidRDefault="00E16B50" w:rsidP="00D9012D">
            <w:pPr>
              <w:jc w:val="center"/>
              <w:rPr>
                <w:b/>
                <w:sz w:val="23"/>
                <w:szCs w:val="23"/>
                <w:lang w:eastAsia="lt-LT"/>
              </w:rPr>
            </w:pPr>
            <w:r w:rsidRPr="00713B1A">
              <w:rPr>
                <w:b/>
                <w:sz w:val="23"/>
                <w:szCs w:val="23"/>
                <w:lang w:eastAsia="lt-LT"/>
              </w:rPr>
              <w:t>Malkų kaina su  PVM Eur</w:t>
            </w:r>
            <w:r>
              <w:rPr>
                <w:b/>
                <w:sz w:val="23"/>
                <w:szCs w:val="23"/>
                <w:lang w:eastAsia="lt-LT"/>
              </w:rPr>
              <w:t xml:space="preserve"> </w:t>
            </w:r>
            <w:r w:rsidRPr="00713B1A">
              <w:rPr>
                <w:b/>
                <w:sz w:val="23"/>
                <w:szCs w:val="23"/>
                <w:lang w:eastAsia="lt-LT"/>
              </w:rPr>
              <w:t>/</w:t>
            </w:r>
            <w:r>
              <w:rPr>
                <w:b/>
                <w:sz w:val="23"/>
                <w:szCs w:val="23"/>
                <w:lang w:eastAsia="lt-LT"/>
              </w:rPr>
              <w:t xml:space="preserve"> </w:t>
            </w:r>
            <w:r w:rsidRPr="00713B1A">
              <w:rPr>
                <w:b/>
                <w:sz w:val="23"/>
                <w:szCs w:val="23"/>
                <w:lang w:eastAsia="lt-LT"/>
              </w:rPr>
              <w:t>ktm</w:t>
            </w:r>
          </w:p>
        </w:tc>
        <w:tc>
          <w:tcPr>
            <w:tcW w:w="2540" w:type="dxa"/>
            <w:shd w:val="clear" w:color="auto" w:fill="auto"/>
            <w:vAlign w:val="center"/>
          </w:tcPr>
          <w:p w14:paraId="48FBE679" w14:textId="77777777" w:rsidR="00E16B50" w:rsidRPr="00713B1A" w:rsidRDefault="00E16B50" w:rsidP="00D9012D">
            <w:pPr>
              <w:jc w:val="center"/>
              <w:rPr>
                <w:b/>
                <w:sz w:val="23"/>
                <w:szCs w:val="23"/>
                <w:lang w:eastAsia="lt-LT"/>
              </w:rPr>
            </w:pPr>
            <w:r w:rsidRPr="00713B1A">
              <w:rPr>
                <w:b/>
                <w:sz w:val="23"/>
                <w:szCs w:val="23"/>
                <w:lang w:eastAsia="lt-LT"/>
              </w:rPr>
              <w:t xml:space="preserve">Transportavimo kaina </w:t>
            </w:r>
            <w:r>
              <w:rPr>
                <w:b/>
                <w:sz w:val="23"/>
                <w:szCs w:val="23"/>
                <w:lang w:eastAsia="lt-LT"/>
              </w:rPr>
              <w:t xml:space="preserve">su </w:t>
            </w:r>
            <w:r w:rsidRPr="00713B1A">
              <w:rPr>
                <w:b/>
                <w:sz w:val="23"/>
                <w:szCs w:val="23"/>
                <w:lang w:eastAsia="lt-LT"/>
              </w:rPr>
              <w:t xml:space="preserve">PVM </w:t>
            </w:r>
            <w:r>
              <w:rPr>
                <w:b/>
                <w:sz w:val="23"/>
                <w:szCs w:val="23"/>
                <w:lang w:eastAsia="lt-LT"/>
              </w:rPr>
              <w:t>Eur</w:t>
            </w:r>
          </w:p>
        </w:tc>
        <w:tc>
          <w:tcPr>
            <w:tcW w:w="1269" w:type="dxa"/>
            <w:shd w:val="clear" w:color="auto" w:fill="auto"/>
            <w:vAlign w:val="center"/>
          </w:tcPr>
          <w:p w14:paraId="02C597A9" w14:textId="77777777" w:rsidR="00E16B50" w:rsidRPr="00713B1A" w:rsidRDefault="00E16B50" w:rsidP="00D9012D">
            <w:pPr>
              <w:jc w:val="center"/>
              <w:rPr>
                <w:b/>
                <w:sz w:val="23"/>
                <w:szCs w:val="23"/>
                <w:lang w:eastAsia="lt-LT"/>
              </w:rPr>
            </w:pPr>
            <w:r w:rsidRPr="00713B1A">
              <w:rPr>
                <w:b/>
                <w:sz w:val="23"/>
                <w:szCs w:val="23"/>
                <w:lang w:eastAsia="lt-LT"/>
              </w:rPr>
              <w:t>Iš viso</w:t>
            </w:r>
          </w:p>
          <w:p w14:paraId="7157F0DA" w14:textId="77777777" w:rsidR="00E16B50" w:rsidRPr="00713B1A" w:rsidRDefault="00E16B50" w:rsidP="00D9012D">
            <w:pPr>
              <w:jc w:val="center"/>
              <w:rPr>
                <w:b/>
                <w:sz w:val="23"/>
                <w:szCs w:val="23"/>
                <w:lang w:eastAsia="lt-LT"/>
              </w:rPr>
            </w:pPr>
            <w:r w:rsidRPr="00713B1A">
              <w:rPr>
                <w:b/>
                <w:sz w:val="23"/>
                <w:szCs w:val="23"/>
                <w:lang w:eastAsia="lt-LT"/>
              </w:rPr>
              <w:t>Eur</w:t>
            </w:r>
            <w:r>
              <w:rPr>
                <w:b/>
                <w:sz w:val="23"/>
                <w:szCs w:val="23"/>
                <w:lang w:eastAsia="lt-LT"/>
              </w:rPr>
              <w:t xml:space="preserve"> </w:t>
            </w:r>
            <w:r w:rsidRPr="00713B1A">
              <w:rPr>
                <w:b/>
                <w:sz w:val="23"/>
                <w:szCs w:val="23"/>
                <w:lang w:eastAsia="lt-LT"/>
              </w:rPr>
              <w:t>/</w:t>
            </w:r>
            <w:r>
              <w:rPr>
                <w:b/>
                <w:sz w:val="23"/>
                <w:szCs w:val="23"/>
                <w:lang w:eastAsia="lt-LT"/>
              </w:rPr>
              <w:t xml:space="preserve"> </w:t>
            </w:r>
            <w:r w:rsidRPr="00713B1A">
              <w:rPr>
                <w:b/>
                <w:sz w:val="23"/>
                <w:szCs w:val="23"/>
                <w:lang w:eastAsia="lt-LT"/>
              </w:rPr>
              <w:t>ktm</w:t>
            </w:r>
          </w:p>
        </w:tc>
      </w:tr>
      <w:tr w:rsidR="00E16B50" w:rsidRPr="005A5664" w14:paraId="6B3BDDAD" w14:textId="77777777" w:rsidTr="00352EC5">
        <w:trPr>
          <w:trHeight w:val="210"/>
        </w:trPr>
        <w:tc>
          <w:tcPr>
            <w:tcW w:w="9428" w:type="dxa"/>
            <w:gridSpan w:val="4"/>
            <w:shd w:val="clear" w:color="auto" w:fill="auto"/>
            <w:vAlign w:val="center"/>
          </w:tcPr>
          <w:p w14:paraId="3CFA592D" w14:textId="77777777" w:rsidR="00E16B50" w:rsidRPr="00713B1A" w:rsidRDefault="00E16B50" w:rsidP="00D9012D">
            <w:pPr>
              <w:rPr>
                <w:i/>
                <w:sz w:val="23"/>
                <w:szCs w:val="23"/>
                <w:lang w:eastAsia="lt-LT"/>
              </w:rPr>
            </w:pPr>
            <w:r w:rsidRPr="00713B1A">
              <w:rPr>
                <w:i/>
                <w:sz w:val="23"/>
                <w:szCs w:val="23"/>
                <w:lang w:eastAsia="lt-LT"/>
              </w:rPr>
              <w:t xml:space="preserve">VĮ Valstybinių miškų urėdijos </w:t>
            </w:r>
          </w:p>
        </w:tc>
      </w:tr>
      <w:tr w:rsidR="00352EC5" w:rsidRPr="005A5664" w14:paraId="56EC71D4" w14:textId="77777777" w:rsidTr="00352EC5">
        <w:trPr>
          <w:trHeight w:val="285"/>
        </w:trPr>
        <w:tc>
          <w:tcPr>
            <w:tcW w:w="3093" w:type="dxa"/>
            <w:vMerge w:val="restart"/>
            <w:shd w:val="clear" w:color="auto" w:fill="auto"/>
            <w:vAlign w:val="center"/>
          </w:tcPr>
          <w:p w14:paraId="72B416E1" w14:textId="77777777" w:rsidR="00352EC5" w:rsidRPr="00713B1A" w:rsidRDefault="00352EC5" w:rsidP="00352EC5">
            <w:pPr>
              <w:rPr>
                <w:sz w:val="23"/>
                <w:szCs w:val="23"/>
                <w:lang w:eastAsia="lt-LT"/>
              </w:rPr>
            </w:pPr>
            <w:r w:rsidRPr="00713B1A">
              <w:rPr>
                <w:sz w:val="23"/>
                <w:szCs w:val="23"/>
                <w:lang w:eastAsia="lt-LT"/>
              </w:rPr>
              <w:t>Kretingos regioninis padalinys</w:t>
            </w:r>
          </w:p>
          <w:p w14:paraId="01DE9846" w14:textId="77777777" w:rsidR="00352EC5" w:rsidRPr="00713B1A" w:rsidRDefault="00352EC5" w:rsidP="00352EC5">
            <w:pPr>
              <w:rPr>
                <w:sz w:val="23"/>
                <w:szCs w:val="23"/>
                <w:lang w:eastAsia="lt-LT"/>
              </w:rPr>
            </w:pPr>
            <w:r w:rsidRPr="00713B1A">
              <w:rPr>
                <w:sz w:val="23"/>
                <w:szCs w:val="23"/>
                <w:lang w:eastAsia="lt-LT"/>
              </w:rPr>
              <w:t>Šilutės regioninis padalinys</w:t>
            </w:r>
          </w:p>
        </w:tc>
        <w:tc>
          <w:tcPr>
            <w:tcW w:w="2526" w:type="dxa"/>
            <w:shd w:val="clear" w:color="auto" w:fill="auto"/>
            <w:vAlign w:val="center"/>
          </w:tcPr>
          <w:p w14:paraId="53846382" w14:textId="1E438B87" w:rsidR="00352EC5" w:rsidRPr="0032516E" w:rsidRDefault="00352EC5" w:rsidP="00352EC5">
            <w:pPr>
              <w:jc w:val="center"/>
              <w:rPr>
                <w:sz w:val="23"/>
                <w:szCs w:val="23"/>
                <w:lang w:eastAsia="lt-LT"/>
              </w:rPr>
            </w:pPr>
            <w:r>
              <w:rPr>
                <w:sz w:val="23"/>
                <w:szCs w:val="23"/>
                <w:lang w:eastAsia="lt-LT"/>
              </w:rPr>
              <w:t>59,95</w:t>
            </w:r>
          </w:p>
        </w:tc>
        <w:tc>
          <w:tcPr>
            <w:tcW w:w="2540" w:type="dxa"/>
            <w:shd w:val="clear" w:color="auto" w:fill="auto"/>
            <w:vAlign w:val="center"/>
          </w:tcPr>
          <w:p w14:paraId="18EA6745" w14:textId="329050C5" w:rsidR="00352EC5" w:rsidRPr="00713B1A" w:rsidRDefault="00352EC5" w:rsidP="00352EC5">
            <w:pPr>
              <w:jc w:val="center"/>
              <w:rPr>
                <w:sz w:val="23"/>
                <w:szCs w:val="23"/>
                <w:lang w:eastAsia="lt-LT"/>
              </w:rPr>
            </w:pPr>
            <w:r>
              <w:rPr>
                <w:sz w:val="23"/>
                <w:szCs w:val="23"/>
                <w:lang w:eastAsia="lt-LT"/>
              </w:rPr>
              <w:t>10,29</w:t>
            </w:r>
          </w:p>
        </w:tc>
        <w:tc>
          <w:tcPr>
            <w:tcW w:w="1269" w:type="dxa"/>
            <w:shd w:val="clear" w:color="auto" w:fill="auto"/>
            <w:vAlign w:val="center"/>
          </w:tcPr>
          <w:p w14:paraId="738881E7" w14:textId="40C47D52" w:rsidR="00352EC5" w:rsidRPr="00713B1A" w:rsidRDefault="00352EC5" w:rsidP="00352EC5">
            <w:pPr>
              <w:jc w:val="center"/>
              <w:rPr>
                <w:sz w:val="23"/>
                <w:szCs w:val="23"/>
                <w:lang w:eastAsia="lt-LT"/>
              </w:rPr>
            </w:pPr>
            <w:r>
              <w:rPr>
                <w:sz w:val="23"/>
                <w:szCs w:val="23"/>
                <w:lang w:eastAsia="lt-LT"/>
              </w:rPr>
              <w:t>70,24</w:t>
            </w:r>
          </w:p>
        </w:tc>
      </w:tr>
      <w:tr w:rsidR="00E16B50" w:rsidRPr="005A5664" w14:paraId="03DF23AE" w14:textId="77777777" w:rsidTr="00352EC5">
        <w:trPr>
          <w:trHeight w:val="255"/>
        </w:trPr>
        <w:tc>
          <w:tcPr>
            <w:tcW w:w="3093" w:type="dxa"/>
            <w:vMerge/>
            <w:shd w:val="clear" w:color="auto" w:fill="auto"/>
            <w:vAlign w:val="center"/>
          </w:tcPr>
          <w:p w14:paraId="47D7B60B" w14:textId="77777777" w:rsidR="00E16B50" w:rsidRPr="00713B1A" w:rsidRDefault="00E16B50" w:rsidP="00D9012D">
            <w:pPr>
              <w:rPr>
                <w:sz w:val="23"/>
                <w:szCs w:val="23"/>
                <w:lang w:eastAsia="lt-LT"/>
              </w:rPr>
            </w:pPr>
          </w:p>
        </w:tc>
        <w:tc>
          <w:tcPr>
            <w:tcW w:w="2526" w:type="dxa"/>
            <w:shd w:val="clear" w:color="auto" w:fill="auto"/>
            <w:vAlign w:val="center"/>
          </w:tcPr>
          <w:p w14:paraId="396FB0A5" w14:textId="0574CBB6" w:rsidR="00E16B50" w:rsidRPr="003675D9" w:rsidRDefault="00352EC5" w:rsidP="00D9012D">
            <w:pPr>
              <w:jc w:val="center"/>
              <w:rPr>
                <w:sz w:val="23"/>
                <w:szCs w:val="23"/>
                <w:lang w:eastAsia="lt-LT"/>
              </w:rPr>
            </w:pPr>
            <w:r>
              <w:rPr>
                <w:sz w:val="23"/>
                <w:szCs w:val="23"/>
                <w:lang w:eastAsia="lt-LT"/>
              </w:rPr>
              <w:t>57,23</w:t>
            </w:r>
          </w:p>
        </w:tc>
        <w:tc>
          <w:tcPr>
            <w:tcW w:w="2540" w:type="dxa"/>
            <w:shd w:val="clear" w:color="auto" w:fill="auto"/>
            <w:vAlign w:val="center"/>
          </w:tcPr>
          <w:p w14:paraId="0CD86BF5" w14:textId="54943A45" w:rsidR="00E16B50" w:rsidRPr="00713B1A" w:rsidRDefault="00352EC5" w:rsidP="00D9012D">
            <w:pPr>
              <w:jc w:val="center"/>
              <w:rPr>
                <w:sz w:val="23"/>
                <w:szCs w:val="23"/>
                <w:lang w:eastAsia="lt-LT"/>
              </w:rPr>
            </w:pPr>
            <w:r>
              <w:rPr>
                <w:sz w:val="23"/>
                <w:szCs w:val="23"/>
                <w:lang w:eastAsia="lt-LT"/>
              </w:rPr>
              <w:t>10,89</w:t>
            </w:r>
          </w:p>
        </w:tc>
        <w:tc>
          <w:tcPr>
            <w:tcW w:w="1269" w:type="dxa"/>
            <w:shd w:val="clear" w:color="auto" w:fill="auto"/>
            <w:vAlign w:val="center"/>
          </w:tcPr>
          <w:p w14:paraId="65B24A74" w14:textId="4F3DC2A2" w:rsidR="00E16B50" w:rsidRPr="00CF4ACC" w:rsidRDefault="00352EC5" w:rsidP="00D9012D">
            <w:pPr>
              <w:jc w:val="center"/>
              <w:rPr>
                <w:sz w:val="23"/>
                <w:szCs w:val="23"/>
                <w:lang w:val="en-US" w:eastAsia="lt-LT"/>
              </w:rPr>
            </w:pPr>
            <w:r>
              <w:rPr>
                <w:sz w:val="23"/>
                <w:szCs w:val="23"/>
                <w:lang w:val="en-US" w:eastAsia="lt-LT"/>
              </w:rPr>
              <w:t>68,12</w:t>
            </w:r>
          </w:p>
        </w:tc>
      </w:tr>
      <w:tr w:rsidR="00E16B50" w:rsidRPr="005A5664" w14:paraId="66E4E743" w14:textId="77777777" w:rsidTr="00352EC5">
        <w:trPr>
          <w:trHeight w:val="255"/>
        </w:trPr>
        <w:tc>
          <w:tcPr>
            <w:tcW w:w="3093" w:type="dxa"/>
            <w:shd w:val="clear" w:color="auto" w:fill="auto"/>
            <w:vAlign w:val="center"/>
          </w:tcPr>
          <w:p w14:paraId="22686E07" w14:textId="77777777" w:rsidR="00E16B50" w:rsidRPr="00E61DCE" w:rsidRDefault="00E16B50" w:rsidP="00D9012D">
            <w:pPr>
              <w:rPr>
                <w:sz w:val="23"/>
                <w:szCs w:val="23"/>
                <w:lang w:eastAsia="lt-LT"/>
              </w:rPr>
            </w:pPr>
            <w:r w:rsidRPr="00E61DCE">
              <w:rPr>
                <w:sz w:val="23"/>
                <w:szCs w:val="23"/>
                <w:lang w:eastAsia="lt-LT"/>
              </w:rPr>
              <w:t>UAB „Jono malkos“</w:t>
            </w:r>
          </w:p>
        </w:tc>
        <w:tc>
          <w:tcPr>
            <w:tcW w:w="2526" w:type="dxa"/>
            <w:shd w:val="clear" w:color="auto" w:fill="auto"/>
            <w:vAlign w:val="center"/>
          </w:tcPr>
          <w:p w14:paraId="1B51D5A4" w14:textId="37ADFA15" w:rsidR="00E16B50" w:rsidRPr="006F48C4" w:rsidRDefault="008F2222" w:rsidP="00D9012D">
            <w:pPr>
              <w:jc w:val="center"/>
              <w:rPr>
                <w:sz w:val="23"/>
                <w:szCs w:val="23"/>
                <w:lang w:eastAsia="lt-LT"/>
              </w:rPr>
            </w:pPr>
            <w:r w:rsidRPr="002F51CF">
              <w:rPr>
                <w:sz w:val="23"/>
                <w:szCs w:val="23"/>
                <w:lang w:eastAsia="lt-LT"/>
              </w:rPr>
              <w:t>88,35</w:t>
            </w:r>
          </w:p>
        </w:tc>
        <w:tc>
          <w:tcPr>
            <w:tcW w:w="2540" w:type="dxa"/>
            <w:shd w:val="clear" w:color="auto" w:fill="auto"/>
            <w:vAlign w:val="center"/>
          </w:tcPr>
          <w:p w14:paraId="2D7DB8EA" w14:textId="77777777" w:rsidR="00E16B50" w:rsidRPr="00E61DCE" w:rsidRDefault="00E16B50" w:rsidP="00D9012D">
            <w:pPr>
              <w:jc w:val="center"/>
              <w:rPr>
                <w:sz w:val="23"/>
                <w:szCs w:val="23"/>
                <w:lang w:eastAsia="lt-LT"/>
              </w:rPr>
            </w:pPr>
            <w:r w:rsidRPr="00E61DCE">
              <w:rPr>
                <w:sz w:val="23"/>
                <w:szCs w:val="23"/>
                <w:lang w:eastAsia="lt-LT"/>
              </w:rPr>
              <w:t>įskaičiuota</w:t>
            </w:r>
          </w:p>
        </w:tc>
        <w:tc>
          <w:tcPr>
            <w:tcW w:w="1269" w:type="dxa"/>
            <w:shd w:val="clear" w:color="auto" w:fill="auto"/>
            <w:vAlign w:val="center"/>
          </w:tcPr>
          <w:p w14:paraId="4B2BB5A9" w14:textId="77567F5A" w:rsidR="00E16B50" w:rsidRPr="00713B1A" w:rsidRDefault="00352EC5" w:rsidP="00D9012D">
            <w:pPr>
              <w:jc w:val="center"/>
              <w:rPr>
                <w:sz w:val="23"/>
                <w:szCs w:val="23"/>
                <w:lang w:eastAsia="lt-LT"/>
              </w:rPr>
            </w:pPr>
            <w:r>
              <w:rPr>
                <w:sz w:val="23"/>
                <w:szCs w:val="23"/>
                <w:lang w:eastAsia="lt-LT"/>
              </w:rPr>
              <w:t>88,35</w:t>
            </w:r>
          </w:p>
        </w:tc>
      </w:tr>
      <w:tr w:rsidR="00E16B50" w:rsidRPr="005A5664" w14:paraId="19E52420" w14:textId="77777777" w:rsidTr="00352EC5">
        <w:trPr>
          <w:trHeight w:val="255"/>
        </w:trPr>
        <w:tc>
          <w:tcPr>
            <w:tcW w:w="3093" w:type="dxa"/>
            <w:shd w:val="clear" w:color="auto" w:fill="auto"/>
            <w:vAlign w:val="center"/>
          </w:tcPr>
          <w:p w14:paraId="7688F17E" w14:textId="77777777" w:rsidR="00E16B50" w:rsidRPr="00E61DCE" w:rsidRDefault="00E16B50" w:rsidP="00D9012D">
            <w:pPr>
              <w:rPr>
                <w:sz w:val="23"/>
                <w:szCs w:val="23"/>
                <w:lang w:eastAsia="lt-LT"/>
              </w:rPr>
            </w:pPr>
            <w:r w:rsidRPr="00E61DCE">
              <w:rPr>
                <w:sz w:val="23"/>
                <w:szCs w:val="23"/>
                <w:lang w:eastAsia="lt-LT"/>
              </w:rPr>
              <w:t>UAB „Malkos kurui“</w:t>
            </w:r>
          </w:p>
        </w:tc>
        <w:tc>
          <w:tcPr>
            <w:tcW w:w="2526" w:type="dxa"/>
            <w:shd w:val="clear" w:color="auto" w:fill="auto"/>
            <w:vAlign w:val="center"/>
          </w:tcPr>
          <w:p w14:paraId="7EA56E26" w14:textId="7A79DD5E" w:rsidR="00E16B50" w:rsidRPr="00352EC5" w:rsidRDefault="002F51CF" w:rsidP="00D9012D">
            <w:pPr>
              <w:jc w:val="center"/>
              <w:rPr>
                <w:color w:val="FF0000"/>
                <w:sz w:val="23"/>
                <w:szCs w:val="23"/>
                <w:lang w:eastAsia="lt-LT"/>
              </w:rPr>
            </w:pPr>
            <w:r w:rsidRPr="002F51CF">
              <w:rPr>
                <w:sz w:val="23"/>
                <w:szCs w:val="23"/>
                <w:lang w:eastAsia="lt-LT"/>
              </w:rPr>
              <w:t>74,66</w:t>
            </w:r>
          </w:p>
        </w:tc>
        <w:tc>
          <w:tcPr>
            <w:tcW w:w="2540" w:type="dxa"/>
            <w:shd w:val="clear" w:color="auto" w:fill="auto"/>
            <w:vAlign w:val="center"/>
          </w:tcPr>
          <w:p w14:paraId="2B7F9FEB" w14:textId="77777777" w:rsidR="00E16B50" w:rsidRPr="00E61DCE" w:rsidRDefault="00E16B50" w:rsidP="00D9012D">
            <w:pPr>
              <w:jc w:val="center"/>
              <w:rPr>
                <w:sz w:val="23"/>
                <w:szCs w:val="23"/>
                <w:lang w:eastAsia="lt-LT"/>
              </w:rPr>
            </w:pPr>
            <w:r w:rsidRPr="00E61DCE">
              <w:rPr>
                <w:sz w:val="23"/>
                <w:szCs w:val="23"/>
                <w:lang w:eastAsia="lt-LT"/>
              </w:rPr>
              <w:t>įskaičiuota</w:t>
            </w:r>
          </w:p>
        </w:tc>
        <w:tc>
          <w:tcPr>
            <w:tcW w:w="1269" w:type="dxa"/>
            <w:shd w:val="clear" w:color="auto" w:fill="auto"/>
            <w:vAlign w:val="center"/>
          </w:tcPr>
          <w:p w14:paraId="5A26B470" w14:textId="77777777" w:rsidR="00E16B50" w:rsidRPr="00713B1A" w:rsidRDefault="00E16B50" w:rsidP="00D9012D">
            <w:pPr>
              <w:jc w:val="center"/>
              <w:rPr>
                <w:sz w:val="23"/>
                <w:szCs w:val="23"/>
                <w:lang w:eastAsia="lt-LT"/>
              </w:rPr>
            </w:pPr>
            <w:r>
              <w:rPr>
                <w:sz w:val="23"/>
                <w:szCs w:val="23"/>
                <w:lang w:eastAsia="lt-LT"/>
              </w:rPr>
              <w:t>86,64</w:t>
            </w:r>
          </w:p>
        </w:tc>
      </w:tr>
      <w:tr w:rsidR="00E16B50" w:rsidRPr="005A5664" w14:paraId="73B96007" w14:textId="77777777" w:rsidTr="00352EC5">
        <w:trPr>
          <w:trHeight w:val="255"/>
        </w:trPr>
        <w:tc>
          <w:tcPr>
            <w:tcW w:w="3093" w:type="dxa"/>
            <w:shd w:val="clear" w:color="auto" w:fill="auto"/>
            <w:vAlign w:val="center"/>
          </w:tcPr>
          <w:p w14:paraId="06A7A7A3" w14:textId="77777777" w:rsidR="00E16B50" w:rsidRPr="00E61DCE" w:rsidRDefault="00E16B50" w:rsidP="00D9012D">
            <w:pPr>
              <w:rPr>
                <w:sz w:val="23"/>
                <w:szCs w:val="23"/>
                <w:lang w:eastAsia="lt-LT"/>
              </w:rPr>
            </w:pPr>
            <w:r w:rsidRPr="00E61DCE">
              <w:rPr>
                <w:sz w:val="23"/>
                <w:szCs w:val="23"/>
                <w:lang w:eastAsia="lt-LT"/>
              </w:rPr>
              <w:t>UAB „Žaliamatis“</w:t>
            </w:r>
          </w:p>
        </w:tc>
        <w:tc>
          <w:tcPr>
            <w:tcW w:w="2526" w:type="dxa"/>
            <w:shd w:val="clear" w:color="auto" w:fill="auto"/>
            <w:vAlign w:val="center"/>
          </w:tcPr>
          <w:p w14:paraId="68D6BAAE" w14:textId="6469EAEA" w:rsidR="00E16B50" w:rsidRPr="00352EC5" w:rsidRDefault="00E16B50" w:rsidP="00D9012D">
            <w:pPr>
              <w:jc w:val="center"/>
              <w:rPr>
                <w:color w:val="FF0000"/>
                <w:sz w:val="23"/>
                <w:szCs w:val="23"/>
                <w:lang w:eastAsia="lt-LT"/>
              </w:rPr>
            </w:pPr>
            <w:r w:rsidRPr="007C0168">
              <w:rPr>
                <w:sz w:val="23"/>
                <w:szCs w:val="23"/>
                <w:lang w:eastAsia="lt-LT"/>
              </w:rPr>
              <w:t>8</w:t>
            </w:r>
            <w:r w:rsidR="007C0168" w:rsidRPr="007C0168">
              <w:rPr>
                <w:sz w:val="23"/>
                <w:szCs w:val="23"/>
                <w:lang w:eastAsia="lt-LT"/>
              </w:rPr>
              <w:t>2,12</w:t>
            </w:r>
          </w:p>
        </w:tc>
        <w:tc>
          <w:tcPr>
            <w:tcW w:w="2540" w:type="dxa"/>
            <w:shd w:val="clear" w:color="auto" w:fill="auto"/>
            <w:vAlign w:val="center"/>
          </w:tcPr>
          <w:p w14:paraId="10C49455" w14:textId="77777777" w:rsidR="00E16B50" w:rsidRPr="00E61DCE" w:rsidRDefault="00E16B50" w:rsidP="00D9012D">
            <w:pPr>
              <w:jc w:val="center"/>
              <w:rPr>
                <w:sz w:val="23"/>
                <w:szCs w:val="23"/>
                <w:lang w:eastAsia="lt-LT"/>
              </w:rPr>
            </w:pPr>
            <w:r w:rsidRPr="00E61DCE">
              <w:rPr>
                <w:sz w:val="23"/>
                <w:szCs w:val="23"/>
                <w:lang w:eastAsia="lt-LT"/>
              </w:rPr>
              <w:t>įskaičiuota</w:t>
            </w:r>
          </w:p>
        </w:tc>
        <w:tc>
          <w:tcPr>
            <w:tcW w:w="1269" w:type="dxa"/>
            <w:shd w:val="clear" w:color="auto" w:fill="auto"/>
            <w:vAlign w:val="center"/>
          </w:tcPr>
          <w:p w14:paraId="607B42AA" w14:textId="0495E24B" w:rsidR="00E16B50" w:rsidRPr="00713B1A" w:rsidRDefault="00E16B50" w:rsidP="00D9012D">
            <w:pPr>
              <w:jc w:val="center"/>
              <w:rPr>
                <w:sz w:val="23"/>
                <w:szCs w:val="23"/>
                <w:lang w:eastAsia="lt-LT"/>
              </w:rPr>
            </w:pPr>
            <w:r>
              <w:rPr>
                <w:sz w:val="23"/>
                <w:szCs w:val="23"/>
                <w:lang w:eastAsia="lt-LT"/>
              </w:rPr>
              <w:t>8</w:t>
            </w:r>
            <w:r w:rsidR="007C0168">
              <w:rPr>
                <w:sz w:val="23"/>
                <w:szCs w:val="23"/>
                <w:lang w:eastAsia="lt-LT"/>
              </w:rPr>
              <w:t>2,12</w:t>
            </w:r>
          </w:p>
        </w:tc>
      </w:tr>
      <w:tr w:rsidR="00E16B50" w:rsidRPr="005A5664" w14:paraId="3E2772A2" w14:textId="77777777" w:rsidTr="00352EC5">
        <w:trPr>
          <w:trHeight w:val="255"/>
        </w:trPr>
        <w:tc>
          <w:tcPr>
            <w:tcW w:w="3093" w:type="dxa"/>
            <w:shd w:val="clear" w:color="auto" w:fill="auto"/>
            <w:vAlign w:val="center"/>
          </w:tcPr>
          <w:p w14:paraId="29A5D871" w14:textId="77777777" w:rsidR="00E16B50" w:rsidRPr="00E61DCE" w:rsidRDefault="00E16B50" w:rsidP="00D9012D">
            <w:pPr>
              <w:rPr>
                <w:sz w:val="23"/>
                <w:szCs w:val="23"/>
                <w:lang w:eastAsia="lt-LT"/>
              </w:rPr>
            </w:pPr>
            <w:r w:rsidRPr="00E61DCE">
              <w:rPr>
                <w:sz w:val="23"/>
                <w:szCs w:val="23"/>
                <w:lang w:eastAsia="lt-LT"/>
              </w:rPr>
              <w:t>UAB „Paežerio medis“</w:t>
            </w:r>
          </w:p>
        </w:tc>
        <w:tc>
          <w:tcPr>
            <w:tcW w:w="2526" w:type="dxa"/>
            <w:shd w:val="clear" w:color="auto" w:fill="auto"/>
            <w:vAlign w:val="center"/>
          </w:tcPr>
          <w:p w14:paraId="5A6D301B" w14:textId="0941ADBC" w:rsidR="00E16B50" w:rsidRPr="00352EC5" w:rsidRDefault="007C0168" w:rsidP="00D9012D">
            <w:pPr>
              <w:jc w:val="center"/>
              <w:rPr>
                <w:color w:val="FF0000"/>
                <w:sz w:val="23"/>
                <w:szCs w:val="23"/>
                <w:lang w:eastAsia="lt-LT"/>
              </w:rPr>
            </w:pPr>
            <w:r>
              <w:rPr>
                <w:sz w:val="23"/>
                <w:szCs w:val="23"/>
                <w:lang w:eastAsia="lt-LT"/>
              </w:rPr>
              <w:t>72,60</w:t>
            </w:r>
          </w:p>
        </w:tc>
        <w:tc>
          <w:tcPr>
            <w:tcW w:w="2540" w:type="dxa"/>
            <w:shd w:val="clear" w:color="auto" w:fill="auto"/>
            <w:vAlign w:val="center"/>
          </w:tcPr>
          <w:p w14:paraId="29DB5978" w14:textId="77777777" w:rsidR="00E16B50" w:rsidRPr="00E61DCE" w:rsidRDefault="00E16B50" w:rsidP="00D9012D">
            <w:pPr>
              <w:jc w:val="center"/>
              <w:rPr>
                <w:sz w:val="23"/>
                <w:szCs w:val="23"/>
                <w:lang w:eastAsia="lt-LT"/>
              </w:rPr>
            </w:pPr>
            <w:r w:rsidRPr="00E61DCE">
              <w:rPr>
                <w:sz w:val="23"/>
                <w:szCs w:val="23"/>
                <w:lang w:eastAsia="lt-LT"/>
              </w:rPr>
              <w:t>įskaičiuota</w:t>
            </w:r>
          </w:p>
        </w:tc>
        <w:tc>
          <w:tcPr>
            <w:tcW w:w="1269" w:type="dxa"/>
            <w:shd w:val="clear" w:color="auto" w:fill="auto"/>
            <w:vAlign w:val="center"/>
          </w:tcPr>
          <w:p w14:paraId="5F042C61" w14:textId="77777777" w:rsidR="00E16B50" w:rsidRPr="00713B1A" w:rsidRDefault="00E16B50" w:rsidP="00D9012D">
            <w:pPr>
              <w:jc w:val="center"/>
              <w:rPr>
                <w:sz w:val="23"/>
                <w:szCs w:val="23"/>
                <w:lang w:eastAsia="lt-LT"/>
              </w:rPr>
            </w:pPr>
            <w:r>
              <w:rPr>
                <w:sz w:val="23"/>
                <w:szCs w:val="23"/>
                <w:lang w:eastAsia="lt-LT"/>
              </w:rPr>
              <w:t>92,24</w:t>
            </w:r>
          </w:p>
        </w:tc>
      </w:tr>
      <w:tr w:rsidR="00E16B50" w:rsidRPr="005A5664" w14:paraId="23047199" w14:textId="77777777" w:rsidTr="00352EC5">
        <w:trPr>
          <w:trHeight w:val="255"/>
        </w:trPr>
        <w:tc>
          <w:tcPr>
            <w:tcW w:w="3093" w:type="dxa"/>
            <w:shd w:val="clear" w:color="auto" w:fill="auto"/>
            <w:vAlign w:val="center"/>
          </w:tcPr>
          <w:p w14:paraId="7AC0C345" w14:textId="77777777" w:rsidR="00E16B50" w:rsidRPr="00713B1A" w:rsidRDefault="00E16B50" w:rsidP="00D9012D">
            <w:pPr>
              <w:rPr>
                <w:b/>
                <w:sz w:val="23"/>
                <w:szCs w:val="23"/>
                <w:lang w:eastAsia="lt-LT"/>
              </w:rPr>
            </w:pPr>
            <w:r w:rsidRPr="00713B1A">
              <w:rPr>
                <w:b/>
                <w:sz w:val="23"/>
                <w:szCs w:val="23"/>
                <w:lang w:eastAsia="lt-LT"/>
              </w:rPr>
              <w:t>Iš viso</w:t>
            </w:r>
          </w:p>
        </w:tc>
        <w:tc>
          <w:tcPr>
            <w:tcW w:w="2526" w:type="dxa"/>
            <w:shd w:val="clear" w:color="auto" w:fill="auto"/>
            <w:vAlign w:val="center"/>
          </w:tcPr>
          <w:p w14:paraId="50102D12" w14:textId="77777777" w:rsidR="00E16B50" w:rsidRPr="00713B1A" w:rsidRDefault="00E16B50" w:rsidP="00D9012D">
            <w:pPr>
              <w:jc w:val="center"/>
              <w:rPr>
                <w:b/>
                <w:sz w:val="23"/>
                <w:szCs w:val="23"/>
                <w:lang w:eastAsia="lt-LT"/>
              </w:rPr>
            </w:pPr>
          </w:p>
        </w:tc>
        <w:tc>
          <w:tcPr>
            <w:tcW w:w="2540" w:type="dxa"/>
            <w:shd w:val="clear" w:color="auto" w:fill="auto"/>
            <w:vAlign w:val="center"/>
          </w:tcPr>
          <w:p w14:paraId="179DE0E3" w14:textId="77777777" w:rsidR="00E16B50" w:rsidRPr="00713B1A" w:rsidRDefault="00E16B50" w:rsidP="00D9012D">
            <w:pPr>
              <w:jc w:val="center"/>
              <w:rPr>
                <w:b/>
                <w:sz w:val="23"/>
                <w:szCs w:val="23"/>
                <w:lang w:eastAsia="lt-LT"/>
              </w:rPr>
            </w:pPr>
          </w:p>
        </w:tc>
        <w:tc>
          <w:tcPr>
            <w:tcW w:w="1269" w:type="dxa"/>
            <w:shd w:val="clear" w:color="auto" w:fill="auto"/>
            <w:vAlign w:val="center"/>
          </w:tcPr>
          <w:p w14:paraId="1EC913AC" w14:textId="1DE381CF" w:rsidR="00E16B50" w:rsidRPr="00713B1A" w:rsidRDefault="00BE4F1B" w:rsidP="00D9012D">
            <w:pPr>
              <w:jc w:val="center"/>
              <w:rPr>
                <w:b/>
                <w:sz w:val="23"/>
                <w:szCs w:val="23"/>
                <w:lang w:eastAsia="lt-LT"/>
              </w:rPr>
            </w:pPr>
            <w:r>
              <w:rPr>
                <w:b/>
                <w:sz w:val="23"/>
                <w:szCs w:val="23"/>
                <w:lang w:eastAsia="lt-LT"/>
              </w:rPr>
              <w:fldChar w:fldCharType="begin"/>
            </w:r>
            <w:r>
              <w:rPr>
                <w:b/>
                <w:sz w:val="23"/>
                <w:szCs w:val="23"/>
                <w:lang w:eastAsia="lt-LT"/>
              </w:rPr>
              <w:instrText xml:space="preserve"> =SUM(ABOVE) </w:instrText>
            </w:r>
            <w:r>
              <w:rPr>
                <w:b/>
                <w:sz w:val="23"/>
                <w:szCs w:val="23"/>
                <w:lang w:eastAsia="lt-LT"/>
              </w:rPr>
              <w:fldChar w:fldCharType="separate"/>
            </w:r>
            <w:r>
              <w:rPr>
                <w:b/>
                <w:noProof/>
                <w:sz w:val="23"/>
                <w:szCs w:val="23"/>
                <w:lang w:eastAsia="lt-LT"/>
              </w:rPr>
              <w:t>487,71</w:t>
            </w:r>
            <w:r>
              <w:rPr>
                <w:b/>
                <w:sz w:val="23"/>
                <w:szCs w:val="23"/>
                <w:lang w:eastAsia="lt-LT"/>
              </w:rPr>
              <w:fldChar w:fldCharType="end"/>
            </w:r>
          </w:p>
        </w:tc>
      </w:tr>
    </w:tbl>
    <w:p w14:paraId="7C86B253" w14:textId="61214CF5" w:rsidR="00E16B50" w:rsidRPr="009C6905" w:rsidRDefault="00E16B50" w:rsidP="00E16B50">
      <w:pPr>
        <w:spacing w:after="120"/>
        <w:jc w:val="center"/>
        <w:rPr>
          <w:sz w:val="24"/>
          <w:szCs w:val="24"/>
          <w:lang w:eastAsia="lt-LT"/>
        </w:rPr>
      </w:pPr>
      <w:r w:rsidRPr="0039631D">
        <w:rPr>
          <w:sz w:val="24"/>
          <w:szCs w:val="24"/>
          <w:lang w:eastAsia="lt-LT"/>
        </w:rPr>
        <w:lastRenderedPageBreak/>
        <w:t>Vidutinė</w:t>
      </w:r>
      <w:r>
        <w:rPr>
          <w:sz w:val="24"/>
          <w:szCs w:val="24"/>
          <w:lang w:eastAsia="lt-LT"/>
        </w:rPr>
        <w:t xml:space="preserve"> </w:t>
      </w:r>
      <w:r w:rsidRPr="0039631D">
        <w:rPr>
          <w:sz w:val="24"/>
          <w:szCs w:val="24"/>
          <w:lang w:eastAsia="lt-LT"/>
        </w:rPr>
        <w:t>malkų kaina</w:t>
      </w:r>
      <w:r>
        <w:rPr>
          <w:sz w:val="24"/>
          <w:szCs w:val="24"/>
          <w:lang w:eastAsia="lt-LT"/>
        </w:rPr>
        <w:t xml:space="preserve"> </w:t>
      </w:r>
      <w:r w:rsidR="00BE4F1B">
        <w:rPr>
          <w:sz w:val="24"/>
          <w:szCs w:val="24"/>
          <w:lang w:eastAsia="lt-LT"/>
        </w:rPr>
        <w:t>487,71</w:t>
      </w:r>
      <w:r>
        <w:rPr>
          <w:sz w:val="24"/>
          <w:szCs w:val="24"/>
          <w:lang w:eastAsia="lt-LT"/>
        </w:rPr>
        <w:t xml:space="preserve"> / </w:t>
      </w:r>
      <w:r w:rsidR="00BE4F1B">
        <w:rPr>
          <w:sz w:val="24"/>
          <w:szCs w:val="24"/>
          <w:lang w:eastAsia="lt-LT"/>
        </w:rPr>
        <w:t>6</w:t>
      </w:r>
      <w:r w:rsidRPr="0039631D">
        <w:rPr>
          <w:sz w:val="24"/>
          <w:szCs w:val="24"/>
          <w:lang w:eastAsia="lt-LT"/>
        </w:rPr>
        <w:t xml:space="preserve"> </w:t>
      </w:r>
      <w:r w:rsidRPr="0039631D">
        <w:rPr>
          <w:sz w:val="24"/>
          <w:szCs w:val="24"/>
          <w:lang w:val="en-GB" w:eastAsia="lt-LT"/>
        </w:rPr>
        <w:t xml:space="preserve">= </w:t>
      </w:r>
      <w:r w:rsidR="00BE4F1B">
        <w:rPr>
          <w:b/>
          <w:sz w:val="24"/>
          <w:szCs w:val="24"/>
          <w:lang w:val="en-GB" w:eastAsia="lt-LT"/>
        </w:rPr>
        <w:t>81,28</w:t>
      </w:r>
      <w:r w:rsidRPr="0039631D">
        <w:rPr>
          <w:b/>
          <w:sz w:val="24"/>
          <w:szCs w:val="24"/>
          <w:lang w:val="en-GB" w:eastAsia="lt-LT"/>
        </w:rPr>
        <w:t xml:space="preserve"> Eur</w:t>
      </w:r>
      <w:r w:rsidRPr="0039631D">
        <w:rPr>
          <w:sz w:val="24"/>
          <w:szCs w:val="24"/>
          <w:lang w:val="en-US" w:eastAsia="lt-LT"/>
        </w:rPr>
        <w:t xml:space="preserve"> u</w:t>
      </w:r>
      <w:r w:rsidRPr="0039631D">
        <w:rPr>
          <w:sz w:val="24"/>
          <w:szCs w:val="24"/>
          <w:lang w:eastAsia="lt-LT"/>
        </w:rPr>
        <w:t>ž</w:t>
      </w:r>
      <w:r w:rsidRPr="005A5664">
        <w:rPr>
          <w:sz w:val="24"/>
          <w:szCs w:val="24"/>
          <w:lang w:eastAsia="lt-LT"/>
        </w:rPr>
        <w:t xml:space="preserve"> kietmetrį</w:t>
      </w:r>
      <w:r>
        <w:rPr>
          <w:sz w:val="24"/>
          <w:szCs w:val="24"/>
          <w:lang w:eastAsia="lt-LT"/>
        </w:rPr>
        <w:t xml:space="preserve"> su </w:t>
      </w:r>
      <w:r w:rsidRPr="009C6905">
        <w:rPr>
          <w:sz w:val="24"/>
          <w:szCs w:val="24"/>
          <w:lang w:eastAsia="lt-LT"/>
        </w:rPr>
        <w:t>PVM (</w:t>
      </w:r>
      <w:r w:rsidRPr="009C6905">
        <w:rPr>
          <w:color w:val="000000"/>
          <w:sz w:val="24"/>
          <w:szCs w:val="24"/>
        </w:rPr>
        <w:t>Eur už kub. metrą su PVM)</w:t>
      </w:r>
      <w:r w:rsidRPr="009C6905">
        <w:rPr>
          <w:sz w:val="24"/>
          <w:szCs w:val="24"/>
          <w:lang w:eastAsia="lt-LT"/>
        </w:rPr>
        <w:t>.</w:t>
      </w:r>
    </w:p>
    <w:p w14:paraId="4F4C7211" w14:textId="2D566357"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62DBB92" w14:textId="73117B61" w:rsidR="003836EF" w:rsidRPr="00980D5B" w:rsidRDefault="00E16B50" w:rsidP="00980D5B">
      <w:pPr>
        <w:ind w:firstLine="709"/>
        <w:jc w:val="both"/>
        <w:rPr>
          <w:sz w:val="24"/>
          <w:szCs w:val="24"/>
        </w:rPr>
      </w:pPr>
      <w:r>
        <w:rPr>
          <w:sz w:val="24"/>
          <w:szCs w:val="24"/>
        </w:rPr>
        <w:t>Nėra.</w:t>
      </w:r>
    </w:p>
    <w:p w14:paraId="42C0E15C" w14:textId="7A1DDBF7" w:rsidR="00897DDA" w:rsidRDefault="00897DDA" w:rsidP="00DD5E64">
      <w:pPr>
        <w:rPr>
          <w:sz w:val="24"/>
          <w:szCs w:val="24"/>
        </w:rPr>
      </w:pPr>
    </w:p>
    <w:p w14:paraId="668C9029" w14:textId="77777777" w:rsidR="00AF4D05" w:rsidRPr="00980D5B" w:rsidRDefault="00AF4D05"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730F57BE" w14:textId="77777777" w:rsidR="00E16B50" w:rsidRPr="00426DBA" w:rsidRDefault="00E16B50" w:rsidP="00E16B50">
      <w:pPr>
        <w:jc w:val="both"/>
        <w:rPr>
          <w:sz w:val="24"/>
          <w:szCs w:val="24"/>
        </w:rPr>
      </w:pPr>
      <w:r w:rsidRPr="00426DBA">
        <w:rPr>
          <w:sz w:val="24"/>
          <w:szCs w:val="24"/>
        </w:rPr>
        <w:t>1. Lietuvos Respublikos vieto</w:t>
      </w:r>
      <w:r>
        <w:rPr>
          <w:sz w:val="24"/>
          <w:szCs w:val="24"/>
        </w:rPr>
        <w:t>s savivaldos įstatymo išrašas, 1</w:t>
      </w:r>
      <w:r w:rsidRPr="00426DBA">
        <w:rPr>
          <w:sz w:val="24"/>
          <w:szCs w:val="24"/>
        </w:rPr>
        <w:t xml:space="preserve"> lapa</w:t>
      </w:r>
      <w:r>
        <w:rPr>
          <w:sz w:val="24"/>
          <w:szCs w:val="24"/>
        </w:rPr>
        <w:t>s</w:t>
      </w:r>
      <w:r w:rsidRPr="00426DBA">
        <w:rPr>
          <w:sz w:val="24"/>
          <w:szCs w:val="24"/>
        </w:rPr>
        <w:t>;</w:t>
      </w:r>
    </w:p>
    <w:p w14:paraId="2EA6102E" w14:textId="77777777" w:rsidR="00E16B50" w:rsidRPr="008C3874" w:rsidRDefault="00E16B50" w:rsidP="00E16B50">
      <w:pPr>
        <w:jc w:val="both"/>
        <w:rPr>
          <w:sz w:val="24"/>
          <w:szCs w:val="24"/>
        </w:rPr>
      </w:pPr>
      <w:r w:rsidRPr="00426DBA">
        <w:rPr>
          <w:sz w:val="24"/>
          <w:szCs w:val="24"/>
        </w:rPr>
        <w:t xml:space="preserve">2. Lietuvos Respublikos </w:t>
      </w:r>
      <w:r>
        <w:rPr>
          <w:sz w:val="24"/>
          <w:szCs w:val="24"/>
        </w:rPr>
        <w:t>piniginės socialinės paramos nepasiturintiems gyventojams įstatymo išrašas, 1 lapas.</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10"/>
        <w:gridCol w:w="2762"/>
        <w:gridCol w:w="2800"/>
      </w:tblGrid>
      <w:tr w:rsidR="00980D5B" w:rsidRPr="00C267F5" w14:paraId="4D78E1BD" w14:textId="77777777" w:rsidTr="00C03136">
        <w:tc>
          <w:tcPr>
            <w:tcW w:w="4410" w:type="dxa"/>
            <w:tcBorders>
              <w:bottom w:val="single" w:sz="4" w:space="0" w:color="auto"/>
            </w:tcBorders>
            <w:shd w:val="clear" w:color="auto" w:fill="auto"/>
          </w:tcPr>
          <w:p w14:paraId="1081CE0D" w14:textId="0B948F9E" w:rsidR="00980D5B" w:rsidRPr="00C267F5" w:rsidRDefault="00E16B50" w:rsidP="00C267F5">
            <w:pPr>
              <w:ind w:right="-82"/>
              <w:rPr>
                <w:sz w:val="24"/>
                <w:szCs w:val="24"/>
              </w:rPr>
            </w:pPr>
            <w:r>
              <w:rPr>
                <w:sz w:val="24"/>
                <w:szCs w:val="24"/>
              </w:rPr>
              <w:t>Socialinės paramos skyriaus vedėja</w:t>
            </w:r>
          </w:p>
        </w:tc>
        <w:tc>
          <w:tcPr>
            <w:tcW w:w="2762" w:type="dxa"/>
            <w:shd w:val="clear" w:color="auto" w:fill="auto"/>
          </w:tcPr>
          <w:p w14:paraId="5ECA90E1" w14:textId="77777777" w:rsidR="00980D5B" w:rsidRPr="00C267F5" w:rsidRDefault="00980D5B" w:rsidP="00C267F5">
            <w:pPr>
              <w:ind w:right="-82"/>
              <w:rPr>
                <w:sz w:val="24"/>
                <w:szCs w:val="24"/>
              </w:rPr>
            </w:pPr>
          </w:p>
        </w:tc>
        <w:tc>
          <w:tcPr>
            <w:tcW w:w="2800" w:type="dxa"/>
            <w:tcBorders>
              <w:bottom w:val="single" w:sz="4" w:space="0" w:color="auto"/>
            </w:tcBorders>
            <w:shd w:val="clear" w:color="auto" w:fill="auto"/>
          </w:tcPr>
          <w:p w14:paraId="1C24DE82" w14:textId="51A6D587" w:rsidR="00980D5B" w:rsidRPr="00C267F5" w:rsidRDefault="00E16B50" w:rsidP="00C267F5">
            <w:pPr>
              <w:ind w:right="-82"/>
              <w:rPr>
                <w:sz w:val="24"/>
                <w:szCs w:val="24"/>
              </w:rPr>
            </w:pPr>
            <w:r>
              <w:rPr>
                <w:sz w:val="24"/>
                <w:szCs w:val="24"/>
              </w:rPr>
              <w:t>Audronė Liesytė</w:t>
            </w:r>
          </w:p>
        </w:tc>
      </w:tr>
      <w:tr w:rsidR="00980D5B" w:rsidRPr="00C267F5" w14:paraId="4F60C3DB" w14:textId="77777777" w:rsidTr="00C03136">
        <w:tc>
          <w:tcPr>
            <w:tcW w:w="4410"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762" w:type="dxa"/>
            <w:shd w:val="clear" w:color="auto" w:fill="auto"/>
          </w:tcPr>
          <w:p w14:paraId="08E46B2E" w14:textId="77777777" w:rsidR="00980D5B" w:rsidRPr="00C267F5" w:rsidRDefault="00980D5B" w:rsidP="00C267F5">
            <w:pPr>
              <w:ind w:right="-82"/>
              <w:jc w:val="right"/>
              <w:rPr>
                <w:i/>
                <w:iCs/>
              </w:rPr>
            </w:pPr>
          </w:p>
        </w:tc>
        <w:tc>
          <w:tcPr>
            <w:tcW w:w="2800"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0790E29A" w14:textId="77777777" w:rsidR="00C03136" w:rsidRDefault="00C03136" w:rsidP="00C03136">
      <w:pPr>
        <w:jc w:val="both"/>
        <w:rPr>
          <w:b/>
          <w:bCs/>
          <w:i/>
          <w:iCs/>
          <w:color w:val="000000"/>
          <w:sz w:val="23"/>
          <w:szCs w:val="23"/>
          <w:lang w:eastAsia="lt-LT"/>
        </w:rPr>
      </w:pPr>
    </w:p>
    <w:p w14:paraId="4EBA2174" w14:textId="77777777" w:rsidR="00C03136" w:rsidRDefault="00C03136" w:rsidP="00C03136">
      <w:pPr>
        <w:jc w:val="both"/>
        <w:rPr>
          <w:b/>
          <w:bCs/>
          <w:i/>
          <w:iCs/>
          <w:color w:val="000000"/>
          <w:sz w:val="23"/>
          <w:szCs w:val="23"/>
          <w:lang w:eastAsia="lt-LT"/>
        </w:rPr>
      </w:pPr>
    </w:p>
    <w:p w14:paraId="4D7BEF51" w14:textId="77777777" w:rsidR="00C03136" w:rsidRDefault="00C03136" w:rsidP="00C03136">
      <w:pPr>
        <w:jc w:val="both"/>
        <w:rPr>
          <w:b/>
          <w:bCs/>
          <w:i/>
          <w:iCs/>
          <w:color w:val="000000"/>
          <w:sz w:val="23"/>
          <w:szCs w:val="23"/>
          <w:lang w:eastAsia="lt-LT"/>
        </w:rPr>
      </w:pPr>
    </w:p>
    <w:p w14:paraId="51FE7568" w14:textId="77777777" w:rsidR="00C03136" w:rsidRDefault="00C03136" w:rsidP="00C03136">
      <w:pPr>
        <w:jc w:val="both"/>
        <w:rPr>
          <w:b/>
          <w:bCs/>
          <w:i/>
          <w:iCs/>
          <w:color w:val="000000"/>
          <w:sz w:val="23"/>
          <w:szCs w:val="23"/>
          <w:lang w:eastAsia="lt-LT"/>
        </w:rPr>
      </w:pPr>
    </w:p>
    <w:p w14:paraId="34B09A59" w14:textId="77777777" w:rsidR="00C03136" w:rsidRDefault="00C03136" w:rsidP="00C03136">
      <w:pPr>
        <w:jc w:val="both"/>
        <w:rPr>
          <w:b/>
          <w:bCs/>
          <w:i/>
          <w:iCs/>
          <w:color w:val="000000"/>
          <w:sz w:val="23"/>
          <w:szCs w:val="23"/>
          <w:lang w:eastAsia="lt-LT"/>
        </w:rPr>
      </w:pPr>
    </w:p>
    <w:p w14:paraId="7D793EFF" w14:textId="77777777" w:rsidR="00C03136" w:rsidRDefault="00C03136" w:rsidP="00C03136">
      <w:pPr>
        <w:jc w:val="both"/>
        <w:rPr>
          <w:b/>
          <w:bCs/>
          <w:i/>
          <w:iCs/>
          <w:color w:val="000000"/>
          <w:sz w:val="23"/>
          <w:szCs w:val="23"/>
          <w:lang w:eastAsia="lt-LT"/>
        </w:rPr>
      </w:pPr>
    </w:p>
    <w:p w14:paraId="607B4D93" w14:textId="77777777" w:rsidR="00C03136" w:rsidRDefault="00C03136" w:rsidP="00C03136">
      <w:pPr>
        <w:jc w:val="both"/>
        <w:rPr>
          <w:b/>
          <w:bCs/>
          <w:i/>
          <w:iCs/>
          <w:color w:val="000000"/>
          <w:sz w:val="23"/>
          <w:szCs w:val="23"/>
          <w:lang w:eastAsia="lt-LT"/>
        </w:rPr>
      </w:pPr>
    </w:p>
    <w:p w14:paraId="61825AAA" w14:textId="77777777" w:rsidR="00C03136" w:rsidRDefault="00C03136" w:rsidP="00C03136">
      <w:pPr>
        <w:jc w:val="both"/>
        <w:rPr>
          <w:b/>
          <w:bCs/>
          <w:i/>
          <w:iCs/>
          <w:color w:val="000000"/>
          <w:sz w:val="23"/>
          <w:szCs w:val="23"/>
          <w:lang w:eastAsia="lt-LT"/>
        </w:rPr>
      </w:pPr>
    </w:p>
    <w:p w14:paraId="1E991D4D" w14:textId="77777777" w:rsidR="00C03136" w:rsidRDefault="00C03136" w:rsidP="00C03136">
      <w:pPr>
        <w:jc w:val="both"/>
        <w:rPr>
          <w:b/>
          <w:bCs/>
          <w:i/>
          <w:iCs/>
          <w:color w:val="000000"/>
          <w:sz w:val="23"/>
          <w:szCs w:val="23"/>
          <w:lang w:eastAsia="lt-LT"/>
        </w:rPr>
      </w:pPr>
    </w:p>
    <w:p w14:paraId="436C4F7B" w14:textId="77777777" w:rsidR="00C03136" w:rsidRDefault="00C03136" w:rsidP="00C03136">
      <w:pPr>
        <w:jc w:val="both"/>
        <w:rPr>
          <w:b/>
          <w:bCs/>
          <w:i/>
          <w:iCs/>
          <w:color w:val="000000"/>
          <w:sz w:val="23"/>
          <w:szCs w:val="23"/>
          <w:lang w:eastAsia="lt-LT"/>
        </w:rPr>
      </w:pPr>
    </w:p>
    <w:p w14:paraId="6E7D3887" w14:textId="77777777" w:rsidR="00C03136" w:rsidRDefault="00C03136" w:rsidP="00C03136">
      <w:pPr>
        <w:jc w:val="both"/>
        <w:rPr>
          <w:b/>
          <w:bCs/>
          <w:i/>
          <w:iCs/>
          <w:color w:val="000000"/>
          <w:sz w:val="23"/>
          <w:szCs w:val="23"/>
          <w:lang w:eastAsia="lt-LT"/>
        </w:rPr>
      </w:pPr>
    </w:p>
    <w:p w14:paraId="5B049E23" w14:textId="77777777" w:rsidR="00C03136" w:rsidRDefault="00C03136" w:rsidP="00C03136">
      <w:pPr>
        <w:jc w:val="both"/>
        <w:rPr>
          <w:b/>
          <w:bCs/>
          <w:i/>
          <w:iCs/>
          <w:color w:val="000000"/>
          <w:sz w:val="23"/>
          <w:szCs w:val="23"/>
          <w:lang w:eastAsia="lt-LT"/>
        </w:rPr>
      </w:pPr>
    </w:p>
    <w:p w14:paraId="660B8B65" w14:textId="77777777" w:rsidR="00C03136" w:rsidRDefault="00C03136" w:rsidP="00C03136">
      <w:pPr>
        <w:jc w:val="both"/>
        <w:rPr>
          <w:b/>
          <w:bCs/>
          <w:i/>
          <w:iCs/>
          <w:color w:val="000000"/>
          <w:sz w:val="23"/>
          <w:szCs w:val="23"/>
          <w:lang w:eastAsia="lt-LT"/>
        </w:rPr>
      </w:pPr>
    </w:p>
    <w:p w14:paraId="7AA145AE" w14:textId="77777777" w:rsidR="00C03136" w:rsidRDefault="00C03136" w:rsidP="00C03136">
      <w:pPr>
        <w:jc w:val="both"/>
        <w:rPr>
          <w:b/>
          <w:bCs/>
          <w:i/>
          <w:iCs/>
          <w:color w:val="000000"/>
          <w:sz w:val="23"/>
          <w:szCs w:val="23"/>
          <w:lang w:eastAsia="lt-LT"/>
        </w:rPr>
      </w:pPr>
    </w:p>
    <w:p w14:paraId="17AB33F3" w14:textId="77777777" w:rsidR="00C03136" w:rsidRDefault="00C03136" w:rsidP="00C03136">
      <w:pPr>
        <w:jc w:val="both"/>
        <w:rPr>
          <w:b/>
          <w:bCs/>
          <w:i/>
          <w:iCs/>
          <w:color w:val="000000"/>
          <w:sz w:val="23"/>
          <w:szCs w:val="23"/>
          <w:lang w:eastAsia="lt-LT"/>
        </w:rPr>
      </w:pPr>
    </w:p>
    <w:p w14:paraId="51C53F38" w14:textId="77777777" w:rsidR="00C03136" w:rsidRDefault="00C03136" w:rsidP="00C03136">
      <w:pPr>
        <w:jc w:val="both"/>
        <w:rPr>
          <w:b/>
          <w:bCs/>
          <w:i/>
          <w:iCs/>
          <w:color w:val="000000"/>
          <w:sz w:val="23"/>
          <w:szCs w:val="23"/>
          <w:lang w:eastAsia="lt-LT"/>
        </w:rPr>
      </w:pPr>
    </w:p>
    <w:p w14:paraId="6D4CBAA6" w14:textId="77777777" w:rsidR="00C03136" w:rsidRDefault="00C03136" w:rsidP="00C03136">
      <w:pPr>
        <w:jc w:val="both"/>
        <w:rPr>
          <w:b/>
          <w:bCs/>
          <w:i/>
          <w:iCs/>
          <w:color w:val="000000"/>
          <w:sz w:val="23"/>
          <w:szCs w:val="23"/>
          <w:lang w:eastAsia="lt-LT"/>
        </w:rPr>
      </w:pPr>
    </w:p>
    <w:p w14:paraId="5234683F" w14:textId="77777777" w:rsidR="00C03136" w:rsidRDefault="00C03136" w:rsidP="00C03136">
      <w:pPr>
        <w:jc w:val="both"/>
        <w:rPr>
          <w:b/>
          <w:bCs/>
          <w:i/>
          <w:iCs/>
          <w:color w:val="000000"/>
          <w:sz w:val="23"/>
          <w:szCs w:val="23"/>
          <w:lang w:eastAsia="lt-LT"/>
        </w:rPr>
      </w:pPr>
    </w:p>
    <w:p w14:paraId="18D730F5" w14:textId="77777777" w:rsidR="00C03136" w:rsidRDefault="00C03136" w:rsidP="00C03136">
      <w:pPr>
        <w:jc w:val="both"/>
        <w:rPr>
          <w:b/>
          <w:bCs/>
          <w:i/>
          <w:iCs/>
          <w:color w:val="000000"/>
          <w:sz w:val="23"/>
          <w:szCs w:val="23"/>
          <w:lang w:eastAsia="lt-LT"/>
        </w:rPr>
      </w:pPr>
    </w:p>
    <w:p w14:paraId="00675B8B" w14:textId="77777777" w:rsidR="00C03136" w:rsidRDefault="00C03136" w:rsidP="00C03136">
      <w:pPr>
        <w:jc w:val="both"/>
        <w:rPr>
          <w:b/>
          <w:bCs/>
          <w:i/>
          <w:iCs/>
          <w:color w:val="000000"/>
          <w:sz w:val="23"/>
          <w:szCs w:val="23"/>
          <w:lang w:eastAsia="lt-LT"/>
        </w:rPr>
      </w:pPr>
    </w:p>
    <w:p w14:paraId="7289599B" w14:textId="77777777" w:rsidR="00C03136" w:rsidRDefault="00C03136" w:rsidP="00C03136">
      <w:pPr>
        <w:jc w:val="both"/>
        <w:rPr>
          <w:b/>
          <w:bCs/>
          <w:i/>
          <w:iCs/>
          <w:color w:val="000000"/>
          <w:sz w:val="23"/>
          <w:szCs w:val="23"/>
          <w:lang w:eastAsia="lt-LT"/>
        </w:rPr>
      </w:pPr>
    </w:p>
    <w:p w14:paraId="10B62DD1" w14:textId="26850653" w:rsidR="00C03136" w:rsidRDefault="00C03136" w:rsidP="00C03136">
      <w:pPr>
        <w:jc w:val="both"/>
        <w:rPr>
          <w:b/>
          <w:bCs/>
          <w:i/>
          <w:iCs/>
          <w:color w:val="000000"/>
          <w:sz w:val="23"/>
          <w:szCs w:val="23"/>
          <w:lang w:eastAsia="lt-LT"/>
        </w:rPr>
      </w:pPr>
    </w:p>
    <w:p w14:paraId="58507631" w14:textId="21D3200D" w:rsidR="00376BFD" w:rsidRDefault="00376BFD" w:rsidP="00C03136">
      <w:pPr>
        <w:jc w:val="both"/>
        <w:rPr>
          <w:b/>
          <w:bCs/>
          <w:i/>
          <w:iCs/>
          <w:color w:val="000000"/>
          <w:sz w:val="23"/>
          <w:szCs w:val="23"/>
          <w:lang w:eastAsia="lt-LT"/>
        </w:rPr>
      </w:pPr>
    </w:p>
    <w:p w14:paraId="3B815BEE" w14:textId="6CB07EB1" w:rsidR="00376BFD" w:rsidRDefault="00376BFD" w:rsidP="00C03136">
      <w:pPr>
        <w:jc w:val="both"/>
        <w:rPr>
          <w:b/>
          <w:bCs/>
          <w:i/>
          <w:iCs/>
          <w:color w:val="000000"/>
          <w:sz w:val="23"/>
          <w:szCs w:val="23"/>
          <w:lang w:eastAsia="lt-LT"/>
        </w:rPr>
      </w:pPr>
    </w:p>
    <w:p w14:paraId="49F94635" w14:textId="7B074D78" w:rsidR="00376BFD" w:rsidRDefault="00376BFD" w:rsidP="00C03136">
      <w:pPr>
        <w:jc w:val="both"/>
        <w:rPr>
          <w:b/>
          <w:bCs/>
          <w:i/>
          <w:iCs/>
          <w:color w:val="000000"/>
          <w:sz w:val="23"/>
          <w:szCs w:val="23"/>
          <w:lang w:eastAsia="lt-LT"/>
        </w:rPr>
      </w:pPr>
    </w:p>
    <w:p w14:paraId="6233FC36" w14:textId="7F5F9B20" w:rsidR="00376BFD" w:rsidRDefault="00376BFD" w:rsidP="00C03136">
      <w:pPr>
        <w:jc w:val="both"/>
        <w:rPr>
          <w:b/>
          <w:bCs/>
          <w:i/>
          <w:iCs/>
          <w:color w:val="000000"/>
          <w:sz w:val="23"/>
          <w:szCs w:val="23"/>
          <w:lang w:eastAsia="lt-LT"/>
        </w:rPr>
      </w:pPr>
    </w:p>
    <w:p w14:paraId="11CF0FF7" w14:textId="4FA43B97" w:rsidR="00376BFD" w:rsidRDefault="00376BFD" w:rsidP="00C03136">
      <w:pPr>
        <w:jc w:val="both"/>
        <w:rPr>
          <w:b/>
          <w:bCs/>
          <w:i/>
          <w:iCs/>
          <w:color w:val="000000"/>
          <w:sz w:val="23"/>
          <w:szCs w:val="23"/>
          <w:lang w:eastAsia="lt-LT"/>
        </w:rPr>
      </w:pPr>
    </w:p>
    <w:p w14:paraId="6A8EE6EB" w14:textId="073DC820" w:rsidR="00376BFD" w:rsidRDefault="00376BFD" w:rsidP="00C03136">
      <w:pPr>
        <w:jc w:val="both"/>
        <w:rPr>
          <w:b/>
          <w:bCs/>
          <w:i/>
          <w:iCs/>
          <w:color w:val="000000"/>
          <w:sz w:val="23"/>
          <w:szCs w:val="23"/>
          <w:lang w:eastAsia="lt-LT"/>
        </w:rPr>
      </w:pPr>
    </w:p>
    <w:p w14:paraId="683325AD" w14:textId="5FA18E6F" w:rsidR="00376BFD" w:rsidRDefault="00376BFD" w:rsidP="00C03136">
      <w:pPr>
        <w:jc w:val="both"/>
        <w:rPr>
          <w:b/>
          <w:bCs/>
          <w:i/>
          <w:iCs/>
          <w:color w:val="000000"/>
          <w:sz w:val="23"/>
          <w:szCs w:val="23"/>
          <w:lang w:eastAsia="lt-LT"/>
        </w:rPr>
      </w:pPr>
    </w:p>
    <w:p w14:paraId="6908965D" w14:textId="097D5B42" w:rsidR="00376BFD" w:rsidRDefault="00376BFD" w:rsidP="00C03136">
      <w:pPr>
        <w:jc w:val="both"/>
        <w:rPr>
          <w:b/>
          <w:bCs/>
          <w:i/>
          <w:iCs/>
          <w:color w:val="000000"/>
          <w:sz w:val="23"/>
          <w:szCs w:val="23"/>
          <w:lang w:eastAsia="lt-LT"/>
        </w:rPr>
      </w:pPr>
    </w:p>
    <w:p w14:paraId="2922B4EA" w14:textId="77777777" w:rsidR="00376BFD" w:rsidRDefault="00376BFD" w:rsidP="00C03136">
      <w:pPr>
        <w:jc w:val="both"/>
        <w:rPr>
          <w:b/>
          <w:bCs/>
          <w:i/>
          <w:iCs/>
          <w:color w:val="000000"/>
          <w:sz w:val="23"/>
          <w:szCs w:val="23"/>
          <w:lang w:eastAsia="lt-LT"/>
        </w:rPr>
      </w:pPr>
    </w:p>
    <w:p w14:paraId="36173033" w14:textId="77777777" w:rsidR="00C03136" w:rsidRDefault="00C03136" w:rsidP="00C03136">
      <w:pPr>
        <w:jc w:val="both"/>
        <w:rPr>
          <w:b/>
          <w:bCs/>
          <w:i/>
          <w:iCs/>
          <w:color w:val="000000"/>
          <w:sz w:val="23"/>
          <w:szCs w:val="23"/>
          <w:lang w:eastAsia="lt-LT"/>
        </w:rPr>
      </w:pPr>
    </w:p>
    <w:p w14:paraId="62BFFF80" w14:textId="77777777" w:rsidR="00C03136" w:rsidRDefault="00C03136" w:rsidP="00C03136">
      <w:pPr>
        <w:jc w:val="both"/>
        <w:rPr>
          <w:b/>
          <w:bCs/>
          <w:i/>
          <w:iCs/>
          <w:color w:val="000000"/>
          <w:sz w:val="23"/>
          <w:szCs w:val="23"/>
          <w:lang w:eastAsia="lt-LT"/>
        </w:rPr>
      </w:pPr>
    </w:p>
    <w:p w14:paraId="594F50A7" w14:textId="5D0FF1E2" w:rsidR="00105CCB" w:rsidRDefault="00105CCB" w:rsidP="00C03136">
      <w:pPr>
        <w:jc w:val="both"/>
        <w:rPr>
          <w:b/>
          <w:bCs/>
          <w:i/>
          <w:iCs/>
          <w:color w:val="000000"/>
          <w:sz w:val="23"/>
          <w:szCs w:val="23"/>
          <w:lang w:eastAsia="lt-LT"/>
        </w:rPr>
      </w:pPr>
    </w:p>
    <w:p w14:paraId="47BF43E4" w14:textId="77777777" w:rsidR="00105CCB" w:rsidRDefault="00105CCB" w:rsidP="00C03136">
      <w:pPr>
        <w:jc w:val="both"/>
        <w:rPr>
          <w:b/>
          <w:bCs/>
          <w:i/>
          <w:iCs/>
          <w:color w:val="000000"/>
          <w:sz w:val="23"/>
          <w:szCs w:val="23"/>
          <w:lang w:eastAsia="lt-LT"/>
        </w:rPr>
      </w:pPr>
    </w:p>
    <w:p w14:paraId="1E2BF208" w14:textId="77777777" w:rsidR="00667D8E" w:rsidRDefault="00667D8E" w:rsidP="002262C4">
      <w:pPr>
        <w:jc w:val="right"/>
        <w:rPr>
          <w:b/>
          <w:sz w:val="24"/>
          <w:szCs w:val="24"/>
        </w:rPr>
      </w:pPr>
    </w:p>
    <w:p w14:paraId="3009AAAE" w14:textId="77777777" w:rsidR="00667D8E" w:rsidRDefault="00667D8E" w:rsidP="002262C4">
      <w:pPr>
        <w:jc w:val="right"/>
        <w:rPr>
          <w:b/>
          <w:sz w:val="24"/>
          <w:szCs w:val="24"/>
        </w:rPr>
      </w:pPr>
    </w:p>
    <w:p w14:paraId="201B241E" w14:textId="16F0D435" w:rsidR="00C03136" w:rsidRDefault="002262C4" w:rsidP="002262C4">
      <w:pPr>
        <w:jc w:val="right"/>
        <w:rPr>
          <w:b/>
          <w:bCs/>
          <w:i/>
          <w:iCs/>
          <w:color w:val="000000"/>
          <w:sz w:val="23"/>
          <w:szCs w:val="23"/>
          <w:lang w:eastAsia="lt-LT"/>
        </w:rPr>
      </w:pPr>
      <w:r w:rsidRPr="003D26B8">
        <w:rPr>
          <w:b/>
          <w:sz w:val="24"/>
          <w:szCs w:val="24"/>
        </w:rPr>
        <w:lastRenderedPageBreak/>
        <w:t>Išrašas</w:t>
      </w:r>
    </w:p>
    <w:p w14:paraId="1B334552" w14:textId="77777777" w:rsidR="00C03136" w:rsidRDefault="00C03136" w:rsidP="00C03136">
      <w:pPr>
        <w:jc w:val="both"/>
        <w:rPr>
          <w:b/>
          <w:bCs/>
          <w:i/>
          <w:iCs/>
          <w:color w:val="000000"/>
          <w:sz w:val="23"/>
          <w:szCs w:val="23"/>
          <w:lang w:eastAsia="lt-LT"/>
        </w:rPr>
      </w:pPr>
    </w:p>
    <w:p w14:paraId="4F3C6A37" w14:textId="77777777" w:rsidR="001C1891" w:rsidRPr="001C1891" w:rsidRDefault="001C1891" w:rsidP="001C1891">
      <w:pPr>
        <w:jc w:val="both"/>
        <w:rPr>
          <w:color w:val="000000"/>
          <w:sz w:val="24"/>
          <w:szCs w:val="24"/>
          <w:lang w:eastAsia="lt-LT"/>
        </w:rPr>
      </w:pPr>
      <w:r w:rsidRPr="001C1891">
        <w:rPr>
          <w:b/>
          <w:bCs/>
          <w:i/>
          <w:iCs/>
          <w:color w:val="000000"/>
          <w:sz w:val="24"/>
          <w:szCs w:val="24"/>
          <w:lang w:eastAsia="lt-LT"/>
        </w:rPr>
        <w:t>Suvestinė redakcija nuo 2023-07-06 iki 2023-08-31</w:t>
      </w:r>
    </w:p>
    <w:p w14:paraId="5BC3A249" w14:textId="77777777" w:rsidR="001C1891" w:rsidRPr="001C1891" w:rsidRDefault="001C1891" w:rsidP="001C1891">
      <w:pPr>
        <w:jc w:val="both"/>
        <w:rPr>
          <w:color w:val="000000"/>
          <w:sz w:val="24"/>
          <w:szCs w:val="24"/>
          <w:lang w:eastAsia="lt-LT"/>
        </w:rPr>
      </w:pPr>
      <w:r w:rsidRPr="001C1891">
        <w:rPr>
          <w:color w:val="000000"/>
          <w:sz w:val="24"/>
          <w:szCs w:val="24"/>
          <w:lang w:eastAsia="lt-LT"/>
        </w:rPr>
        <w:t> </w:t>
      </w:r>
    </w:p>
    <w:p w14:paraId="7B35B058" w14:textId="77777777" w:rsidR="001C1891" w:rsidRPr="001C1891" w:rsidRDefault="001C1891" w:rsidP="001C1891">
      <w:pPr>
        <w:jc w:val="both"/>
        <w:rPr>
          <w:color w:val="000000"/>
          <w:sz w:val="24"/>
          <w:szCs w:val="24"/>
          <w:lang w:eastAsia="lt-LT"/>
        </w:rPr>
      </w:pPr>
      <w:r w:rsidRPr="001C1891">
        <w:rPr>
          <w:i/>
          <w:iCs/>
          <w:color w:val="000000"/>
          <w:sz w:val="24"/>
          <w:szCs w:val="24"/>
          <w:lang w:eastAsia="lt-LT"/>
        </w:rPr>
        <w:t>Įstatymas paskelbtas: Žin. 1994, Nr. </w:t>
      </w:r>
      <w:hyperlink r:id="rId6" w:tgtFrame="_parent" w:history="1">
        <w:r w:rsidRPr="001C1891">
          <w:rPr>
            <w:i/>
            <w:iCs/>
            <w:color w:val="0000FF"/>
            <w:sz w:val="24"/>
            <w:szCs w:val="24"/>
            <w:u w:val="single"/>
            <w:lang w:eastAsia="lt-LT"/>
          </w:rPr>
          <w:t>55-1049</w:t>
        </w:r>
      </w:hyperlink>
      <w:r w:rsidRPr="001C1891">
        <w:rPr>
          <w:i/>
          <w:iCs/>
          <w:color w:val="000000"/>
          <w:sz w:val="24"/>
          <w:szCs w:val="24"/>
          <w:lang w:eastAsia="lt-LT"/>
        </w:rPr>
        <w:t>, i. k. 0941010ISTA000I-533</w:t>
      </w:r>
    </w:p>
    <w:p w14:paraId="55BB1A67" w14:textId="77777777" w:rsidR="001C1891" w:rsidRPr="001C1891" w:rsidRDefault="001C1891" w:rsidP="001C1891">
      <w:pPr>
        <w:jc w:val="both"/>
        <w:rPr>
          <w:color w:val="000000"/>
          <w:sz w:val="24"/>
          <w:szCs w:val="24"/>
          <w:lang w:eastAsia="lt-LT"/>
        </w:rPr>
      </w:pPr>
      <w:r w:rsidRPr="001C1891">
        <w:rPr>
          <w:color w:val="000000"/>
          <w:sz w:val="24"/>
          <w:szCs w:val="24"/>
          <w:lang w:eastAsia="lt-LT"/>
        </w:rPr>
        <w:t> </w:t>
      </w:r>
    </w:p>
    <w:p w14:paraId="05F0B3C5" w14:textId="77777777" w:rsidR="001C1891" w:rsidRPr="001C1891" w:rsidRDefault="001C1891" w:rsidP="001C1891">
      <w:pPr>
        <w:rPr>
          <w:color w:val="000000"/>
          <w:sz w:val="24"/>
          <w:szCs w:val="24"/>
          <w:lang w:eastAsia="lt-LT"/>
        </w:rPr>
      </w:pPr>
      <w:r w:rsidRPr="001C1891">
        <w:rPr>
          <w:b/>
          <w:bCs/>
          <w:i/>
          <w:iCs/>
          <w:color w:val="000000"/>
          <w:sz w:val="24"/>
          <w:szCs w:val="24"/>
          <w:lang w:eastAsia="lt-LT"/>
        </w:rPr>
        <w:t>Nauja redakcija nuo 2023-04-01:</w:t>
      </w:r>
    </w:p>
    <w:p w14:paraId="7E2D3194" w14:textId="77777777" w:rsidR="001C1891" w:rsidRPr="001C1891" w:rsidRDefault="001C1891" w:rsidP="001C1891">
      <w:pPr>
        <w:rPr>
          <w:color w:val="000000"/>
          <w:sz w:val="24"/>
          <w:szCs w:val="24"/>
          <w:lang w:eastAsia="lt-LT"/>
        </w:rPr>
      </w:pPr>
      <w:r w:rsidRPr="001C1891">
        <w:rPr>
          <w:i/>
          <w:iCs/>
          <w:color w:val="000000"/>
          <w:sz w:val="24"/>
          <w:szCs w:val="24"/>
          <w:lang w:eastAsia="lt-LT"/>
        </w:rPr>
        <w:t>Nr. </w:t>
      </w:r>
      <w:hyperlink r:id="rId7" w:tgtFrame="_parent" w:history="1">
        <w:r w:rsidRPr="001C1891">
          <w:rPr>
            <w:i/>
            <w:iCs/>
            <w:color w:val="0000FF"/>
            <w:sz w:val="24"/>
            <w:szCs w:val="24"/>
            <w:u w:val="single"/>
            <w:lang w:eastAsia="lt-LT"/>
          </w:rPr>
          <w:t>XIV-1268</w:t>
        </w:r>
      </w:hyperlink>
      <w:r w:rsidRPr="001C1891">
        <w:rPr>
          <w:i/>
          <w:iCs/>
          <w:color w:val="000000"/>
          <w:sz w:val="24"/>
          <w:szCs w:val="24"/>
          <w:lang w:eastAsia="lt-LT"/>
        </w:rPr>
        <w:t>, 2022-06-30, paskelbta TAR 2022-07-15, i. k. 2022-15614</w:t>
      </w:r>
    </w:p>
    <w:p w14:paraId="26D3F0A1" w14:textId="77777777" w:rsidR="001C1891" w:rsidRPr="001C1891" w:rsidRDefault="001C1891" w:rsidP="001C1891">
      <w:pPr>
        <w:rPr>
          <w:color w:val="000000"/>
          <w:sz w:val="27"/>
          <w:szCs w:val="27"/>
          <w:lang w:eastAsia="lt-LT"/>
        </w:rPr>
      </w:pPr>
      <w:r w:rsidRPr="001C1891">
        <w:rPr>
          <w:color w:val="000000"/>
          <w:sz w:val="22"/>
          <w:szCs w:val="22"/>
          <w:lang w:eastAsia="lt-LT"/>
        </w:rPr>
        <w:t> </w:t>
      </w:r>
    </w:p>
    <w:p w14:paraId="2BC31FB0" w14:textId="77777777" w:rsidR="001C1891" w:rsidRPr="001C1891" w:rsidRDefault="001C1891" w:rsidP="001C1891">
      <w:pPr>
        <w:jc w:val="center"/>
        <w:rPr>
          <w:color w:val="000000"/>
          <w:sz w:val="27"/>
          <w:szCs w:val="27"/>
          <w:lang w:eastAsia="lt-LT"/>
        </w:rPr>
      </w:pPr>
      <w:r w:rsidRPr="001C1891">
        <w:rPr>
          <w:b/>
          <w:bCs/>
          <w:color w:val="000000"/>
          <w:sz w:val="27"/>
          <w:szCs w:val="27"/>
          <w:lang w:eastAsia="lt-LT"/>
        </w:rPr>
        <w:t>LIETUVOS RESPUBLIKOS</w:t>
      </w:r>
    </w:p>
    <w:p w14:paraId="77A37C8C" w14:textId="77777777" w:rsidR="001C1891" w:rsidRPr="001C1891" w:rsidRDefault="001C1891" w:rsidP="001C1891">
      <w:pPr>
        <w:jc w:val="center"/>
        <w:rPr>
          <w:color w:val="000000"/>
          <w:sz w:val="27"/>
          <w:szCs w:val="27"/>
          <w:lang w:eastAsia="lt-LT"/>
        </w:rPr>
      </w:pPr>
      <w:r w:rsidRPr="001C1891">
        <w:rPr>
          <w:b/>
          <w:bCs/>
          <w:color w:val="000000"/>
          <w:sz w:val="27"/>
          <w:szCs w:val="27"/>
          <w:lang w:eastAsia="lt-LT"/>
        </w:rPr>
        <w:t>VIETOS SAVIVALDOS</w:t>
      </w:r>
    </w:p>
    <w:p w14:paraId="55EE105A" w14:textId="77777777" w:rsidR="001C1891" w:rsidRPr="001C1891" w:rsidRDefault="001C1891" w:rsidP="001C1891">
      <w:pPr>
        <w:jc w:val="center"/>
        <w:rPr>
          <w:color w:val="000000"/>
          <w:sz w:val="27"/>
          <w:szCs w:val="27"/>
          <w:lang w:eastAsia="lt-LT"/>
        </w:rPr>
      </w:pPr>
      <w:r w:rsidRPr="001C1891">
        <w:rPr>
          <w:b/>
          <w:bCs/>
          <w:color w:val="000000"/>
          <w:sz w:val="27"/>
          <w:szCs w:val="27"/>
          <w:lang w:eastAsia="lt-LT"/>
        </w:rPr>
        <w:t>ĮSTATYMAS</w:t>
      </w:r>
    </w:p>
    <w:p w14:paraId="28F63286" w14:textId="77777777" w:rsidR="001C1891" w:rsidRPr="001C1891" w:rsidRDefault="001C1891" w:rsidP="001C1891">
      <w:pPr>
        <w:jc w:val="center"/>
        <w:rPr>
          <w:color w:val="000000"/>
          <w:sz w:val="27"/>
          <w:szCs w:val="27"/>
          <w:lang w:eastAsia="lt-LT"/>
        </w:rPr>
      </w:pPr>
      <w:r w:rsidRPr="001C1891">
        <w:rPr>
          <w:b/>
          <w:bCs/>
          <w:color w:val="000000"/>
          <w:sz w:val="27"/>
          <w:szCs w:val="27"/>
          <w:lang w:eastAsia="lt-LT"/>
        </w:rPr>
        <w:t> </w:t>
      </w:r>
    </w:p>
    <w:p w14:paraId="07FD12C1" w14:textId="77777777" w:rsidR="001C1891" w:rsidRPr="001C1891" w:rsidRDefault="001C1891" w:rsidP="001C1891">
      <w:pPr>
        <w:jc w:val="center"/>
        <w:rPr>
          <w:color w:val="000000"/>
          <w:sz w:val="24"/>
          <w:szCs w:val="24"/>
          <w:lang w:eastAsia="lt-LT"/>
        </w:rPr>
      </w:pPr>
      <w:r w:rsidRPr="001C1891">
        <w:rPr>
          <w:color w:val="000000"/>
          <w:sz w:val="24"/>
          <w:szCs w:val="24"/>
          <w:lang w:eastAsia="lt-LT"/>
        </w:rPr>
        <w:t>1994 m. liepos 7 d. Nr. I-533</w:t>
      </w:r>
    </w:p>
    <w:p w14:paraId="12C521F3" w14:textId="77777777" w:rsidR="001C1891" w:rsidRPr="001C1891" w:rsidRDefault="001C1891" w:rsidP="001C1891">
      <w:pPr>
        <w:jc w:val="center"/>
        <w:rPr>
          <w:color w:val="000000"/>
          <w:sz w:val="24"/>
          <w:szCs w:val="24"/>
          <w:lang w:eastAsia="lt-LT"/>
        </w:rPr>
      </w:pPr>
      <w:r w:rsidRPr="001C1891">
        <w:rPr>
          <w:color w:val="000000"/>
          <w:sz w:val="24"/>
          <w:szCs w:val="24"/>
          <w:lang w:eastAsia="lt-LT"/>
        </w:rPr>
        <w:t>Vilnius</w:t>
      </w:r>
    </w:p>
    <w:p w14:paraId="2FB424B8" w14:textId="77777777" w:rsidR="001C1891" w:rsidRPr="001C1891" w:rsidRDefault="001C1891" w:rsidP="001C1891">
      <w:pPr>
        <w:jc w:val="center"/>
        <w:rPr>
          <w:color w:val="000000"/>
          <w:sz w:val="24"/>
          <w:szCs w:val="24"/>
          <w:lang w:eastAsia="lt-LT"/>
        </w:rPr>
      </w:pPr>
      <w:r w:rsidRPr="001C1891">
        <w:rPr>
          <w:b/>
          <w:bCs/>
          <w:color w:val="000000"/>
          <w:sz w:val="24"/>
          <w:szCs w:val="24"/>
          <w:lang w:eastAsia="lt-LT"/>
        </w:rPr>
        <w:t> </w:t>
      </w:r>
    </w:p>
    <w:p w14:paraId="5E3B46A2" w14:textId="763B32D2" w:rsidR="00C03136" w:rsidRPr="002262C4" w:rsidRDefault="001C1891" w:rsidP="001C1891">
      <w:pPr>
        <w:ind w:firstLine="720"/>
        <w:jc w:val="both"/>
        <w:rPr>
          <w:color w:val="000000"/>
          <w:sz w:val="24"/>
          <w:szCs w:val="24"/>
          <w:lang w:eastAsia="lt-LT"/>
        </w:rPr>
      </w:pPr>
      <w:r w:rsidRPr="001C1891">
        <w:rPr>
          <w:color w:val="000000"/>
          <w:sz w:val="24"/>
          <w:szCs w:val="24"/>
          <w:lang w:eastAsia="lt-LT"/>
        </w:rPr>
        <w:t> </w:t>
      </w:r>
      <w:r w:rsidRPr="002262C4">
        <w:rPr>
          <w:b/>
          <w:bCs/>
          <w:color w:val="000000"/>
          <w:sz w:val="24"/>
          <w:szCs w:val="24"/>
        </w:rPr>
        <w:t>15 straipsnis. Savivaldybės tarybos kompetencija</w:t>
      </w:r>
    </w:p>
    <w:p w14:paraId="23118CAB" w14:textId="1EC42C1F" w:rsidR="00C03136" w:rsidRPr="002262C4" w:rsidRDefault="001C1891" w:rsidP="001C1891">
      <w:pPr>
        <w:ind w:firstLine="720"/>
        <w:jc w:val="both"/>
        <w:rPr>
          <w:sz w:val="24"/>
          <w:szCs w:val="24"/>
        </w:rPr>
      </w:pPr>
      <w:bookmarkStart w:id="5" w:name="straipsnis18"/>
      <w:r w:rsidRPr="002262C4">
        <w:rPr>
          <w:sz w:val="24"/>
          <w:szCs w:val="24"/>
        </w:rPr>
        <w:t>&lt;...&gt;</w:t>
      </w:r>
    </w:p>
    <w:p w14:paraId="66DD73D5" w14:textId="54B1F900" w:rsidR="001C1891" w:rsidRPr="002262C4" w:rsidRDefault="001C1891" w:rsidP="001C1891">
      <w:pPr>
        <w:ind w:firstLine="720"/>
        <w:jc w:val="both"/>
        <w:rPr>
          <w:sz w:val="24"/>
          <w:szCs w:val="24"/>
        </w:rPr>
      </w:pPr>
      <w:r w:rsidRPr="002262C4">
        <w:rPr>
          <w:color w:val="000000"/>
          <w:sz w:val="24"/>
          <w:szCs w:val="24"/>
        </w:rPr>
        <w:t>4. Jeigu teisės aktuose yra nustatyta papildomų įgaliojimų savivaldybei, sprendimų dėl tokių įgaliojimų vykdymo priėmimo iniciatyva, neperžengiant nustatytų įgaliojimų, priklauso savivaldybės tarybai.</w:t>
      </w:r>
    </w:p>
    <w:p w14:paraId="65C20CFA" w14:textId="5352EBA8" w:rsidR="00C03136" w:rsidRPr="002262C4" w:rsidRDefault="00C03136" w:rsidP="00C03136">
      <w:pPr>
        <w:suppressAutoHyphens/>
        <w:ind w:firstLine="720"/>
        <w:jc w:val="both"/>
        <w:rPr>
          <w:bCs/>
          <w:sz w:val="24"/>
          <w:szCs w:val="24"/>
        </w:rPr>
      </w:pPr>
      <w:r w:rsidRPr="002262C4">
        <w:rPr>
          <w:bCs/>
          <w:sz w:val="24"/>
          <w:szCs w:val="24"/>
        </w:rPr>
        <w:t>&lt;...&gt;</w:t>
      </w:r>
    </w:p>
    <w:bookmarkEnd w:id="5"/>
    <w:p w14:paraId="6078D02C" w14:textId="6882281D" w:rsidR="00C03136" w:rsidRPr="00ED67C5" w:rsidRDefault="00C03136" w:rsidP="00C03136">
      <w:pPr>
        <w:pStyle w:val="Default"/>
      </w:pPr>
    </w:p>
    <w:p w14:paraId="15D723C5" w14:textId="77777777" w:rsidR="00C03136" w:rsidRDefault="00C03136" w:rsidP="00C03136">
      <w:pPr>
        <w:ind w:right="-82" w:firstLine="709"/>
        <w:jc w:val="center"/>
        <w:rPr>
          <w:sz w:val="24"/>
          <w:szCs w:val="24"/>
        </w:rPr>
        <w:sectPr w:rsidR="00C03136" w:rsidSect="00394D94">
          <w:pgSz w:w="12240" w:h="15840"/>
          <w:pgMar w:top="1134" w:right="567" w:bottom="1134" w:left="1701" w:header="709" w:footer="709" w:gutter="0"/>
          <w:cols w:space="708"/>
          <w:docGrid w:linePitch="360"/>
        </w:sectPr>
      </w:pPr>
      <w:r>
        <w:rPr>
          <w:sz w:val="24"/>
          <w:szCs w:val="24"/>
        </w:rPr>
        <w:t>______________________________</w:t>
      </w:r>
    </w:p>
    <w:p w14:paraId="7983F2BD" w14:textId="77777777" w:rsidR="00C03136" w:rsidRPr="003D26B8" w:rsidRDefault="00C03136" w:rsidP="00C03136">
      <w:pPr>
        <w:jc w:val="right"/>
        <w:rPr>
          <w:b/>
          <w:sz w:val="24"/>
          <w:szCs w:val="24"/>
        </w:rPr>
      </w:pPr>
      <w:r w:rsidRPr="003D26B8">
        <w:rPr>
          <w:b/>
          <w:sz w:val="24"/>
          <w:szCs w:val="24"/>
        </w:rPr>
        <w:t>Išrašas</w:t>
      </w:r>
    </w:p>
    <w:p w14:paraId="7F21FF2B" w14:textId="77777777" w:rsidR="00054E05" w:rsidRPr="00054E05" w:rsidRDefault="00054E05" w:rsidP="00054E05">
      <w:pPr>
        <w:jc w:val="both"/>
        <w:rPr>
          <w:color w:val="000000"/>
          <w:sz w:val="24"/>
          <w:szCs w:val="24"/>
          <w:lang w:eastAsia="lt-LT"/>
        </w:rPr>
      </w:pPr>
      <w:r w:rsidRPr="00054E05">
        <w:rPr>
          <w:b/>
          <w:bCs/>
          <w:i/>
          <w:iCs/>
          <w:color w:val="000000"/>
          <w:sz w:val="24"/>
          <w:szCs w:val="24"/>
          <w:lang w:eastAsia="lt-LT"/>
        </w:rPr>
        <w:t>Suvestinė redakcija nuo 2023-04-01 iki 2024-04-30</w:t>
      </w:r>
    </w:p>
    <w:p w14:paraId="56470DEE" w14:textId="77777777" w:rsidR="00054E05" w:rsidRPr="00054E05" w:rsidRDefault="00054E05" w:rsidP="00054E05">
      <w:pPr>
        <w:jc w:val="both"/>
        <w:rPr>
          <w:color w:val="000000"/>
          <w:sz w:val="24"/>
          <w:szCs w:val="24"/>
          <w:lang w:eastAsia="lt-LT"/>
        </w:rPr>
      </w:pPr>
      <w:r w:rsidRPr="00054E05">
        <w:rPr>
          <w:color w:val="000000"/>
          <w:sz w:val="24"/>
          <w:szCs w:val="24"/>
          <w:lang w:eastAsia="lt-LT"/>
        </w:rPr>
        <w:t> </w:t>
      </w:r>
    </w:p>
    <w:p w14:paraId="7EEE404B" w14:textId="77777777" w:rsidR="00054E05" w:rsidRPr="00054E05" w:rsidRDefault="00054E05" w:rsidP="00054E05">
      <w:pPr>
        <w:jc w:val="both"/>
        <w:rPr>
          <w:color w:val="000000"/>
          <w:sz w:val="24"/>
          <w:szCs w:val="24"/>
          <w:lang w:eastAsia="lt-LT"/>
        </w:rPr>
      </w:pPr>
      <w:r w:rsidRPr="00054E05">
        <w:rPr>
          <w:i/>
          <w:iCs/>
          <w:color w:val="000000"/>
          <w:sz w:val="24"/>
          <w:szCs w:val="24"/>
          <w:lang w:eastAsia="lt-LT"/>
        </w:rPr>
        <w:t>Įstatymas paskelbtas: Žin. 2003, Nr. </w:t>
      </w:r>
      <w:hyperlink r:id="rId8" w:tgtFrame="_parent" w:history="1">
        <w:r w:rsidRPr="00054E05">
          <w:rPr>
            <w:i/>
            <w:iCs/>
            <w:color w:val="0000FF"/>
            <w:sz w:val="24"/>
            <w:szCs w:val="24"/>
            <w:u w:val="single"/>
            <w:lang w:eastAsia="lt-LT"/>
          </w:rPr>
          <w:t>73-3352</w:t>
        </w:r>
      </w:hyperlink>
      <w:r w:rsidRPr="00054E05">
        <w:rPr>
          <w:i/>
          <w:iCs/>
          <w:color w:val="000000"/>
          <w:sz w:val="24"/>
          <w:szCs w:val="24"/>
          <w:lang w:eastAsia="lt-LT"/>
        </w:rPr>
        <w:t>, i. k. 1031010ISTA0IX-1675</w:t>
      </w:r>
    </w:p>
    <w:p w14:paraId="15257F79" w14:textId="77777777" w:rsidR="00054E05" w:rsidRPr="00054E05" w:rsidRDefault="00054E05" w:rsidP="00054E05">
      <w:pPr>
        <w:jc w:val="both"/>
        <w:rPr>
          <w:color w:val="000000"/>
          <w:sz w:val="24"/>
          <w:szCs w:val="24"/>
          <w:lang w:eastAsia="lt-LT"/>
        </w:rPr>
      </w:pPr>
      <w:r w:rsidRPr="00054E05">
        <w:rPr>
          <w:color w:val="000000"/>
          <w:sz w:val="24"/>
          <w:szCs w:val="24"/>
          <w:lang w:eastAsia="lt-LT"/>
        </w:rPr>
        <w:t> </w:t>
      </w:r>
    </w:p>
    <w:p w14:paraId="5A98131B" w14:textId="77777777" w:rsidR="00054E05" w:rsidRPr="00054E05" w:rsidRDefault="00054E05" w:rsidP="00054E05">
      <w:pPr>
        <w:jc w:val="both"/>
        <w:rPr>
          <w:color w:val="000000"/>
          <w:sz w:val="24"/>
          <w:szCs w:val="24"/>
          <w:lang w:eastAsia="lt-LT"/>
        </w:rPr>
      </w:pPr>
      <w:r w:rsidRPr="00054E05">
        <w:rPr>
          <w:b/>
          <w:bCs/>
          <w:i/>
          <w:iCs/>
          <w:color w:val="000000"/>
          <w:sz w:val="24"/>
          <w:szCs w:val="24"/>
          <w:u w:val="single"/>
          <w:lang w:eastAsia="lt-LT"/>
        </w:rPr>
        <w:t>TAR pastaba.</w:t>
      </w:r>
      <w:r w:rsidRPr="00054E05">
        <w:rPr>
          <w:i/>
          <w:iCs/>
          <w:color w:val="000000"/>
          <w:sz w:val="24"/>
          <w:szCs w:val="24"/>
          <w:lang w:eastAsia="lt-LT"/>
        </w:rPr>
        <w:t> Įstatymo Nr. XIV-1844 nuostatos pradedamos taikyti, kai 2023 m. naujai išrinktos savivaldybių tarybos susirenka į pirmuosius posėdžius. Iki pirmųjų 2023 m. naujai išrinktų savivaldybių tarybų posėdžių taikomos iki šio įstatymo įsigaliojimo dienos galiojusios Lietuvos Respublikos piniginės socialinės paramos nepasiturintiems gyventojams įstatymo nuostatos.</w:t>
      </w:r>
    </w:p>
    <w:p w14:paraId="1721DDF5" w14:textId="77777777" w:rsidR="00054E05" w:rsidRPr="00054E05" w:rsidRDefault="00054E05" w:rsidP="00054E05">
      <w:pPr>
        <w:rPr>
          <w:color w:val="000000"/>
          <w:sz w:val="24"/>
          <w:szCs w:val="24"/>
          <w:lang w:eastAsia="lt-LT"/>
        </w:rPr>
      </w:pPr>
      <w:r w:rsidRPr="00054E05">
        <w:rPr>
          <w:i/>
          <w:iCs/>
          <w:color w:val="000000"/>
          <w:sz w:val="24"/>
          <w:szCs w:val="24"/>
          <w:lang w:eastAsia="lt-LT"/>
        </w:rPr>
        <w:t>Lietuvos Respublikos Seimas, Įstatymas</w:t>
      </w:r>
    </w:p>
    <w:p w14:paraId="094CD01B" w14:textId="77777777" w:rsidR="00054E05" w:rsidRPr="00054E05" w:rsidRDefault="00054E05" w:rsidP="00054E05">
      <w:pPr>
        <w:jc w:val="both"/>
        <w:rPr>
          <w:color w:val="000000"/>
          <w:sz w:val="24"/>
          <w:szCs w:val="24"/>
          <w:lang w:eastAsia="lt-LT"/>
        </w:rPr>
      </w:pPr>
      <w:r w:rsidRPr="00054E05">
        <w:rPr>
          <w:i/>
          <w:iCs/>
          <w:color w:val="000000"/>
          <w:sz w:val="24"/>
          <w:szCs w:val="24"/>
          <w:lang w:eastAsia="lt-LT"/>
        </w:rPr>
        <w:t>Nr. </w:t>
      </w:r>
      <w:hyperlink r:id="rId9" w:tgtFrame="_parent" w:history="1">
        <w:r w:rsidRPr="00054E05">
          <w:rPr>
            <w:i/>
            <w:iCs/>
            <w:color w:val="0000FF"/>
            <w:sz w:val="24"/>
            <w:szCs w:val="24"/>
            <w:u w:val="single"/>
            <w:lang w:eastAsia="lt-LT"/>
          </w:rPr>
          <w:t>XIV-1844</w:t>
        </w:r>
      </w:hyperlink>
      <w:r w:rsidRPr="00054E05">
        <w:rPr>
          <w:i/>
          <w:iCs/>
          <w:color w:val="000000"/>
          <w:sz w:val="24"/>
          <w:szCs w:val="24"/>
          <w:lang w:eastAsia="lt-LT"/>
        </w:rPr>
        <w:t>, 2023-03-28, paskelbta TAR 2023-03-30, i. k. 2023-05744</w:t>
      </w:r>
    </w:p>
    <w:p w14:paraId="62D855F3" w14:textId="77777777" w:rsidR="00054E05" w:rsidRPr="00054E05" w:rsidRDefault="00054E05" w:rsidP="00054E05">
      <w:pPr>
        <w:rPr>
          <w:color w:val="000000"/>
          <w:sz w:val="24"/>
          <w:szCs w:val="24"/>
          <w:lang w:eastAsia="lt-LT"/>
        </w:rPr>
      </w:pPr>
      <w:r w:rsidRPr="00054E05">
        <w:rPr>
          <w:i/>
          <w:iCs/>
          <w:color w:val="000000"/>
          <w:sz w:val="24"/>
          <w:szCs w:val="24"/>
          <w:lang w:eastAsia="lt-LT"/>
        </w:rPr>
        <w:t>Lietuvos Respublikos piniginės socialinės paramos nepasiturintiems gyventojams įstatymo Nr. IX-1675 21 ir 27 straipsnių pakeitimo įstatymas</w:t>
      </w:r>
    </w:p>
    <w:p w14:paraId="206649AF" w14:textId="77777777" w:rsidR="00054E05" w:rsidRPr="00054E05" w:rsidRDefault="00054E05" w:rsidP="00054E05">
      <w:pPr>
        <w:rPr>
          <w:color w:val="000000"/>
          <w:sz w:val="24"/>
          <w:szCs w:val="24"/>
          <w:lang w:eastAsia="lt-LT"/>
        </w:rPr>
      </w:pPr>
      <w:r w:rsidRPr="00054E05">
        <w:rPr>
          <w:color w:val="000000"/>
          <w:sz w:val="24"/>
          <w:szCs w:val="24"/>
          <w:lang w:eastAsia="lt-LT"/>
        </w:rPr>
        <w:t> </w:t>
      </w:r>
    </w:p>
    <w:p w14:paraId="0F258276" w14:textId="77777777" w:rsidR="00054E05" w:rsidRPr="00054E05" w:rsidRDefault="00054E05" w:rsidP="00054E05">
      <w:pPr>
        <w:rPr>
          <w:color w:val="000000"/>
          <w:sz w:val="24"/>
          <w:szCs w:val="24"/>
          <w:lang w:eastAsia="lt-LT"/>
        </w:rPr>
      </w:pPr>
      <w:r w:rsidRPr="00054E05">
        <w:rPr>
          <w:b/>
          <w:bCs/>
          <w:i/>
          <w:iCs/>
          <w:color w:val="000000"/>
          <w:sz w:val="24"/>
          <w:szCs w:val="24"/>
          <w:lang w:eastAsia="lt-LT"/>
        </w:rPr>
        <w:t>Nauja įstatymo redakcija nuo 2012-01-01:</w:t>
      </w:r>
    </w:p>
    <w:p w14:paraId="2D0AB213" w14:textId="77777777" w:rsidR="00054E05" w:rsidRPr="00054E05" w:rsidRDefault="00054E05" w:rsidP="00054E05">
      <w:pPr>
        <w:rPr>
          <w:color w:val="000000"/>
          <w:sz w:val="24"/>
          <w:szCs w:val="24"/>
          <w:lang w:eastAsia="lt-LT"/>
        </w:rPr>
      </w:pPr>
      <w:r w:rsidRPr="00054E05">
        <w:rPr>
          <w:i/>
          <w:iCs/>
          <w:color w:val="000000"/>
          <w:sz w:val="24"/>
          <w:szCs w:val="24"/>
          <w:lang w:eastAsia="lt-LT"/>
        </w:rPr>
        <w:t>Nr. </w:t>
      </w:r>
      <w:hyperlink r:id="rId10" w:tgtFrame="_parent" w:history="1">
        <w:r w:rsidRPr="00054E05">
          <w:rPr>
            <w:i/>
            <w:iCs/>
            <w:color w:val="0000FF"/>
            <w:sz w:val="24"/>
            <w:szCs w:val="24"/>
            <w:u w:val="single"/>
            <w:lang w:eastAsia="lt-LT"/>
          </w:rPr>
          <w:t>XI-1772</w:t>
        </w:r>
      </w:hyperlink>
      <w:r w:rsidRPr="00054E05">
        <w:rPr>
          <w:i/>
          <w:iCs/>
          <w:color w:val="000000"/>
          <w:sz w:val="24"/>
          <w:szCs w:val="24"/>
          <w:lang w:eastAsia="lt-LT"/>
        </w:rPr>
        <w:t>, 2011-12-01, Žin., 2011, Nr. 155-7353 (2011-12-20)</w:t>
      </w:r>
    </w:p>
    <w:p w14:paraId="0E5E4824" w14:textId="77777777" w:rsidR="00054E05" w:rsidRPr="00054E05" w:rsidRDefault="00054E05" w:rsidP="00054E05">
      <w:pPr>
        <w:jc w:val="center"/>
        <w:rPr>
          <w:color w:val="000000"/>
          <w:sz w:val="24"/>
          <w:szCs w:val="24"/>
          <w:lang w:eastAsia="lt-LT"/>
        </w:rPr>
      </w:pPr>
      <w:r w:rsidRPr="00054E05">
        <w:rPr>
          <w:caps/>
          <w:color w:val="000000"/>
          <w:sz w:val="24"/>
          <w:szCs w:val="24"/>
          <w:lang w:eastAsia="lt-LT"/>
        </w:rPr>
        <w:t> </w:t>
      </w:r>
    </w:p>
    <w:p w14:paraId="52023A42" w14:textId="77777777" w:rsidR="00054E05" w:rsidRPr="00054E05" w:rsidRDefault="00054E05" w:rsidP="00054E05">
      <w:pPr>
        <w:rPr>
          <w:color w:val="000000"/>
          <w:sz w:val="27"/>
          <w:szCs w:val="27"/>
          <w:lang w:eastAsia="lt-LT"/>
        </w:rPr>
      </w:pPr>
      <w:r w:rsidRPr="00054E05">
        <w:rPr>
          <w:color w:val="000000"/>
          <w:lang w:eastAsia="lt-LT"/>
        </w:rPr>
        <w:t> </w:t>
      </w:r>
    </w:p>
    <w:p w14:paraId="3A81E41F" w14:textId="77777777" w:rsidR="00054E05" w:rsidRPr="00054E05" w:rsidRDefault="00054E05" w:rsidP="00054E05">
      <w:pPr>
        <w:jc w:val="center"/>
        <w:rPr>
          <w:color w:val="000000"/>
          <w:sz w:val="24"/>
          <w:szCs w:val="24"/>
          <w:lang w:eastAsia="lt-LT"/>
        </w:rPr>
      </w:pPr>
      <w:r w:rsidRPr="00054E05">
        <w:rPr>
          <w:b/>
          <w:bCs/>
          <w:caps/>
          <w:color w:val="000000"/>
          <w:sz w:val="24"/>
          <w:szCs w:val="24"/>
          <w:lang w:eastAsia="lt-LT"/>
        </w:rPr>
        <w:t>LIETUVOS RESPUBLIKOS</w:t>
      </w:r>
    </w:p>
    <w:p w14:paraId="2419538D" w14:textId="77777777" w:rsidR="00054E05" w:rsidRPr="00054E05" w:rsidRDefault="00054E05" w:rsidP="00054E05">
      <w:pPr>
        <w:jc w:val="center"/>
        <w:rPr>
          <w:color w:val="000000"/>
          <w:sz w:val="24"/>
          <w:szCs w:val="24"/>
          <w:lang w:eastAsia="lt-LT"/>
        </w:rPr>
      </w:pPr>
      <w:r w:rsidRPr="00054E05">
        <w:rPr>
          <w:b/>
          <w:bCs/>
          <w:caps/>
          <w:color w:val="000000"/>
          <w:sz w:val="24"/>
          <w:szCs w:val="24"/>
          <w:lang w:eastAsia="lt-LT"/>
        </w:rPr>
        <w:t>PINIGINĖS SOCIALINĖS PARAMOS NEPASITURINTIEMS GYVENTOJAMS</w:t>
      </w:r>
    </w:p>
    <w:p w14:paraId="7AA71D57" w14:textId="77777777" w:rsidR="00054E05" w:rsidRPr="00054E05" w:rsidRDefault="00054E05" w:rsidP="00054E05">
      <w:pPr>
        <w:jc w:val="center"/>
        <w:rPr>
          <w:color w:val="000000"/>
          <w:sz w:val="24"/>
          <w:szCs w:val="24"/>
          <w:lang w:eastAsia="lt-LT"/>
        </w:rPr>
      </w:pPr>
      <w:r w:rsidRPr="00054E05">
        <w:rPr>
          <w:b/>
          <w:bCs/>
          <w:caps/>
          <w:color w:val="000000"/>
          <w:sz w:val="24"/>
          <w:szCs w:val="24"/>
          <w:lang w:eastAsia="lt-LT"/>
        </w:rPr>
        <w:t>ĮSTATYMAS</w:t>
      </w:r>
    </w:p>
    <w:p w14:paraId="781D79A1" w14:textId="77777777" w:rsidR="00054E05" w:rsidRPr="00054E05" w:rsidRDefault="00054E05" w:rsidP="00054E05">
      <w:pPr>
        <w:rPr>
          <w:color w:val="000000"/>
          <w:sz w:val="24"/>
          <w:szCs w:val="24"/>
          <w:lang w:eastAsia="lt-LT"/>
        </w:rPr>
      </w:pPr>
      <w:r w:rsidRPr="00054E05">
        <w:rPr>
          <w:i/>
          <w:iCs/>
          <w:color w:val="000000"/>
          <w:sz w:val="24"/>
          <w:szCs w:val="24"/>
          <w:lang w:eastAsia="lt-LT"/>
        </w:rPr>
        <w:t>Įstatymo pavadinimas keistas:</w:t>
      </w:r>
    </w:p>
    <w:p w14:paraId="1DD00C67" w14:textId="77777777" w:rsidR="00054E05" w:rsidRPr="00054E05" w:rsidRDefault="00054E05" w:rsidP="00054E05">
      <w:pPr>
        <w:rPr>
          <w:color w:val="000000"/>
          <w:sz w:val="24"/>
          <w:szCs w:val="24"/>
          <w:lang w:eastAsia="lt-LT"/>
        </w:rPr>
      </w:pPr>
      <w:r w:rsidRPr="00054E05">
        <w:rPr>
          <w:i/>
          <w:iCs/>
          <w:color w:val="000000"/>
          <w:sz w:val="24"/>
          <w:szCs w:val="24"/>
          <w:lang w:eastAsia="lt-LT"/>
        </w:rPr>
        <w:t>Nr. </w:t>
      </w:r>
      <w:hyperlink r:id="rId11" w:tgtFrame="_parent" w:history="1">
        <w:r w:rsidRPr="00054E05">
          <w:rPr>
            <w:i/>
            <w:iCs/>
            <w:color w:val="0000FF"/>
            <w:sz w:val="24"/>
            <w:szCs w:val="24"/>
            <w:u w:val="single"/>
            <w:lang w:eastAsia="lt-LT"/>
          </w:rPr>
          <w:t>XI-1772</w:t>
        </w:r>
      </w:hyperlink>
      <w:r w:rsidRPr="00054E05">
        <w:rPr>
          <w:i/>
          <w:iCs/>
          <w:color w:val="000000"/>
          <w:sz w:val="24"/>
          <w:szCs w:val="24"/>
          <w:lang w:eastAsia="lt-LT"/>
        </w:rPr>
        <w:t>, 2011-12-01, Žin., 2011, Nr. 155-7353 (2011-12-20)</w:t>
      </w:r>
    </w:p>
    <w:p w14:paraId="51788915" w14:textId="77777777" w:rsidR="00054E05" w:rsidRPr="00054E05" w:rsidRDefault="00054E05" w:rsidP="00054E05">
      <w:pPr>
        <w:rPr>
          <w:color w:val="000000"/>
          <w:sz w:val="24"/>
          <w:szCs w:val="24"/>
          <w:lang w:eastAsia="lt-LT"/>
        </w:rPr>
      </w:pPr>
      <w:r w:rsidRPr="00054E05">
        <w:rPr>
          <w:color w:val="000000"/>
          <w:sz w:val="24"/>
          <w:szCs w:val="24"/>
          <w:lang w:eastAsia="lt-LT"/>
        </w:rPr>
        <w:t> </w:t>
      </w:r>
    </w:p>
    <w:p w14:paraId="182FD747" w14:textId="77777777" w:rsidR="00054E05" w:rsidRPr="00054E05" w:rsidRDefault="00054E05" w:rsidP="00054E05">
      <w:pPr>
        <w:jc w:val="center"/>
        <w:rPr>
          <w:color w:val="000000"/>
          <w:sz w:val="24"/>
          <w:szCs w:val="24"/>
          <w:lang w:eastAsia="lt-LT"/>
        </w:rPr>
      </w:pPr>
      <w:r w:rsidRPr="00054E05">
        <w:rPr>
          <w:color w:val="000000"/>
          <w:sz w:val="24"/>
          <w:szCs w:val="24"/>
          <w:lang w:eastAsia="lt-LT"/>
        </w:rPr>
        <w:t>2003 m. liepos 1 d. Nr. IX-1675</w:t>
      </w:r>
    </w:p>
    <w:p w14:paraId="7E6280CD" w14:textId="77777777" w:rsidR="00054E05" w:rsidRPr="00054E05" w:rsidRDefault="00054E05" w:rsidP="00054E05">
      <w:pPr>
        <w:jc w:val="center"/>
        <w:rPr>
          <w:color w:val="000000"/>
          <w:sz w:val="24"/>
          <w:szCs w:val="24"/>
          <w:lang w:eastAsia="lt-LT"/>
        </w:rPr>
      </w:pPr>
      <w:r w:rsidRPr="00054E05">
        <w:rPr>
          <w:color w:val="000000"/>
          <w:sz w:val="24"/>
          <w:szCs w:val="24"/>
          <w:lang w:eastAsia="lt-LT"/>
        </w:rPr>
        <w:t>Vilnius</w:t>
      </w:r>
    </w:p>
    <w:p w14:paraId="60BF2119" w14:textId="1303AD57" w:rsidR="00C03136" w:rsidRDefault="00C03136" w:rsidP="00C03136">
      <w:pPr>
        <w:ind w:firstLine="720"/>
        <w:jc w:val="both"/>
        <w:rPr>
          <w:b/>
          <w:bCs/>
          <w:sz w:val="23"/>
          <w:szCs w:val="23"/>
          <w:lang w:eastAsia="lt-LT"/>
        </w:rPr>
      </w:pPr>
    </w:p>
    <w:p w14:paraId="0F1D926A" w14:textId="77777777" w:rsidR="00663140" w:rsidRPr="00651281" w:rsidRDefault="00663140" w:rsidP="00C03136">
      <w:pPr>
        <w:ind w:firstLine="720"/>
        <w:jc w:val="both"/>
        <w:rPr>
          <w:b/>
          <w:bCs/>
          <w:sz w:val="23"/>
          <w:szCs w:val="23"/>
          <w:lang w:eastAsia="lt-LT"/>
        </w:rPr>
      </w:pPr>
    </w:p>
    <w:p w14:paraId="1F659DDE" w14:textId="77777777" w:rsidR="00C03136" w:rsidRPr="00651281" w:rsidRDefault="00C03136" w:rsidP="00C03136">
      <w:pPr>
        <w:ind w:firstLine="720"/>
        <w:jc w:val="both"/>
        <w:rPr>
          <w:b/>
          <w:sz w:val="23"/>
          <w:szCs w:val="23"/>
        </w:rPr>
      </w:pPr>
      <w:r w:rsidRPr="00651281">
        <w:rPr>
          <w:b/>
          <w:bCs/>
          <w:sz w:val="23"/>
          <w:szCs w:val="23"/>
        </w:rPr>
        <w:t>11 straipsnis. Kompensacijų dydis</w:t>
      </w:r>
    </w:p>
    <w:p w14:paraId="186602B3" w14:textId="77777777" w:rsidR="00C03136" w:rsidRPr="00651281" w:rsidRDefault="00C03136" w:rsidP="00C03136">
      <w:pPr>
        <w:ind w:firstLine="720"/>
        <w:jc w:val="both"/>
        <w:rPr>
          <w:sz w:val="23"/>
          <w:szCs w:val="23"/>
        </w:rPr>
      </w:pPr>
      <w:r w:rsidRPr="00651281">
        <w:rPr>
          <w:sz w:val="23"/>
          <w:szCs w:val="23"/>
        </w:rPr>
        <w:t>&lt;...&gt;</w:t>
      </w:r>
    </w:p>
    <w:p w14:paraId="1C825795" w14:textId="77777777" w:rsidR="00C03136" w:rsidRPr="00651281" w:rsidRDefault="00C03136" w:rsidP="00C03136">
      <w:pPr>
        <w:ind w:firstLine="720"/>
        <w:jc w:val="both"/>
        <w:rPr>
          <w:color w:val="000000"/>
          <w:sz w:val="23"/>
          <w:szCs w:val="23"/>
          <w:lang w:eastAsia="lt-LT"/>
        </w:rPr>
      </w:pPr>
      <w:r w:rsidRPr="00651281">
        <w:rPr>
          <w:sz w:val="23"/>
          <w:szCs w:val="23"/>
          <w:lang w:eastAsia="lt-LT"/>
        </w:rPr>
        <w:t xml:space="preserve">4. </w:t>
      </w:r>
      <w:r w:rsidRPr="00651281">
        <w:rPr>
          <w:color w:val="000000"/>
          <w:sz w:val="23"/>
          <w:szCs w:val="23"/>
          <w:lang w:eastAsia="lt-LT"/>
        </w:rPr>
        <w:t>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ar dvinares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p>
    <w:p w14:paraId="4F66BEB4" w14:textId="77777777" w:rsidR="00C03136" w:rsidRPr="00C21E1E" w:rsidRDefault="00C03136" w:rsidP="00C03136">
      <w:pPr>
        <w:rPr>
          <w:color w:val="000000"/>
          <w:sz w:val="23"/>
          <w:szCs w:val="23"/>
          <w:lang w:eastAsia="lt-LT"/>
        </w:rPr>
      </w:pPr>
      <w:r w:rsidRPr="00C21E1E">
        <w:rPr>
          <w:i/>
          <w:iCs/>
          <w:color w:val="000000"/>
          <w:sz w:val="23"/>
          <w:szCs w:val="23"/>
          <w:lang w:eastAsia="lt-LT"/>
        </w:rPr>
        <w:t>Straipsnio dalies pakeitimai:</w:t>
      </w:r>
    </w:p>
    <w:p w14:paraId="33AED57C" w14:textId="77777777" w:rsidR="00C03136" w:rsidRPr="00C21E1E" w:rsidRDefault="00C03136" w:rsidP="00C03136">
      <w:pPr>
        <w:jc w:val="both"/>
        <w:rPr>
          <w:color w:val="000000"/>
          <w:sz w:val="23"/>
          <w:szCs w:val="23"/>
          <w:lang w:eastAsia="lt-LT"/>
        </w:rPr>
      </w:pPr>
      <w:r w:rsidRPr="00C21E1E">
        <w:rPr>
          <w:i/>
          <w:iCs/>
          <w:color w:val="000000"/>
          <w:sz w:val="23"/>
          <w:szCs w:val="23"/>
          <w:lang w:eastAsia="lt-LT"/>
        </w:rPr>
        <w:t>Nr. </w:t>
      </w:r>
      <w:hyperlink r:id="rId12" w:tgtFrame="_parent" w:history="1">
        <w:r w:rsidRPr="00651281">
          <w:rPr>
            <w:i/>
            <w:iCs/>
            <w:color w:val="0000FF"/>
            <w:sz w:val="23"/>
            <w:szCs w:val="23"/>
            <w:u w:val="single"/>
            <w:lang w:eastAsia="lt-LT"/>
          </w:rPr>
          <w:t>XIII-1973</w:t>
        </w:r>
      </w:hyperlink>
      <w:r w:rsidRPr="00C21E1E">
        <w:rPr>
          <w:i/>
          <w:iCs/>
          <w:color w:val="000000"/>
          <w:sz w:val="23"/>
          <w:szCs w:val="23"/>
          <w:lang w:eastAsia="lt-LT"/>
        </w:rPr>
        <w:t>, 2019-02-14, paskelbta TAR 2019-02-26, i. k. 2019-03172</w:t>
      </w:r>
    </w:p>
    <w:p w14:paraId="5540C492" w14:textId="77777777" w:rsidR="00C03136" w:rsidRPr="00C21E1E" w:rsidRDefault="00C03136" w:rsidP="00C03136">
      <w:pPr>
        <w:rPr>
          <w:color w:val="000000"/>
          <w:sz w:val="23"/>
          <w:szCs w:val="23"/>
          <w:lang w:eastAsia="lt-LT"/>
        </w:rPr>
      </w:pPr>
      <w:r w:rsidRPr="00C21E1E">
        <w:rPr>
          <w:i/>
          <w:iCs/>
          <w:color w:val="000000"/>
          <w:sz w:val="23"/>
          <w:szCs w:val="23"/>
          <w:lang w:eastAsia="lt-LT"/>
        </w:rPr>
        <w:t>Straipsnio dalies numeracijos pakeitimas:</w:t>
      </w:r>
    </w:p>
    <w:p w14:paraId="30C1FCAB" w14:textId="77777777" w:rsidR="00C03136" w:rsidRPr="00651281" w:rsidRDefault="00C03136" w:rsidP="00C03136">
      <w:pPr>
        <w:jc w:val="both"/>
        <w:rPr>
          <w:color w:val="000000"/>
          <w:sz w:val="23"/>
          <w:szCs w:val="23"/>
          <w:lang w:eastAsia="lt-LT"/>
        </w:rPr>
      </w:pPr>
      <w:r w:rsidRPr="00C21E1E">
        <w:rPr>
          <w:i/>
          <w:iCs/>
          <w:color w:val="000000"/>
          <w:sz w:val="23"/>
          <w:szCs w:val="23"/>
          <w:lang w:eastAsia="lt-LT"/>
        </w:rPr>
        <w:t>Nr. </w:t>
      </w:r>
      <w:hyperlink r:id="rId13" w:tgtFrame="_parent" w:history="1">
        <w:r w:rsidRPr="00651281">
          <w:rPr>
            <w:i/>
            <w:iCs/>
            <w:color w:val="0000FF"/>
            <w:sz w:val="23"/>
            <w:szCs w:val="23"/>
            <w:u w:val="single"/>
            <w:lang w:eastAsia="lt-LT"/>
          </w:rPr>
          <w:t>XIV-721</w:t>
        </w:r>
      </w:hyperlink>
      <w:r w:rsidRPr="00C21E1E">
        <w:rPr>
          <w:i/>
          <w:iCs/>
          <w:color w:val="000000"/>
          <w:sz w:val="23"/>
          <w:szCs w:val="23"/>
          <w:lang w:eastAsia="lt-LT"/>
        </w:rPr>
        <w:t>, 2021-12-07, paskelbta TAR 2021-12-15, i. k. 2021-25839</w:t>
      </w:r>
    </w:p>
    <w:p w14:paraId="1D06E79E" w14:textId="77777777" w:rsidR="00C03136" w:rsidRPr="00651281" w:rsidRDefault="00C03136" w:rsidP="00C03136">
      <w:pPr>
        <w:ind w:firstLine="720"/>
        <w:jc w:val="both"/>
        <w:rPr>
          <w:rFonts w:eastAsia="MS Mincho"/>
          <w:i/>
          <w:iCs/>
          <w:sz w:val="23"/>
          <w:szCs w:val="23"/>
        </w:rPr>
      </w:pPr>
      <w:r w:rsidRPr="00651281">
        <w:rPr>
          <w:sz w:val="23"/>
          <w:szCs w:val="23"/>
        </w:rPr>
        <w:t>&lt;...&gt;</w:t>
      </w:r>
    </w:p>
    <w:p w14:paraId="2CF0546B" w14:textId="77777777" w:rsidR="00C03136" w:rsidRPr="003D26B8" w:rsidRDefault="00C03136" w:rsidP="00C03136">
      <w:pPr>
        <w:shd w:val="clear" w:color="auto" w:fill="FFFFFF"/>
        <w:jc w:val="both"/>
      </w:pPr>
    </w:p>
    <w:p w14:paraId="1AE3534E" w14:textId="77777777" w:rsidR="00C03136" w:rsidRPr="00494BBA" w:rsidRDefault="00C03136" w:rsidP="00C03136">
      <w:pPr>
        <w:jc w:val="center"/>
        <w:rPr>
          <w:sz w:val="22"/>
          <w:szCs w:val="22"/>
        </w:rPr>
      </w:pPr>
      <w:r>
        <w:rPr>
          <w:sz w:val="22"/>
          <w:szCs w:val="22"/>
        </w:rPr>
        <w:t>_________</w:t>
      </w:r>
      <w:r w:rsidRPr="00494BBA">
        <w:rPr>
          <w:sz w:val="22"/>
          <w:szCs w:val="22"/>
        </w:rPr>
        <w:t>_________________________</w:t>
      </w:r>
    </w:p>
    <w:p w14:paraId="1DFFA749" w14:textId="77777777" w:rsidR="00C03136" w:rsidRDefault="00C03136" w:rsidP="00C03136">
      <w:pPr>
        <w:jc w:val="right"/>
        <w:rPr>
          <w:b/>
          <w:sz w:val="24"/>
        </w:rPr>
      </w:pPr>
    </w:p>
    <w:p w14:paraId="73C16E16" w14:textId="77777777" w:rsidR="00C03136" w:rsidRDefault="00C03136" w:rsidP="00C03136">
      <w:pPr>
        <w:jc w:val="right"/>
        <w:rPr>
          <w:b/>
          <w:sz w:val="24"/>
        </w:rPr>
      </w:pPr>
    </w:p>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24F93"/>
    <w:rsid w:val="00054E05"/>
    <w:rsid w:val="000937D8"/>
    <w:rsid w:val="000B165F"/>
    <w:rsid w:val="000B40F8"/>
    <w:rsid w:val="000D4A11"/>
    <w:rsid w:val="000D7558"/>
    <w:rsid w:val="000E223C"/>
    <w:rsid w:val="000F6452"/>
    <w:rsid w:val="00105CCB"/>
    <w:rsid w:val="001356DF"/>
    <w:rsid w:val="001711CD"/>
    <w:rsid w:val="001823E7"/>
    <w:rsid w:val="00195115"/>
    <w:rsid w:val="001B7BC9"/>
    <w:rsid w:val="001C1891"/>
    <w:rsid w:val="001F5034"/>
    <w:rsid w:val="00205DCD"/>
    <w:rsid w:val="002178D6"/>
    <w:rsid w:val="002262C4"/>
    <w:rsid w:val="00256FCC"/>
    <w:rsid w:val="00265674"/>
    <w:rsid w:val="002860A6"/>
    <w:rsid w:val="002A46BC"/>
    <w:rsid w:val="002C4D77"/>
    <w:rsid w:val="002D4B47"/>
    <w:rsid w:val="002E097A"/>
    <w:rsid w:val="002F51CF"/>
    <w:rsid w:val="00352EC5"/>
    <w:rsid w:val="00376BFD"/>
    <w:rsid w:val="003836EF"/>
    <w:rsid w:val="00394D94"/>
    <w:rsid w:val="00460B26"/>
    <w:rsid w:val="004656DE"/>
    <w:rsid w:val="004A7E92"/>
    <w:rsid w:val="004E24BA"/>
    <w:rsid w:val="004E38F6"/>
    <w:rsid w:val="004F25F8"/>
    <w:rsid w:val="00526AA2"/>
    <w:rsid w:val="005C2CB5"/>
    <w:rsid w:val="005E6F0E"/>
    <w:rsid w:val="0060257F"/>
    <w:rsid w:val="00630CED"/>
    <w:rsid w:val="00652CE1"/>
    <w:rsid w:val="00654830"/>
    <w:rsid w:val="00663140"/>
    <w:rsid w:val="00667D8E"/>
    <w:rsid w:val="00701804"/>
    <w:rsid w:val="007112F7"/>
    <w:rsid w:val="00726BFD"/>
    <w:rsid w:val="00742DC2"/>
    <w:rsid w:val="007A5DAB"/>
    <w:rsid w:val="007C0168"/>
    <w:rsid w:val="007D1ABD"/>
    <w:rsid w:val="007D38D1"/>
    <w:rsid w:val="007F5139"/>
    <w:rsid w:val="00824E3D"/>
    <w:rsid w:val="00835296"/>
    <w:rsid w:val="00846AF4"/>
    <w:rsid w:val="00867047"/>
    <w:rsid w:val="00897DDA"/>
    <w:rsid w:val="008D1CA0"/>
    <w:rsid w:val="008D691F"/>
    <w:rsid w:val="008F18F5"/>
    <w:rsid w:val="008F2222"/>
    <w:rsid w:val="00967560"/>
    <w:rsid w:val="00980D5B"/>
    <w:rsid w:val="009831C0"/>
    <w:rsid w:val="00990DC7"/>
    <w:rsid w:val="009D0224"/>
    <w:rsid w:val="009D0C5C"/>
    <w:rsid w:val="00A1726C"/>
    <w:rsid w:val="00A373F4"/>
    <w:rsid w:val="00A5148E"/>
    <w:rsid w:val="00A530E2"/>
    <w:rsid w:val="00A72DBC"/>
    <w:rsid w:val="00A94A22"/>
    <w:rsid w:val="00AA5597"/>
    <w:rsid w:val="00AB750D"/>
    <w:rsid w:val="00AC4AB1"/>
    <w:rsid w:val="00AD0031"/>
    <w:rsid w:val="00AD1AB5"/>
    <w:rsid w:val="00AE50BE"/>
    <w:rsid w:val="00AF4D05"/>
    <w:rsid w:val="00B800D2"/>
    <w:rsid w:val="00BB21D8"/>
    <w:rsid w:val="00BD08AA"/>
    <w:rsid w:val="00BE4F1B"/>
    <w:rsid w:val="00BF7F94"/>
    <w:rsid w:val="00C03136"/>
    <w:rsid w:val="00C0480C"/>
    <w:rsid w:val="00C055A4"/>
    <w:rsid w:val="00C2324B"/>
    <w:rsid w:val="00C267F5"/>
    <w:rsid w:val="00CC01EE"/>
    <w:rsid w:val="00CC4D7A"/>
    <w:rsid w:val="00D323EB"/>
    <w:rsid w:val="00D354C2"/>
    <w:rsid w:val="00DC4308"/>
    <w:rsid w:val="00DC7769"/>
    <w:rsid w:val="00DD5E64"/>
    <w:rsid w:val="00DE6F43"/>
    <w:rsid w:val="00E12A6E"/>
    <w:rsid w:val="00E16B50"/>
    <w:rsid w:val="00E25500"/>
    <w:rsid w:val="00E358FB"/>
    <w:rsid w:val="00E91C73"/>
    <w:rsid w:val="00F0672B"/>
    <w:rsid w:val="00F22F47"/>
    <w:rsid w:val="00F81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paragraph" w:styleId="prastasiniatinklio">
    <w:name w:val="Normal (Web)"/>
    <w:basedOn w:val="prastasis"/>
    <w:uiPriority w:val="99"/>
    <w:unhideWhenUsed/>
    <w:rsid w:val="00CC4D7A"/>
    <w:pPr>
      <w:spacing w:before="100" w:beforeAutospacing="1" w:after="100" w:afterAutospacing="1"/>
    </w:pPr>
    <w:rPr>
      <w:sz w:val="24"/>
      <w:szCs w:val="24"/>
      <w:lang w:eastAsia="lt-LT"/>
    </w:rPr>
  </w:style>
  <w:style w:type="paragraph" w:customStyle="1" w:styleId="Default">
    <w:name w:val="Default"/>
    <w:rsid w:val="00C031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6366">
      <w:bodyDiv w:val="1"/>
      <w:marLeft w:val="0"/>
      <w:marRight w:val="0"/>
      <w:marTop w:val="0"/>
      <w:marBottom w:val="0"/>
      <w:divBdr>
        <w:top w:val="none" w:sz="0" w:space="0" w:color="auto"/>
        <w:left w:val="none" w:sz="0" w:space="0" w:color="auto"/>
        <w:bottom w:val="none" w:sz="0" w:space="0" w:color="auto"/>
        <w:right w:val="none" w:sz="0" w:space="0" w:color="auto"/>
      </w:divBdr>
    </w:div>
    <w:div w:id="523176228">
      <w:bodyDiv w:val="1"/>
      <w:marLeft w:val="0"/>
      <w:marRight w:val="0"/>
      <w:marTop w:val="0"/>
      <w:marBottom w:val="0"/>
      <w:divBdr>
        <w:top w:val="none" w:sz="0" w:space="0" w:color="auto"/>
        <w:left w:val="none" w:sz="0" w:space="0" w:color="auto"/>
        <w:bottom w:val="none" w:sz="0" w:space="0" w:color="auto"/>
        <w:right w:val="none" w:sz="0" w:space="0" w:color="auto"/>
      </w:divBdr>
      <w:divsChild>
        <w:div w:id="1664041823">
          <w:marLeft w:val="0"/>
          <w:marRight w:val="0"/>
          <w:marTop w:val="0"/>
          <w:marBottom w:val="0"/>
          <w:divBdr>
            <w:top w:val="none" w:sz="0" w:space="0" w:color="auto"/>
            <w:left w:val="none" w:sz="0" w:space="0" w:color="auto"/>
            <w:bottom w:val="none" w:sz="0" w:space="0" w:color="auto"/>
            <w:right w:val="none" w:sz="0" w:space="0" w:color="auto"/>
          </w:divBdr>
        </w:div>
      </w:divsChild>
    </w:div>
    <w:div w:id="558441831">
      <w:bodyDiv w:val="1"/>
      <w:marLeft w:val="0"/>
      <w:marRight w:val="0"/>
      <w:marTop w:val="0"/>
      <w:marBottom w:val="0"/>
      <w:divBdr>
        <w:top w:val="none" w:sz="0" w:space="0" w:color="auto"/>
        <w:left w:val="none" w:sz="0" w:space="0" w:color="auto"/>
        <w:bottom w:val="none" w:sz="0" w:space="0" w:color="auto"/>
        <w:right w:val="none" w:sz="0" w:space="0" w:color="auto"/>
      </w:divBdr>
    </w:div>
    <w:div w:id="766849033">
      <w:bodyDiv w:val="1"/>
      <w:marLeft w:val="0"/>
      <w:marRight w:val="0"/>
      <w:marTop w:val="0"/>
      <w:marBottom w:val="0"/>
      <w:divBdr>
        <w:top w:val="none" w:sz="0" w:space="0" w:color="auto"/>
        <w:left w:val="none" w:sz="0" w:space="0" w:color="auto"/>
        <w:bottom w:val="none" w:sz="0" w:space="0" w:color="auto"/>
        <w:right w:val="none" w:sz="0" w:space="0" w:color="auto"/>
      </w:divBdr>
      <w:divsChild>
        <w:div w:id="1948848831">
          <w:marLeft w:val="0"/>
          <w:marRight w:val="0"/>
          <w:marTop w:val="0"/>
          <w:marBottom w:val="0"/>
          <w:divBdr>
            <w:top w:val="none" w:sz="0" w:space="0" w:color="auto"/>
            <w:left w:val="none" w:sz="0" w:space="0" w:color="auto"/>
            <w:bottom w:val="none" w:sz="0" w:space="0" w:color="auto"/>
            <w:right w:val="none" w:sz="0" w:space="0" w:color="auto"/>
          </w:divBdr>
        </w:div>
      </w:divsChild>
    </w:div>
    <w:div w:id="1016229016">
      <w:bodyDiv w:val="1"/>
      <w:marLeft w:val="0"/>
      <w:marRight w:val="0"/>
      <w:marTop w:val="0"/>
      <w:marBottom w:val="0"/>
      <w:divBdr>
        <w:top w:val="none" w:sz="0" w:space="0" w:color="auto"/>
        <w:left w:val="none" w:sz="0" w:space="0" w:color="auto"/>
        <w:bottom w:val="none" w:sz="0" w:space="0" w:color="auto"/>
        <w:right w:val="none" w:sz="0" w:space="0" w:color="auto"/>
      </w:divBdr>
    </w:div>
    <w:div w:id="19622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3EEE59417F13" TargetMode="External"/><Relationship Id="rId13" Type="http://schemas.openxmlformats.org/officeDocument/2006/relationships/hyperlink" Target="https://www.e-tar.lt/portal/legalAct.html?documentId=101901a05d9411eca9ac839120d251c4" TargetMode="External"/><Relationship Id="rId3" Type="http://schemas.openxmlformats.org/officeDocument/2006/relationships/styles" Target="styles.xml"/><Relationship Id="rId7" Type="http://schemas.openxmlformats.org/officeDocument/2006/relationships/hyperlink" Target="https://www.e-tar.lt/portal/legalAct.html?documentId=b8814b70041c11edb32c9f9d8ba206f8" TargetMode="External"/><Relationship Id="rId12" Type="http://schemas.openxmlformats.org/officeDocument/2006/relationships/hyperlink" Target="https://www.e-tar.lt/portal/legalAct.html?documentId=f826eda2399211e99595d005d42b86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www3.lrs.lt/cgi-bin/preps2?a=413828&amp;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cgi-bin/preps2?a=413828&amp;b=" TargetMode="External"/><Relationship Id="rId4" Type="http://schemas.openxmlformats.org/officeDocument/2006/relationships/settings" Target="settings.xml"/><Relationship Id="rId9" Type="http://schemas.openxmlformats.org/officeDocument/2006/relationships/hyperlink" Target="https://www.e-tar.lt/portal/legalAct.html?documentId=fc15cd00ced011ed9978886e85107ab2"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A70C-5178-4937-8E26-7568409C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9087</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2023-09-19T06:54:00Z</dcterms:created>
  <dcterms:modified xsi:type="dcterms:W3CDTF">2023-09-19T06:54:00Z</dcterms:modified>
</cp:coreProperties>
</file>