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336A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4FA2E87" wp14:editId="2CD7AE3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23D56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9BE56C9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61447B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31038E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289D323" w14:textId="1762035F" w:rsidR="00095A1E" w:rsidRDefault="00CA4D3B" w:rsidP="00095A1E">
      <w:pPr>
        <w:jc w:val="center"/>
      </w:pPr>
      <w:r>
        <w:rPr>
          <w:b/>
          <w:caps/>
        </w:rPr>
        <w:t>DĖL</w:t>
      </w:r>
      <w:r w:rsidR="00095A1E">
        <w:rPr>
          <w:b/>
          <w:caps/>
        </w:rPr>
        <w:t xml:space="preserve"> MATERIALINĖS PARAMOS ĮSTATYME NENUMATYTAIS ATVEJAIS TEIKIMO TVARKOS APRAŠO PATVIRTINIMO</w:t>
      </w:r>
    </w:p>
    <w:p w14:paraId="31A41687" w14:textId="77777777" w:rsidR="00CA4D3B" w:rsidRDefault="00CA4D3B" w:rsidP="00CA4D3B">
      <w:pPr>
        <w:jc w:val="center"/>
      </w:pPr>
    </w:p>
    <w:bookmarkStart w:id="1" w:name="registravimoDataIlga"/>
    <w:p w14:paraId="7F010D4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T2-342</w:t>
      </w:r>
      <w:bookmarkEnd w:id="2"/>
    </w:p>
    <w:p w14:paraId="6666A379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8E08AAD" w14:textId="77777777" w:rsidR="00CA4D3B" w:rsidRDefault="00CA4D3B" w:rsidP="00095A1E"/>
    <w:p w14:paraId="4C249D94" w14:textId="77777777" w:rsidR="00095A1E" w:rsidRDefault="00095A1E" w:rsidP="00095A1E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</w:t>
      </w:r>
      <w:r>
        <w:rPr>
          <w:color w:val="000000"/>
        </w:rPr>
        <w:t>15 straipsnio 4 dalimi ir Lietuvos Respublikos piniginės socialinės paramos nepasiturintiems gyventojams įstatymo 4 straipsnio 2 dalimi,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33BE0930" w14:textId="77777777" w:rsidR="00095A1E" w:rsidRDefault="00095A1E" w:rsidP="00095A1E">
      <w:pPr>
        <w:ind w:firstLine="709"/>
        <w:jc w:val="both"/>
      </w:pPr>
      <w:r>
        <w:t>1. Patvirtinti Materialinės paramos Įstatyme nenumatytais atvejais teikimo tvarkos aprašą</w:t>
      </w:r>
      <w:r>
        <w:rPr>
          <w:rStyle w:val="Puslapioinaosnuoroda"/>
        </w:rPr>
        <w:footnoteReference w:id="1"/>
      </w:r>
      <w:r>
        <w:t xml:space="preserve"> (toliau – Tvarkos aprašas) (pridedama).</w:t>
      </w:r>
    </w:p>
    <w:p w14:paraId="1C7348C9" w14:textId="77777777" w:rsidR="00095A1E" w:rsidRDefault="00095A1E" w:rsidP="00095A1E">
      <w:pPr>
        <w:ind w:firstLine="709"/>
        <w:jc w:val="both"/>
        <w:rPr>
          <w:bCs/>
        </w:rPr>
      </w:pPr>
      <w:r>
        <w:rPr>
          <w:bCs/>
        </w:rPr>
        <w:t>2. Nustatyti, kad:</w:t>
      </w:r>
    </w:p>
    <w:p w14:paraId="0DBC1267" w14:textId="77777777" w:rsidR="00095A1E" w:rsidRDefault="00095A1E" w:rsidP="00095A1E">
      <w:pPr>
        <w:ind w:firstLine="709"/>
        <w:jc w:val="both"/>
      </w:pPr>
      <w:bookmarkStart w:id="3" w:name="_Hlk151548196"/>
      <w:r>
        <w:t>2.1. jeigu dėl materialinės paramos buvo kreiptasi iki Tvarkos aprašo įsigaliojimo, skiriant materialinę paramą taikomos iki Tvarkos aprašo įsigaliojimo galiojusios Materialinės paramos įstatyme nenumatytais atvejais teikimo tvarkos aprašo nuostatos;</w:t>
      </w:r>
    </w:p>
    <w:p w14:paraId="031AA28F" w14:textId="77777777" w:rsidR="00095A1E" w:rsidRDefault="00095A1E" w:rsidP="00095A1E">
      <w:pPr>
        <w:ind w:firstLine="709"/>
        <w:jc w:val="both"/>
        <w:rPr>
          <w:color w:val="000000"/>
        </w:rPr>
      </w:pPr>
      <w:r>
        <w:t xml:space="preserve">2.2. jeigu dėl materialinės </w:t>
      </w:r>
      <w:r>
        <w:rPr>
          <w:color w:val="000000" w:themeColor="text1"/>
        </w:rPr>
        <w:t>paramos kreipiamasi įsigaliojus Tvarkos aprašui, skiriant materialinę paramą taikomos šiuo sprendimu patvirtinto Tvarkos aprašo nuostatos;</w:t>
      </w:r>
    </w:p>
    <w:p w14:paraId="2FDAF0B6" w14:textId="77777777" w:rsidR="00095A1E" w:rsidRDefault="00095A1E" w:rsidP="00095A1E">
      <w:pPr>
        <w:ind w:firstLine="709"/>
        <w:jc w:val="both"/>
      </w:pPr>
      <w:bookmarkStart w:id="4" w:name="_Hlk151542842"/>
      <w:bookmarkStart w:id="5" w:name="_Hlk151542027"/>
      <w:r>
        <w:t xml:space="preserve">2.3. </w:t>
      </w:r>
      <w:bookmarkStart w:id="6" w:name="_Hlk151547696"/>
      <w:r>
        <w:t xml:space="preserve">jeigu </w:t>
      </w:r>
      <w:bookmarkStart w:id="7" w:name="_Hlk151545068"/>
      <w:r>
        <w:t xml:space="preserve">dėl materialinės paramos </w:t>
      </w:r>
      <w:bookmarkEnd w:id="7"/>
      <w:r>
        <w:t>papildomai teikiamos socialinės pašalpos gavėjams, materialinės paramos pagalbos pinigais vaikus globojančioms šeimoms:</w:t>
      </w:r>
    </w:p>
    <w:p w14:paraId="7D5148C3" w14:textId="77777777" w:rsidR="00095A1E" w:rsidRDefault="00095A1E" w:rsidP="00095A1E">
      <w:pPr>
        <w:ind w:firstLine="709"/>
        <w:jc w:val="both"/>
      </w:pPr>
      <w:r>
        <w:t xml:space="preserve">2.3.1. kreipiamasi įsigaliojus Tvarkos aprašui, </w:t>
      </w:r>
      <w:r>
        <w:rPr>
          <w:lang w:eastAsia="lt-LT"/>
        </w:rPr>
        <w:t xml:space="preserve">už praėjusius mėnesius iki Tvarkos aprašo įsigaliojimo, taikomos </w:t>
      </w:r>
      <w:r>
        <w:t>iki Tvarkos aprašo įsigaliojimo galiojusios Materialinės paramos įstatyme nenumatytais atvejais teikimo tvarkos aprašo nuostatos;</w:t>
      </w:r>
    </w:p>
    <w:p w14:paraId="32615F18" w14:textId="77777777" w:rsidR="00095A1E" w:rsidRDefault="00095A1E" w:rsidP="00095A1E">
      <w:pPr>
        <w:ind w:firstLine="709"/>
        <w:jc w:val="both"/>
        <w:rPr>
          <w:sz w:val="22"/>
          <w:szCs w:val="22"/>
        </w:rPr>
      </w:pPr>
      <w:r>
        <w:t>2.3.2 kreipiamasi iki Tvarkos aprašo įsigaliojimo, skiriant materialinę paramą</w:t>
      </w:r>
      <w:r>
        <w:rPr>
          <w:lang w:eastAsia="lt-LT"/>
        </w:rPr>
        <w:t xml:space="preserve"> už praėjusius mėnesius iki Tvarkos aprašo įsigaliojimo,</w:t>
      </w:r>
      <w:r>
        <w:t xml:space="preserve"> taikomos iki Tvarkos aprašo įsigaliojimo galiojusios Materialinės paramos įstatyme nenumatytais atvejais teikimo tvarkos aprašo nuostatos;</w:t>
      </w:r>
      <w:bookmarkEnd w:id="6"/>
    </w:p>
    <w:p w14:paraId="5C89F81B" w14:textId="77777777" w:rsidR="00095A1E" w:rsidRDefault="00095A1E" w:rsidP="00095A1E">
      <w:pPr>
        <w:ind w:firstLine="709"/>
        <w:jc w:val="both"/>
      </w:pPr>
      <w:r>
        <w:t xml:space="preserve">2.4. jeigu materialinė parama papildomai teikiama socialinės pašalpos gavėjams,  materialinė parama pagalbos pinigais vaikus globojančioms šeimoms paskirta </w:t>
      </w:r>
      <w:r>
        <w:rPr>
          <w:lang w:eastAsia="lt-LT"/>
        </w:rPr>
        <w:t xml:space="preserve">iki Tvarkos aprašo įsigaliojimo, ir jos mokėjimo laikotarpis nepasibaigęs, įsigaliojus </w:t>
      </w:r>
      <w:r>
        <w:t>Tvarkos aprašui paramos dydis perskaičiuojamas pagal Tvarkos aprašo 64 ir 74 punktuose nustatytą dydį.</w:t>
      </w:r>
      <w:bookmarkEnd w:id="3"/>
      <w:bookmarkEnd w:id="4"/>
      <w:bookmarkEnd w:id="5"/>
    </w:p>
    <w:p w14:paraId="33FFFC3A" w14:textId="77777777" w:rsidR="00095A1E" w:rsidRDefault="00095A1E" w:rsidP="00095A1E">
      <w:pPr>
        <w:ind w:firstLine="709"/>
        <w:jc w:val="both"/>
      </w:pPr>
      <w:r>
        <w:t>3. Pripažinti netekusiais galios:</w:t>
      </w:r>
    </w:p>
    <w:p w14:paraId="7E7BFD6E" w14:textId="77777777" w:rsidR="00095A1E" w:rsidRDefault="00095A1E" w:rsidP="00095A1E">
      <w:pPr>
        <w:tabs>
          <w:tab w:val="left" w:pos="7938"/>
        </w:tabs>
        <w:ind w:firstLine="709"/>
        <w:jc w:val="both"/>
      </w:pPr>
      <w:r>
        <w:t xml:space="preserve">3.1. Klaipėdos miesto savivaldybės tarybos 2021 m. lapkričio 25 d. sprendimą </w:t>
      </w:r>
      <w:bookmarkStart w:id="8" w:name="n_0"/>
      <w:r>
        <w:t xml:space="preserve">Nr. T2-279 </w:t>
      </w:r>
      <w:bookmarkEnd w:id="8"/>
      <w:r>
        <w:t>„Dėl Materialinės paramos įstatyme nenumatytais atvejais teikimo tvarkos aprašo patvirtinimo“ su visais pakeitimais ir papildymais;</w:t>
      </w:r>
    </w:p>
    <w:p w14:paraId="75B66649" w14:textId="77777777" w:rsidR="00095A1E" w:rsidRDefault="00095A1E" w:rsidP="00095A1E">
      <w:pPr>
        <w:ind w:firstLine="709"/>
        <w:jc w:val="both"/>
        <w:rPr>
          <w:lang w:eastAsia="lt-LT"/>
        </w:rPr>
      </w:pPr>
      <w:r>
        <w:rPr>
          <w:lang w:eastAsia="lt-LT"/>
        </w:rPr>
        <w:t xml:space="preserve">3.2. </w:t>
      </w:r>
      <w:r>
        <w:t>Klaipėdos miesto savivaldybės tarybos 2023 m. birželio 22 d. sprendimą Nr. T2</w:t>
      </w:r>
      <w:r>
        <w:noBreakHyphen/>
        <w:t>158 „Dėl Materialinės paramos teikimo komisijos sudarymo ir Materialinės paramos teikimo komisijos nuostatų patvirtinimo“</w:t>
      </w:r>
      <w:r>
        <w:rPr>
          <w:lang w:eastAsia="lt-LT"/>
        </w:rPr>
        <w:t>.</w:t>
      </w:r>
    </w:p>
    <w:p w14:paraId="717EEC23" w14:textId="77777777" w:rsidR="00095A1E" w:rsidRDefault="00095A1E" w:rsidP="00095A1E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4. </w:t>
      </w:r>
      <w:r>
        <w:rPr>
          <w:color w:val="212529"/>
          <w:shd w:val="clear" w:color="auto" w:fill="FFFFFF"/>
        </w:rPr>
        <w:t>Nustatyti, kad šis sprendimas įsigalioja 2024 m. sausio 1 d.</w:t>
      </w:r>
    </w:p>
    <w:p w14:paraId="513C0C1A" w14:textId="0CBC0263" w:rsidR="00CA4D3B" w:rsidRPr="00095A1E" w:rsidRDefault="00095A1E" w:rsidP="00095A1E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5. Skelbti šį sprendimą Teisės aktų registre ir Klaipėdos miesto savivaldybės interneto svetainėje.</w:t>
      </w:r>
      <w:r w:rsidR="00CA4D3B">
        <w:t xml:space="preserve"> </w:t>
      </w:r>
    </w:p>
    <w:p w14:paraId="7C15C1DF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79F16DB1" w14:textId="77777777" w:rsidTr="00C56F56">
        <w:tc>
          <w:tcPr>
            <w:tcW w:w="6204" w:type="dxa"/>
          </w:tcPr>
          <w:p w14:paraId="69BB824B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98261DE" w14:textId="54497F35" w:rsidR="004476DD" w:rsidRDefault="00095A1E" w:rsidP="004476DD">
            <w:pPr>
              <w:jc w:val="right"/>
            </w:pPr>
            <w:r>
              <w:t>Arvydas Vaitkus</w:t>
            </w:r>
          </w:p>
        </w:tc>
      </w:tr>
    </w:tbl>
    <w:p w14:paraId="3E0A1CA8" w14:textId="77777777" w:rsidR="00E014C1" w:rsidRDefault="00E014C1" w:rsidP="00095A1E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EA710" w14:textId="77777777" w:rsidR="00F51622" w:rsidRDefault="00F51622" w:rsidP="00E014C1">
      <w:r>
        <w:separator/>
      </w:r>
    </w:p>
  </w:endnote>
  <w:endnote w:type="continuationSeparator" w:id="0">
    <w:p w14:paraId="75CBDA65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2234E" w14:textId="77777777" w:rsidR="00F51622" w:rsidRDefault="00F51622" w:rsidP="00E014C1">
      <w:r>
        <w:separator/>
      </w:r>
    </w:p>
  </w:footnote>
  <w:footnote w:type="continuationSeparator" w:id="0">
    <w:p w14:paraId="2DFEC45B" w14:textId="77777777" w:rsidR="00F51622" w:rsidRDefault="00F51622" w:rsidP="00E014C1">
      <w:r>
        <w:continuationSeparator/>
      </w:r>
    </w:p>
  </w:footnote>
  <w:footnote w:id="1">
    <w:p w14:paraId="096C6C31" w14:textId="77777777" w:rsidR="00095A1E" w:rsidRDefault="00095A1E" w:rsidP="00095A1E">
      <w:pPr>
        <w:pStyle w:val="Puslapioinaostekstas"/>
      </w:pPr>
      <w:r>
        <w:rPr>
          <w:rStyle w:val="FootnoteCharacters"/>
        </w:rPr>
        <w:footnoteRef/>
      </w:r>
      <w:r w:rsidRPr="00095A1E">
        <w:rPr>
          <w:rFonts w:ascii="Times New Roman" w:hAnsi="Times New Roman" w:cs="Times New Roman"/>
        </w:rPr>
        <w:t>Sąvokų „Materialinė parama“ ir „Įstatymas“ santrumpos paaiškinamos apraše.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151AAF2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517DE2D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95A1E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77A53"/>
    <w:rsid w:val="00C56F56"/>
    <w:rsid w:val="00CA4D3B"/>
    <w:rsid w:val="00CF7ACF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6168"/>
  <w15:docId w15:val="{D2185838-8431-4AB5-AFBE-1C80011E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qFormat/>
    <w:rsid w:val="00095A1E"/>
  </w:style>
  <w:style w:type="character" w:customStyle="1" w:styleId="FootnoteCharacters">
    <w:name w:val="Footnote Characters"/>
    <w:basedOn w:val="Numatytasispastraiposriftas"/>
    <w:uiPriority w:val="99"/>
    <w:semiHidden/>
    <w:unhideWhenUsed/>
    <w:qFormat/>
    <w:rsid w:val="00095A1E"/>
    <w:rPr>
      <w:vertAlign w:val="superscript"/>
    </w:rPr>
  </w:style>
  <w:style w:type="character" w:styleId="Puslapioinaosnuoroda">
    <w:name w:val="footnote reference"/>
    <w:rsid w:val="00095A1E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95A1E"/>
    <w:pPr>
      <w:suppressAutoHyphens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uslapioinaostekstasDiagrama1">
    <w:name w:val="Puslapio išnašos tekstas Diagrama1"/>
    <w:basedOn w:val="Numatytasispastraiposriftas"/>
    <w:uiPriority w:val="99"/>
    <w:semiHidden/>
    <w:rsid w:val="00095A1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1721</Words>
  <Characters>981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2023-12-27T06:47:00Z</dcterms:created>
  <dcterms:modified xsi:type="dcterms:W3CDTF">2023-12-27T06:47:00Z</dcterms:modified>
</cp:coreProperties>
</file>