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38B6" w14:textId="3E0485FB" w:rsidR="000527B5" w:rsidRPr="00396A3C" w:rsidRDefault="00136E89" w:rsidP="00396A3C">
      <w:pPr>
        <w:jc w:val="center"/>
        <w:rPr>
          <w:b/>
          <w:bCs/>
          <w:sz w:val="28"/>
          <w:szCs w:val="28"/>
        </w:rPr>
      </w:pPr>
      <w:r w:rsidRPr="00396A3C">
        <w:rPr>
          <w:b/>
          <w:bCs/>
          <w:sz w:val="28"/>
          <w:szCs w:val="28"/>
        </w:rPr>
        <w:t>Skundų dėl triukšmo nagrinėjimo tvarka Nacionaliniame visuomenės sveikatos centre prie Sveikatos apsaugos ministerijos</w:t>
      </w:r>
    </w:p>
    <w:p w14:paraId="53A4A5B2" w14:textId="77777777" w:rsidR="00136E89" w:rsidRDefault="00136E89"/>
    <w:p w14:paraId="7784F20E" w14:textId="0CBE8A67" w:rsidR="00136E89" w:rsidRDefault="00136E89" w:rsidP="00057FEB">
      <w:pPr>
        <w:tabs>
          <w:tab w:val="num" w:pos="720"/>
        </w:tabs>
        <w:ind w:firstLine="680"/>
        <w:jc w:val="both"/>
      </w:pPr>
      <w:r>
        <w:rPr>
          <w:b/>
          <w:bCs/>
        </w:rPr>
        <w:t xml:space="preserve">1. </w:t>
      </w:r>
      <w:r w:rsidRPr="00136E89">
        <w:rPr>
          <w:b/>
          <w:bCs/>
        </w:rPr>
        <w:t xml:space="preserve">Lietuvos Respublikos visuomenės sveikatos priežiūros įstatymo </w:t>
      </w:r>
      <w:r w:rsidRPr="00136E89">
        <w:t>15 straipsnio 2 dalyje nurodyta, kad N</w:t>
      </w:r>
      <w:r w:rsidR="00F47FC0">
        <w:t xml:space="preserve">acionalinis visuomenės sveikatos centras prie Sveikatos apsaugos ministerijos (toliau – NVSC) </w:t>
      </w:r>
      <w:r w:rsidRPr="00136E89">
        <w:t>pagal asmenų prašymus, pranešimus, skundus vykdo visuomenės sveikatos saugos reglamentų (higienos normų), kurių kontrolė nėra pavesta kitiems viešojo administravimo subjektams, laikymosi kontrolę (valstybinę visuomenės sveikatos saugos kontrolę) pagal sveikatos apsaugos ministro nustatytą kontroliuojamų sričių sąrašą</w:t>
      </w:r>
      <w:r>
        <w:t xml:space="preserve">, kuris </w:t>
      </w:r>
      <w:r w:rsidRPr="00136E89">
        <w:t>patvirtintas Lietuvos Respublikos sveikatos apsaugos ministro 2008 m. gruodžio 4 d. įsakymu Nr. V-1179</w:t>
      </w:r>
      <w:r>
        <w:t xml:space="preserve">. Šiuo atveju skundai nagrinėjami </w:t>
      </w:r>
      <w:r w:rsidRPr="00136E89">
        <w:rPr>
          <w:b/>
          <w:bCs/>
        </w:rPr>
        <w:t>dėl ūkinės komercinės veiklos</w:t>
      </w:r>
      <w:r>
        <w:t xml:space="preserve"> keliamo triukšmo.</w:t>
      </w:r>
    </w:p>
    <w:p w14:paraId="5F0C5AD5" w14:textId="18EC5BF8" w:rsidR="00136E89" w:rsidRPr="00136E89" w:rsidRDefault="00136E89" w:rsidP="00057FEB">
      <w:pPr>
        <w:ind w:firstLine="680"/>
        <w:jc w:val="both"/>
        <w:rPr>
          <w:rFonts w:cs="Times New Roman"/>
          <w:szCs w:val="24"/>
        </w:rPr>
      </w:pPr>
      <w:r>
        <w:t xml:space="preserve">2. </w:t>
      </w:r>
      <w:r w:rsidRPr="00136E89">
        <w:t xml:space="preserve">NVSC pagal asmenų prašymus, skundus vykdo neplaninę valstybinę triukšmo kontrolę </w:t>
      </w:r>
      <w:r w:rsidRPr="00136E89">
        <w:rPr>
          <w:b/>
          <w:bCs/>
        </w:rPr>
        <w:t>dėl triukšmo šaltinio, kurio valdytoju yra ne ūkio subjektas</w:t>
      </w:r>
      <w:r w:rsidRPr="00136E89">
        <w:t>, skleidžiamo triukšmo</w:t>
      </w:r>
      <w:r>
        <w:t xml:space="preserve">. Lietuvos triukšmo valdymo įstatymo </w:t>
      </w:r>
      <w:r w:rsidRPr="00136E89">
        <w:t xml:space="preserve">14 straipsnio 3 dalyje nurodyta, kad triukšmo šaltinių valdytojai privalo laikytis nustatytų triukšmo ribinių dydžių ir užtikrinti, kad naudojamų </w:t>
      </w:r>
      <w:r w:rsidRPr="00136E89">
        <w:rPr>
          <w:b/>
          <w:bCs/>
        </w:rPr>
        <w:t>įrenginių, inžinerinių statinių ir sistemų, vykdomos ūkinės veiklos</w:t>
      </w:r>
      <w:r w:rsidRPr="00136E89">
        <w:t xml:space="preserve"> ir jos lemiamo triukšmo lygis neviršytų vietovei, kurioje </w:t>
      </w:r>
      <w:r w:rsidRPr="00136E89">
        <w:rPr>
          <w:rFonts w:cs="Times New Roman"/>
          <w:szCs w:val="24"/>
        </w:rPr>
        <w:t>naudojami triukšmo šaltiniai, nustatytų triukšmo ribinių dydžių.</w:t>
      </w:r>
    </w:p>
    <w:p w14:paraId="5FA9697A" w14:textId="3EBBE990" w:rsidR="00136E89" w:rsidRPr="00136E89" w:rsidRDefault="00136E89" w:rsidP="00057FEB">
      <w:pPr>
        <w:ind w:firstLine="680"/>
        <w:jc w:val="both"/>
        <w:rPr>
          <w:rFonts w:cs="Times New Roman"/>
          <w:szCs w:val="24"/>
        </w:rPr>
      </w:pPr>
      <w:r w:rsidRPr="00136E89">
        <w:rPr>
          <w:rFonts w:cs="Times New Roman"/>
          <w:szCs w:val="24"/>
        </w:rPr>
        <w:t>3. Pagrindiniai teisės aktai:</w:t>
      </w:r>
    </w:p>
    <w:p w14:paraId="7938E6E1" w14:textId="559B5473" w:rsidR="00396A3C" w:rsidRPr="00396A3C" w:rsidRDefault="00136E89" w:rsidP="00057FEB">
      <w:pPr>
        <w:tabs>
          <w:tab w:val="right" w:leader="underscore" w:pos="9072"/>
        </w:tabs>
        <w:ind w:firstLine="680"/>
        <w:jc w:val="both"/>
      </w:pPr>
      <w:r w:rsidRPr="00136E89">
        <w:rPr>
          <w:rFonts w:cs="Times New Roman"/>
          <w:szCs w:val="24"/>
        </w:rPr>
        <w:t xml:space="preserve">- </w:t>
      </w:r>
      <w:r w:rsidRPr="00F47FC0">
        <w:rPr>
          <w:rFonts w:cs="Times New Roman"/>
          <w:b/>
          <w:bCs/>
          <w:szCs w:val="24"/>
        </w:rPr>
        <w:t>Lietuvos higienos norma HN 33:2011</w:t>
      </w:r>
      <w:r w:rsidRPr="00136E89">
        <w:rPr>
          <w:rFonts w:cs="Times New Roman"/>
          <w:szCs w:val="24"/>
        </w:rPr>
        <w:t xml:space="preserve"> „Triukšmo ribiniai dydžiai gyvenamuosiuose ir visuomeninės paskirties pastatuose bei jų aplinkoje“, patvirtinta Lietuvos Respublikos sveikatos apsaugos ministro 2011 m. birželio 13 d. įsakymu Nr. V-604 „Dėl Lietuvos higienos normos HN 33:2011 „Triukšmo ribiniai dydžiai gyvenamuosiuose ir visuomeninės paskirties pastatuose bei jų aplinkoje“ patvirtinimo“. </w:t>
      </w:r>
      <w:r w:rsidR="00396A3C">
        <w:rPr>
          <w:rFonts w:cs="Times New Roman"/>
          <w:szCs w:val="24"/>
        </w:rPr>
        <w:t xml:space="preserve">Ši higienos norma </w:t>
      </w:r>
      <w:r w:rsidR="00396A3C" w:rsidRPr="00396A3C">
        <w:rPr>
          <w:b/>
          <w:bCs/>
        </w:rPr>
        <w:t>netaikoma</w:t>
      </w:r>
      <w:r w:rsidR="00396A3C" w:rsidRPr="00396A3C">
        <w:t xml:space="preserve"> paties fizinio, juridinio asmens ar filialo keliamo ir jį veikiančio triukšmo, žmonių bei gyvūnų keliamo triukšmo, triukšmo darbo vietose ir transporto priemonių viduje esančio triukšmo, buitinių įrenginių (prietaisų) keliamo triukšmo vertinimo atvejais</w:t>
      </w:r>
    </w:p>
    <w:p w14:paraId="6BEE15A2" w14:textId="77777777" w:rsidR="00396A3C" w:rsidRPr="00396A3C" w:rsidRDefault="00136E89" w:rsidP="00057FEB">
      <w:pPr>
        <w:pStyle w:val="Puslapioinaostekstas"/>
        <w:ind w:firstLine="680"/>
        <w:jc w:val="both"/>
        <w:rPr>
          <w:sz w:val="24"/>
          <w:szCs w:val="24"/>
        </w:rPr>
      </w:pPr>
      <w:r w:rsidRPr="00396A3C">
        <w:rPr>
          <w:sz w:val="24"/>
          <w:szCs w:val="24"/>
        </w:rPr>
        <w:t xml:space="preserve">- </w:t>
      </w:r>
      <w:r w:rsidRPr="00136E89">
        <w:rPr>
          <w:rFonts w:eastAsiaTheme="minorEastAsia"/>
          <w:b/>
          <w:bCs/>
          <w:sz w:val="24"/>
          <w:szCs w:val="24"/>
        </w:rPr>
        <w:t>Lietuvos higienos norma HN 30:2018</w:t>
      </w:r>
      <w:r w:rsidRPr="00136E89">
        <w:rPr>
          <w:rFonts w:eastAsiaTheme="minorEastAsia"/>
          <w:sz w:val="24"/>
          <w:szCs w:val="24"/>
        </w:rPr>
        <w:t xml:space="preserve"> „Infragarsas ir </w:t>
      </w:r>
      <w:proofErr w:type="spellStart"/>
      <w:r w:rsidRPr="00136E89">
        <w:rPr>
          <w:rFonts w:eastAsiaTheme="minorEastAsia"/>
          <w:sz w:val="24"/>
          <w:szCs w:val="24"/>
        </w:rPr>
        <w:t>žemadažnis</w:t>
      </w:r>
      <w:proofErr w:type="spellEnd"/>
      <w:r w:rsidRPr="00136E89">
        <w:rPr>
          <w:rFonts w:eastAsiaTheme="minorEastAsia"/>
          <w:sz w:val="24"/>
          <w:szCs w:val="24"/>
        </w:rPr>
        <w:t xml:space="preserve"> garsas: ribiniai dydžiai gyvenamosiose, specialiosiose ir visuomeninėse patalpose“</w:t>
      </w:r>
      <w:r w:rsidR="00396A3C" w:rsidRPr="00396A3C">
        <w:rPr>
          <w:sz w:val="24"/>
          <w:szCs w:val="24"/>
        </w:rPr>
        <w:t xml:space="preserve">, patvirtinta Lietuvos Respublikos sveikatos apsaugos ministro 2009 m. kovo 13 d. Nr. V-190 „Dėl Lietuvos higienos normos HN 30:2018 „Infragarsas ir </w:t>
      </w:r>
      <w:proofErr w:type="spellStart"/>
      <w:r w:rsidR="00396A3C" w:rsidRPr="00396A3C">
        <w:rPr>
          <w:sz w:val="24"/>
          <w:szCs w:val="24"/>
        </w:rPr>
        <w:t>žemadažnis</w:t>
      </w:r>
      <w:proofErr w:type="spellEnd"/>
      <w:r w:rsidR="00396A3C" w:rsidRPr="00396A3C">
        <w:rPr>
          <w:sz w:val="24"/>
          <w:szCs w:val="24"/>
        </w:rPr>
        <w:t xml:space="preserve"> garsas: ribiniai dydžiai gyvenamosiose, specialiosiose ir visuomeninėse patalpose“ patvirtinimo“.</w:t>
      </w:r>
    </w:p>
    <w:p w14:paraId="0552E34F" w14:textId="3219512D" w:rsidR="00396A3C" w:rsidRPr="00396A3C" w:rsidRDefault="00396A3C" w:rsidP="00057FEB">
      <w:pPr>
        <w:pStyle w:val="Puslapioinaostekstas"/>
        <w:ind w:firstLine="680"/>
        <w:jc w:val="both"/>
        <w:rPr>
          <w:bCs/>
          <w:sz w:val="24"/>
          <w:szCs w:val="24"/>
        </w:rPr>
      </w:pPr>
      <w:r w:rsidRPr="00396A3C">
        <w:rPr>
          <w:sz w:val="24"/>
          <w:szCs w:val="24"/>
        </w:rPr>
        <w:t>4. Operatyviosios valstybinės visuomenės sveikatos saugos kontrolės vykdymo tvarka reglamentuota</w:t>
      </w:r>
      <w:r w:rsidRPr="00396A3C">
        <w:rPr>
          <w:bCs/>
          <w:sz w:val="24"/>
          <w:szCs w:val="24"/>
        </w:rPr>
        <w:t xml:space="preserve"> </w:t>
      </w:r>
      <w:r w:rsidRPr="00F47FC0">
        <w:rPr>
          <w:b/>
          <w:sz w:val="24"/>
          <w:szCs w:val="24"/>
        </w:rPr>
        <w:t>Tiesioginės valstybinės visuomenės sveikatos saugos kontrolės reglament</w:t>
      </w:r>
      <w:r w:rsidR="00F47FC0">
        <w:rPr>
          <w:b/>
          <w:sz w:val="24"/>
          <w:szCs w:val="24"/>
        </w:rPr>
        <w:t>e</w:t>
      </w:r>
      <w:r w:rsidRPr="00396A3C">
        <w:rPr>
          <w:bCs/>
          <w:sz w:val="24"/>
          <w:szCs w:val="24"/>
        </w:rPr>
        <w:t>, patvirtinta</w:t>
      </w:r>
      <w:r w:rsidR="00F47FC0">
        <w:rPr>
          <w:bCs/>
          <w:sz w:val="24"/>
          <w:szCs w:val="24"/>
        </w:rPr>
        <w:t>me</w:t>
      </w:r>
      <w:r w:rsidRPr="00396A3C">
        <w:rPr>
          <w:bCs/>
          <w:sz w:val="24"/>
          <w:szCs w:val="24"/>
        </w:rPr>
        <w:t xml:space="preserve"> Lietuvos Respublikos sveikatos apsaugos ministro 2010 m. spalio 28 d. įsakymu Nr. V-946 „Dėl tiesioginės valstybinės visuomenės sveikatos saugos kontrolės reglamento patvirtinimo“:</w:t>
      </w:r>
    </w:p>
    <w:p w14:paraId="55D50400" w14:textId="16D1FE93" w:rsidR="00396A3C" w:rsidRPr="00396A3C" w:rsidRDefault="00396A3C" w:rsidP="00057FEB">
      <w:pPr>
        <w:pStyle w:val="Puslapioinaostekstas"/>
        <w:ind w:firstLine="680"/>
        <w:jc w:val="both"/>
        <w:rPr>
          <w:bCs/>
          <w:sz w:val="24"/>
          <w:szCs w:val="24"/>
        </w:rPr>
      </w:pPr>
      <w:r w:rsidRPr="00396A3C">
        <w:rPr>
          <w:bCs/>
          <w:sz w:val="24"/>
          <w:szCs w:val="24"/>
        </w:rPr>
        <w:t xml:space="preserve">- 44 punkte nurodyta, kad, jeigu operatyviosios kontrolės metu yra reikalinga atlikti laboratorinius matavimus (tyrimus), </w:t>
      </w:r>
      <w:r w:rsidRPr="00396A3C">
        <w:rPr>
          <w:b/>
          <w:sz w:val="24"/>
          <w:szCs w:val="24"/>
        </w:rPr>
        <w:t>jie privalo būti atliekami su pareiškėju iš anksto suderintu laiku</w:t>
      </w:r>
      <w:r>
        <w:rPr>
          <w:b/>
          <w:sz w:val="24"/>
          <w:szCs w:val="24"/>
        </w:rPr>
        <w:t>;</w:t>
      </w:r>
    </w:p>
    <w:p w14:paraId="68075927" w14:textId="112012B7" w:rsidR="00396A3C" w:rsidRPr="00396A3C" w:rsidRDefault="00396A3C" w:rsidP="00057FEB">
      <w:pPr>
        <w:pStyle w:val="Puslapioinaostekstas"/>
        <w:ind w:firstLine="680"/>
        <w:jc w:val="both"/>
        <w:rPr>
          <w:bCs/>
          <w:sz w:val="24"/>
          <w:szCs w:val="24"/>
        </w:rPr>
      </w:pPr>
      <w:r w:rsidRPr="00396A3C">
        <w:rPr>
          <w:bCs/>
          <w:sz w:val="24"/>
          <w:szCs w:val="24"/>
        </w:rPr>
        <w:t xml:space="preserve">- 58 punkte nurodyta, kad Matavimo (-ų) užsakymas Nacionalinei visuomenės sveikatos priežiūros laboratorijai turi būti pateikiamas </w:t>
      </w:r>
      <w:r w:rsidRPr="00396A3C">
        <w:rPr>
          <w:b/>
          <w:sz w:val="24"/>
          <w:szCs w:val="24"/>
        </w:rPr>
        <w:t>likus ne mažiau kaip 3 darbo dienoms</w:t>
      </w:r>
      <w:r w:rsidRPr="00396A3C">
        <w:rPr>
          <w:bCs/>
          <w:sz w:val="24"/>
          <w:szCs w:val="24"/>
          <w:u w:val="single"/>
        </w:rPr>
        <w:t xml:space="preserve"> </w:t>
      </w:r>
      <w:r w:rsidRPr="00396A3C">
        <w:rPr>
          <w:bCs/>
          <w:sz w:val="24"/>
          <w:szCs w:val="24"/>
        </w:rPr>
        <w:t>iki kontrolės vykdymo dienos</w:t>
      </w:r>
      <w:r>
        <w:rPr>
          <w:bCs/>
          <w:sz w:val="24"/>
          <w:szCs w:val="24"/>
        </w:rPr>
        <w:t>.</w:t>
      </w:r>
      <w:r w:rsidRPr="00396A3C">
        <w:rPr>
          <w:bCs/>
          <w:sz w:val="24"/>
          <w:szCs w:val="24"/>
        </w:rPr>
        <w:t xml:space="preserve"> </w:t>
      </w:r>
    </w:p>
    <w:p w14:paraId="5EEA71D7" w14:textId="7CF40F3F" w:rsidR="00396A3C" w:rsidRPr="00396A3C" w:rsidRDefault="00396A3C" w:rsidP="00057FEB">
      <w:pPr>
        <w:pStyle w:val="Puslapioinaostekstas"/>
        <w:ind w:firstLine="680"/>
        <w:jc w:val="both"/>
        <w:rPr>
          <w:sz w:val="24"/>
          <w:szCs w:val="24"/>
        </w:rPr>
      </w:pPr>
    </w:p>
    <w:p w14:paraId="2EFA190F" w14:textId="36127A4E" w:rsidR="00136E89" w:rsidRDefault="00F47FC0" w:rsidP="00057FEB">
      <w:pPr>
        <w:ind w:firstLine="680"/>
        <w:jc w:val="both"/>
        <w:rPr>
          <w:rFonts w:cs="Times New Roman"/>
          <w:szCs w:val="24"/>
        </w:rPr>
      </w:pPr>
      <w:r>
        <w:rPr>
          <w:rFonts w:cs="Times New Roman"/>
          <w:szCs w:val="24"/>
        </w:rPr>
        <w:t>5. Skundus NVSC galima pateikti:</w:t>
      </w:r>
    </w:p>
    <w:p w14:paraId="36A6324E" w14:textId="0ABC06DF" w:rsidR="00F47FC0" w:rsidRPr="00F47FC0" w:rsidRDefault="00F47FC0" w:rsidP="00057FEB">
      <w:pPr>
        <w:ind w:firstLine="680"/>
        <w:jc w:val="both"/>
        <w:rPr>
          <w:b/>
          <w:bCs/>
          <w:szCs w:val="24"/>
        </w:rPr>
      </w:pPr>
      <w:r>
        <w:rPr>
          <w:szCs w:val="24"/>
        </w:rPr>
        <w:t xml:space="preserve">- </w:t>
      </w:r>
      <w:r w:rsidRPr="00546D61">
        <w:rPr>
          <w:szCs w:val="24"/>
        </w:rPr>
        <w:t>atvykus į NVSC adresu: Kalvarijų g. 153, Vilnius arba į atitinkamą NVSC departamentą pagal apskritį, pateikus asmens tapatybę patvirtinantį dokumentą (asmens tapatybės kortelę arba pasą) ir užpildžius prašymą</w:t>
      </w:r>
      <w:r>
        <w:rPr>
          <w:szCs w:val="24"/>
        </w:rPr>
        <w:t xml:space="preserve">. </w:t>
      </w:r>
      <w:r w:rsidRPr="00F47FC0">
        <w:rPr>
          <w:b/>
          <w:bCs/>
          <w:szCs w:val="24"/>
        </w:rPr>
        <w:t>Klaipėdoje –</w:t>
      </w:r>
      <w:r>
        <w:rPr>
          <w:b/>
          <w:bCs/>
          <w:szCs w:val="24"/>
        </w:rPr>
        <w:t xml:space="preserve"> atvykus adresu: </w:t>
      </w:r>
      <w:r w:rsidRPr="00F47FC0">
        <w:rPr>
          <w:b/>
          <w:bCs/>
          <w:szCs w:val="24"/>
        </w:rPr>
        <w:t xml:space="preserve">Liepų g. 17, Klaipėda, 101 kab. </w:t>
      </w:r>
    </w:p>
    <w:p w14:paraId="20E4B214" w14:textId="63F88850" w:rsidR="00F47FC0" w:rsidRPr="00546D61" w:rsidRDefault="00F47FC0" w:rsidP="00057FEB">
      <w:pPr>
        <w:ind w:firstLine="680"/>
        <w:jc w:val="both"/>
        <w:rPr>
          <w:szCs w:val="24"/>
        </w:rPr>
      </w:pPr>
      <w:r>
        <w:rPr>
          <w:szCs w:val="24"/>
        </w:rPr>
        <w:t>- s</w:t>
      </w:r>
      <w:r w:rsidRPr="008B5379">
        <w:rPr>
          <w:szCs w:val="24"/>
        </w:rPr>
        <w:t xml:space="preserve">iunčiant pasirašytą prašymą </w:t>
      </w:r>
      <w:r w:rsidRPr="00546D61">
        <w:rPr>
          <w:szCs w:val="24"/>
        </w:rPr>
        <w:t>paštu arba per kurjerį NVSC adresu: Kalvarijų g. 153, Vilnius arba į atitinkamą NVSC departamentą pagal apskritį</w:t>
      </w:r>
      <w:r>
        <w:rPr>
          <w:szCs w:val="24"/>
        </w:rPr>
        <w:t xml:space="preserve">. </w:t>
      </w:r>
      <w:r w:rsidRPr="00F47FC0">
        <w:rPr>
          <w:b/>
          <w:bCs/>
          <w:szCs w:val="24"/>
        </w:rPr>
        <w:t xml:space="preserve">Klaipėdoje – </w:t>
      </w:r>
      <w:r>
        <w:rPr>
          <w:b/>
          <w:bCs/>
          <w:szCs w:val="24"/>
        </w:rPr>
        <w:t xml:space="preserve">adresu: </w:t>
      </w:r>
      <w:r w:rsidRPr="00F47FC0">
        <w:rPr>
          <w:b/>
          <w:bCs/>
          <w:szCs w:val="24"/>
        </w:rPr>
        <w:t>Liepų g. 17, Klaipėda, 101 kab.</w:t>
      </w:r>
    </w:p>
    <w:p w14:paraId="009077A5" w14:textId="3D5B0DCD" w:rsidR="00F47FC0" w:rsidRPr="00546D61" w:rsidRDefault="00F47FC0" w:rsidP="00057FEB">
      <w:pPr>
        <w:ind w:firstLine="680"/>
        <w:jc w:val="both"/>
        <w:rPr>
          <w:szCs w:val="24"/>
        </w:rPr>
      </w:pPr>
      <w:r>
        <w:rPr>
          <w:szCs w:val="24"/>
        </w:rPr>
        <w:t xml:space="preserve">- </w:t>
      </w:r>
      <w:r w:rsidRPr="00546D61">
        <w:rPr>
          <w:szCs w:val="24"/>
        </w:rPr>
        <w:t>per nacionalinę elektroninių siuntų pristatymo naudojant pašto tinklą informacinę sistemą (E. pristatymo), kurioje bus patvirtinta asmens tapatybė.</w:t>
      </w:r>
    </w:p>
    <w:p w14:paraId="414AA844" w14:textId="3E89B26C" w:rsidR="00F47FC0" w:rsidRPr="00F47FC0" w:rsidRDefault="00F47FC0" w:rsidP="00057FEB">
      <w:pPr>
        <w:ind w:firstLine="680"/>
        <w:jc w:val="both"/>
        <w:rPr>
          <w:b/>
          <w:bCs/>
          <w:szCs w:val="24"/>
          <w:lang w:val="en-US"/>
        </w:rPr>
      </w:pPr>
      <w:r>
        <w:rPr>
          <w:szCs w:val="24"/>
        </w:rPr>
        <w:lastRenderedPageBreak/>
        <w:t xml:space="preserve">- </w:t>
      </w:r>
      <w:r w:rsidRPr="00546D61">
        <w:rPr>
          <w:szCs w:val="24"/>
        </w:rPr>
        <w:t xml:space="preserve">atsiuntus prašymą NVSC el. paštu </w:t>
      </w:r>
      <w:hyperlink r:id="rId6" w:history="1">
        <w:r w:rsidRPr="008377DB">
          <w:rPr>
            <w:rStyle w:val="Hipersaitas"/>
            <w:rFonts w:eastAsiaTheme="majorEastAsia"/>
            <w:szCs w:val="24"/>
          </w:rPr>
          <w:t>info@nvsc.lt</w:t>
        </w:r>
      </w:hyperlink>
      <w:r w:rsidRPr="00546D61">
        <w:rPr>
          <w:szCs w:val="24"/>
        </w:rPr>
        <w:t>. Teikiant prašymą el</w:t>
      </w:r>
      <w:r>
        <w:rPr>
          <w:szCs w:val="24"/>
        </w:rPr>
        <w:t>.</w:t>
      </w:r>
      <w:r w:rsidRPr="00546D61">
        <w:rPr>
          <w:szCs w:val="24"/>
        </w:rPr>
        <w:t xml:space="preserve"> paštu, </w:t>
      </w:r>
      <w:r w:rsidRPr="005F1211">
        <w:rPr>
          <w:szCs w:val="24"/>
        </w:rPr>
        <w:t>prašymas turi būti pasirašytas kvalifikuotu elektroniniu parašu, atitinkančiu Reglamente (ES) 910/2014 nustatytus reikalavimus, arba suformuotas tokiu būdu, kuris leidžia prašymą teikiantį asmenį identifikuoti arba patikrinti prašymo autentiškumą</w:t>
      </w:r>
      <w:r>
        <w:rPr>
          <w:szCs w:val="24"/>
        </w:rPr>
        <w:t xml:space="preserve">. </w:t>
      </w:r>
      <w:r w:rsidRPr="00F47FC0">
        <w:rPr>
          <w:b/>
          <w:bCs/>
          <w:szCs w:val="24"/>
        </w:rPr>
        <w:t xml:space="preserve">Klaipėdoje – el. p. </w:t>
      </w:r>
      <w:proofErr w:type="spellStart"/>
      <w:r w:rsidRPr="00F47FC0">
        <w:rPr>
          <w:b/>
          <w:bCs/>
          <w:szCs w:val="24"/>
        </w:rPr>
        <w:t>klaipeda</w:t>
      </w:r>
      <w:proofErr w:type="spellEnd"/>
      <w:r w:rsidRPr="00F47FC0">
        <w:rPr>
          <w:b/>
          <w:bCs/>
          <w:szCs w:val="24"/>
          <w:lang w:val="en-US"/>
        </w:rPr>
        <w:t>@nvsc.lt</w:t>
      </w:r>
    </w:p>
    <w:p w14:paraId="682622CD" w14:textId="21BC39BF" w:rsidR="00F47FC0" w:rsidRDefault="00F47FC0" w:rsidP="00057FEB">
      <w:pPr>
        <w:ind w:firstLine="680"/>
        <w:jc w:val="both"/>
        <w:rPr>
          <w:szCs w:val="24"/>
        </w:rPr>
      </w:pPr>
      <w:r>
        <w:rPr>
          <w:szCs w:val="24"/>
        </w:rPr>
        <w:t xml:space="preserve">- </w:t>
      </w:r>
      <w:r w:rsidRPr="005F1211">
        <w:rPr>
          <w:szCs w:val="24"/>
        </w:rPr>
        <w:t xml:space="preserve">per administracinių ir viešųjų elektroninių paslaugų portalą – Elektroninius valdžios vartus </w:t>
      </w:r>
      <w:proofErr w:type="spellStart"/>
      <w:r w:rsidRPr="005F1211">
        <w:rPr>
          <w:szCs w:val="24"/>
        </w:rPr>
        <w:t>epaslaugos.lt</w:t>
      </w:r>
      <w:proofErr w:type="spellEnd"/>
      <w:r w:rsidRPr="005F1211">
        <w:rPr>
          <w:szCs w:val="24"/>
        </w:rPr>
        <w:t>, kurioje bus patvirtinta asmens tapatybė</w:t>
      </w:r>
      <w:r>
        <w:rPr>
          <w:szCs w:val="24"/>
        </w:rPr>
        <w:t>;</w:t>
      </w:r>
    </w:p>
    <w:p w14:paraId="1A2E21ED" w14:textId="0B8DEEB1" w:rsidR="00F47FC0" w:rsidRPr="005F1211" w:rsidRDefault="00F47FC0" w:rsidP="00057FEB">
      <w:pPr>
        <w:ind w:firstLine="680"/>
        <w:jc w:val="both"/>
        <w:rPr>
          <w:szCs w:val="24"/>
        </w:rPr>
      </w:pPr>
      <w:r>
        <w:rPr>
          <w:szCs w:val="24"/>
        </w:rPr>
        <w:t xml:space="preserve">- NVSC tinklapyje adresu </w:t>
      </w:r>
      <w:r w:rsidRPr="00F47FC0">
        <w:rPr>
          <w:szCs w:val="24"/>
        </w:rPr>
        <w:t>https://nvsc.lrv.lt/lt/praneskite-mums/</w:t>
      </w:r>
    </w:p>
    <w:p w14:paraId="7AA8BEA1" w14:textId="77777777" w:rsidR="00F47FC0" w:rsidRPr="00396A3C" w:rsidRDefault="00F47FC0" w:rsidP="00057FEB">
      <w:pPr>
        <w:ind w:firstLine="680"/>
        <w:jc w:val="both"/>
        <w:rPr>
          <w:rFonts w:cs="Times New Roman"/>
          <w:szCs w:val="24"/>
        </w:rPr>
      </w:pPr>
    </w:p>
    <w:sectPr w:rsidR="00F47FC0" w:rsidRPr="00396A3C" w:rsidSect="00020C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69"/>
    <w:multiLevelType w:val="hybridMultilevel"/>
    <w:tmpl w:val="C1E058C8"/>
    <w:lvl w:ilvl="0" w:tplc="89B43736">
      <w:start w:val="1"/>
      <w:numFmt w:val="bullet"/>
      <w:lvlText w:val="•"/>
      <w:lvlJc w:val="left"/>
      <w:pPr>
        <w:tabs>
          <w:tab w:val="num" w:pos="720"/>
        </w:tabs>
        <w:ind w:left="720" w:hanging="360"/>
      </w:pPr>
      <w:rPr>
        <w:rFonts w:ascii="Arial" w:hAnsi="Arial" w:hint="default"/>
      </w:rPr>
    </w:lvl>
    <w:lvl w:ilvl="1" w:tplc="8C52B942" w:tentative="1">
      <w:start w:val="1"/>
      <w:numFmt w:val="bullet"/>
      <w:lvlText w:val="•"/>
      <w:lvlJc w:val="left"/>
      <w:pPr>
        <w:tabs>
          <w:tab w:val="num" w:pos="1440"/>
        </w:tabs>
        <w:ind w:left="1440" w:hanging="360"/>
      </w:pPr>
      <w:rPr>
        <w:rFonts w:ascii="Arial" w:hAnsi="Arial" w:hint="default"/>
      </w:rPr>
    </w:lvl>
    <w:lvl w:ilvl="2" w:tplc="86B2D33E" w:tentative="1">
      <w:start w:val="1"/>
      <w:numFmt w:val="bullet"/>
      <w:lvlText w:val="•"/>
      <w:lvlJc w:val="left"/>
      <w:pPr>
        <w:tabs>
          <w:tab w:val="num" w:pos="2160"/>
        </w:tabs>
        <w:ind w:left="2160" w:hanging="360"/>
      </w:pPr>
      <w:rPr>
        <w:rFonts w:ascii="Arial" w:hAnsi="Arial" w:hint="default"/>
      </w:rPr>
    </w:lvl>
    <w:lvl w:ilvl="3" w:tplc="AE649F0E" w:tentative="1">
      <w:start w:val="1"/>
      <w:numFmt w:val="bullet"/>
      <w:lvlText w:val="•"/>
      <w:lvlJc w:val="left"/>
      <w:pPr>
        <w:tabs>
          <w:tab w:val="num" w:pos="2880"/>
        </w:tabs>
        <w:ind w:left="2880" w:hanging="360"/>
      </w:pPr>
      <w:rPr>
        <w:rFonts w:ascii="Arial" w:hAnsi="Arial" w:hint="default"/>
      </w:rPr>
    </w:lvl>
    <w:lvl w:ilvl="4" w:tplc="4906CEEC" w:tentative="1">
      <w:start w:val="1"/>
      <w:numFmt w:val="bullet"/>
      <w:lvlText w:val="•"/>
      <w:lvlJc w:val="left"/>
      <w:pPr>
        <w:tabs>
          <w:tab w:val="num" w:pos="3600"/>
        </w:tabs>
        <w:ind w:left="3600" w:hanging="360"/>
      </w:pPr>
      <w:rPr>
        <w:rFonts w:ascii="Arial" w:hAnsi="Arial" w:hint="default"/>
      </w:rPr>
    </w:lvl>
    <w:lvl w:ilvl="5" w:tplc="CF7A0C76" w:tentative="1">
      <w:start w:val="1"/>
      <w:numFmt w:val="bullet"/>
      <w:lvlText w:val="•"/>
      <w:lvlJc w:val="left"/>
      <w:pPr>
        <w:tabs>
          <w:tab w:val="num" w:pos="4320"/>
        </w:tabs>
        <w:ind w:left="4320" w:hanging="360"/>
      </w:pPr>
      <w:rPr>
        <w:rFonts w:ascii="Arial" w:hAnsi="Arial" w:hint="default"/>
      </w:rPr>
    </w:lvl>
    <w:lvl w:ilvl="6" w:tplc="70341C88" w:tentative="1">
      <w:start w:val="1"/>
      <w:numFmt w:val="bullet"/>
      <w:lvlText w:val="•"/>
      <w:lvlJc w:val="left"/>
      <w:pPr>
        <w:tabs>
          <w:tab w:val="num" w:pos="5040"/>
        </w:tabs>
        <w:ind w:left="5040" w:hanging="360"/>
      </w:pPr>
      <w:rPr>
        <w:rFonts w:ascii="Arial" w:hAnsi="Arial" w:hint="default"/>
      </w:rPr>
    </w:lvl>
    <w:lvl w:ilvl="7" w:tplc="02E0A6D2" w:tentative="1">
      <w:start w:val="1"/>
      <w:numFmt w:val="bullet"/>
      <w:lvlText w:val="•"/>
      <w:lvlJc w:val="left"/>
      <w:pPr>
        <w:tabs>
          <w:tab w:val="num" w:pos="5760"/>
        </w:tabs>
        <w:ind w:left="5760" w:hanging="360"/>
      </w:pPr>
      <w:rPr>
        <w:rFonts w:ascii="Arial" w:hAnsi="Arial" w:hint="default"/>
      </w:rPr>
    </w:lvl>
    <w:lvl w:ilvl="8" w:tplc="472A9C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9B58B3"/>
    <w:multiLevelType w:val="hybridMultilevel"/>
    <w:tmpl w:val="19E01186"/>
    <w:lvl w:ilvl="0" w:tplc="AEDEFCBA">
      <w:start w:val="1"/>
      <w:numFmt w:val="bullet"/>
      <w:lvlText w:val="•"/>
      <w:lvlJc w:val="left"/>
      <w:pPr>
        <w:tabs>
          <w:tab w:val="num" w:pos="720"/>
        </w:tabs>
        <w:ind w:left="720" w:hanging="360"/>
      </w:pPr>
      <w:rPr>
        <w:rFonts w:ascii="Arial" w:hAnsi="Arial" w:hint="default"/>
      </w:rPr>
    </w:lvl>
    <w:lvl w:ilvl="1" w:tplc="FAB6A8C4" w:tentative="1">
      <w:start w:val="1"/>
      <w:numFmt w:val="bullet"/>
      <w:lvlText w:val="•"/>
      <w:lvlJc w:val="left"/>
      <w:pPr>
        <w:tabs>
          <w:tab w:val="num" w:pos="1440"/>
        </w:tabs>
        <w:ind w:left="1440" w:hanging="360"/>
      </w:pPr>
      <w:rPr>
        <w:rFonts w:ascii="Arial" w:hAnsi="Arial" w:hint="default"/>
      </w:rPr>
    </w:lvl>
    <w:lvl w:ilvl="2" w:tplc="094AB088" w:tentative="1">
      <w:start w:val="1"/>
      <w:numFmt w:val="bullet"/>
      <w:lvlText w:val="•"/>
      <w:lvlJc w:val="left"/>
      <w:pPr>
        <w:tabs>
          <w:tab w:val="num" w:pos="2160"/>
        </w:tabs>
        <w:ind w:left="2160" w:hanging="360"/>
      </w:pPr>
      <w:rPr>
        <w:rFonts w:ascii="Arial" w:hAnsi="Arial" w:hint="default"/>
      </w:rPr>
    </w:lvl>
    <w:lvl w:ilvl="3" w:tplc="E4F8A6C8" w:tentative="1">
      <w:start w:val="1"/>
      <w:numFmt w:val="bullet"/>
      <w:lvlText w:val="•"/>
      <w:lvlJc w:val="left"/>
      <w:pPr>
        <w:tabs>
          <w:tab w:val="num" w:pos="2880"/>
        </w:tabs>
        <w:ind w:left="2880" w:hanging="360"/>
      </w:pPr>
      <w:rPr>
        <w:rFonts w:ascii="Arial" w:hAnsi="Arial" w:hint="default"/>
      </w:rPr>
    </w:lvl>
    <w:lvl w:ilvl="4" w:tplc="B2B2079A" w:tentative="1">
      <w:start w:val="1"/>
      <w:numFmt w:val="bullet"/>
      <w:lvlText w:val="•"/>
      <w:lvlJc w:val="left"/>
      <w:pPr>
        <w:tabs>
          <w:tab w:val="num" w:pos="3600"/>
        </w:tabs>
        <w:ind w:left="3600" w:hanging="360"/>
      </w:pPr>
      <w:rPr>
        <w:rFonts w:ascii="Arial" w:hAnsi="Arial" w:hint="default"/>
      </w:rPr>
    </w:lvl>
    <w:lvl w:ilvl="5" w:tplc="DB04E70A" w:tentative="1">
      <w:start w:val="1"/>
      <w:numFmt w:val="bullet"/>
      <w:lvlText w:val="•"/>
      <w:lvlJc w:val="left"/>
      <w:pPr>
        <w:tabs>
          <w:tab w:val="num" w:pos="4320"/>
        </w:tabs>
        <w:ind w:left="4320" w:hanging="360"/>
      </w:pPr>
      <w:rPr>
        <w:rFonts w:ascii="Arial" w:hAnsi="Arial" w:hint="default"/>
      </w:rPr>
    </w:lvl>
    <w:lvl w:ilvl="6" w:tplc="F79489F6" w:tentative="1">
      <w:start w:val="1"/>
      <w:numFmt w:val="bullet"/>
      <w:lvlText w:val="•"/>
      <w:lvlJc w:val="left"/>
      <w:pPr>
        <w:tabs>
          <w:tab w:val="num" w:pos="5040"/>
        </w:tabs>
        <w:ind w:left="5040" w:hanging="360"/>
      </w:pPr>
      <w:rPr>
        <w:rFonts w:ascii="Arial" w:hAnsi="Arial" w:hint="default"/>
      </w:rPr>
    </w:lvl>
    <w:lvl w:ilvl="7" w:tplc="2842BECC" w:tentative="1">
      <w:start w:val="1"/>
      <w:numFmt w:val="bullet"/>
      <w:lvlText w:val="•"/>
      <w:lvlJc w:val="left"/>
      <w:pPr>
        <w:tabs>
          <w:tab w:val="num" w:pos="5760"/>
        </w:tabs>
        <w:ind w:left="5760" w:hanging="360"/>
      </w:pPr>
      <w:rPr>
        <w:rFonts w:ascii="Arial" w:hAnsi="Arial" w:hint="default"/>
      </w:rPr>
    </w:lvl>
    <w:lvl w:ilvl="8" w:tplc="37D0B1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FB6620"/>
    <w:multiLevelType w:val="hybridMultilevel"/>
    <w:tmpl w:val="6C9C3F8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682184"/>
    <w:multiLevelType w:val="hybridMultilevel"/>
    <w:tmpl w:val="E482F708"/>
    <w:lvl w:ilvl="0" w:tplc="B9F806A0">
      <w:start w:val="1"/>
      <w:numFmt w:val="bullet"/>
      <w:lvlText w:val="•"/>
      <w:lvlJc w:val="left"/>
      <w:pPr>
        <w:tabs>
          <w:tab w:val="num" w:pos="720"/>
        </w:tabs>
        <w:ind w:left="720" w:hanging="360"/>
      </w:pPr>
      <w:rPr>
        <w:rFonts w:ascii="Arial" w:hAnsi="Arial" w:hint="default"/>
      </w:rPr>
    </w:lvl>
    <w:lvl w:ilvl="1" w:tplc="6478BEF4" w:tentative="1">
      <w:start w:val="1"/>
      <w:numFmt w:val="bullet"/>
      <w:lvlText w:val="•"/>
      <w:lvlJc w:val="left"/>
      <w:pPr>
        <w:tabs>
          <w:tab w:val="num" w:pos="1440"/>
        </w:tabs>
        <w:ind w:left="1440" w:hanging="360"/>
      </w:pPr>
      <w:rPr>
        <w:rFonts w:ascii="Arial" w:hAnsi="Arial" w:hint="default"/>
      </w:rPr>
    </w:lvl>
    <w:lvl w:ilvl="2" w:tplc="10387346" w:tentative="1">
      <w:start w:val="1"/>
      <w:numFmt w:val="bullet"/>
      <w:lvlText w:val="•"/>
      <w:lvlJc w:val="left"/>
      <w:pPr>
        <w:tabs>
          <w:tab w:val="num" w:pos="2160"/>
        </w:tabs>
        <w:ind w:left="2160" w:hanging="360"/>
      </w:pPr>
      <w:rPr>
        <w:rFonts w:ascii="Arial" w:hAnsi="Arial" w:hint="default"/>
      </w:rPr>
    </w:lvl>
    <w:lvl w:ilvl="3" w:tplc="C6AE8F8A" w:tentative="1">
      <w:start w:val="1"/>
      <w:numFmt w:val="bullet"/>
      <w:lvlText w:val="•"/>
      <w:lvlJc w:val="left"/>
      <w:pPr>
        <w:tabs>
          <w:tab w:val="num" w:pos="2880"/>
        </w:tabs>
        <w:ind w:left="2880" w:hanging="360"/>
      </w:pPr>
      <w:rPr>
        <w:rFonts w:ascii="Arial" w:hAnsi="Arial" w:hint="default"/>
      </w:rPr>
    </w:lvl>
    <w:lvl w:ilvl="4" w:tplc="2BC207E6" w:tentative="1">
      <w:start w:val="1"/>
      <w:numFmt w:val="bullet"/>
      <w:lvlText w:val="•"/>
      <w:lvlJc w:val="left"/>
      <w:pPr>
        <w:tabs>
          <w:tab w:val="num" w:pos="3600"/>
        </w:tabs>
        <w:ind w:left="3600" w:hanging="360"/>
      </w:pPr>
      <w:rPr>
        <w:rFonts w:ascii="Arial" w:hAnsi="Arial" w:hint="default"/>
      </w:rPr>
    </w:lvl>
    <w:lvl w:ilvl="5" w:tplc="794835CE" w:tentative="1">
      <w:start w:val="1"/>
      <w:numFmt w:val="bullet"/>
      <w:lvlText w:val="•"/>
      <w:lvlJc w:val="left"/>
      <w:pPr>
        <w:tabs>
          <w:tab w:val="num" w:pos="4320"/>
        </w:tabs>
        <w:ind w:left="4320" w:hanging="360"/>
      </w:pPr>
      <w:rPr>
        <w:rFonts w:ascii="Arial" w:hAnsi="Arial" w:hint="default"/>
      </w:rPr>
    </w:lvl>
    <w:lvl w:ilvl="6" w:tplc="A0EC30B4" w:tentative="1">
      <w:start w:val="1"/>
      <w:numFmt w:val="bullet"/>
      <w:lvlText w:val="•"/>
      <w:lvlJc w:val="left"/>
      <w:pPr>
        <w:tabs>
          <w:tab w:val="num" w:pos="5040"/>
        </w:tabs>
        <w:ind w:left="5040" w:hanging="360"/>
      </w:pPr>
      <w:rPr>
        <w:rFonts w:ascii="Arial" w:hAnsi="Arial" w:hint="default"/>
      </w:rPr>
    </w:lvl>
    <w:lvl w:ilvl="7" w:tplc="D5409D3A" w:tentative="1">
      <w:start w:val="1"/>
      <w:numFmt w:val="bullet"/>
      <w:lvlText w:val="•"/>
      <w:lvlJc w:val="left"/>
      <w:pPr>
        <w:tabs>
          <w:tab w:val="num" w:pos="5760"/>
        </w:tabs>
        <w:ind w:left="5760" w:hanging="360"/>
      </w:pPr>
      <w:rPr>
        <w:rFonts w:ascii="Arial" w:hAnsi="Arial" w:hint="default"/>
      </w:rPr>
    </w:lvl>
    <w:lvl w:ilvl="8" w:tplc="5382F92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89"/>
    <w:rsid w:val="00020CF5"/>
    <w:rsid w:val="000527B5"/>
    <w:rsid w:val="00057FEB"/>
    <w:rsid w:val="00136E89"/>
    <w:rsid w:val="00396A3C"/>
    <w:rsid w:val="00712899"/>
    <w:rsid w:val="0077492B"/>
    <w:rsid w:val="00F4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96F6"/>
  <w15:chartTrackingRefBased/>
  <w15:docId w15:val="{A3C9420A-A732-4EC1-928A-E3930CA1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6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6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6E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6E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6E8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36E8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6E8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36E8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6E8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6E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6E8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6E8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6E8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36E8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6E8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36E8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6E8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36E8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6E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6E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6E8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6E8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36E89"/>
    <w:rPr>
      <w:i/>
      <w:iCs/>
      <w:color w:val="404040" w:themeColor="text1" w:themeTint="BF"/>
    </w:rPr>
  </w:style>
  <w:style w:type="paragraph" w:styleId="Sraopastraipa">
    <w:name w:val="List Paragraph"/>
    <w:basedOn w:val="prastasis"/>
    <w:uiPriority w:val="34"/>
    <w:qFormat/>
    <w:rsid w:val="00136E89"/>
    <w:pPr>
      <w:ind w:left="720"/>
      <w:contextualSpacing/>
    </w:pPr>
  </w:style>
  <w:style w:type="character" w:styleId="Rykuspabraukimas">
    <w:name w:val="Intense Emphasis"/>
    <w:basedOn w:val="Numatytasispastraiposriftas"/>
    <w:uiPriority w:val="21"/>
    <w:qFormat/>
    <w:rsid w:val="00136E89"/>
    <w:rPr>
      <w:i/>
      <w:iCs/>
      <w:color w:val="2F5496" w:themeColor="accent1" w:themeShade="BF"/>
    </w:rPr>
  </w:style>
  <w:style w:type="paragraph" w:styleId="Iskirtacitata">
    <w:name w:val="Intense Quote"/>
    <w:basedOn w:val="prastasis"/>
    <w:next w:val="prastasis"/>
    <w:link w:val="IskirtacitataDiagrama"/>
    <w:uiPriority w:val="30"/>
    <w:qFormat/>
    <w:rsid w:val="00136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6E89"/>
    <w:rPr>
      <w:i/>
      <w:iCs/>
      <w:color w:val="2F5496" w:themeColor="accent1" w:themeShade="BF"/>
    </w:rPr>
  </w:style>
  <w:style w:type="character" w:styleId="Rykinuoroda">
    <w:name w:val="Intense Reference"/>
    <w:basedOn w:val="Numatytasispastraiposriftas"/>
    <w:uiPriority w:val="32"/>
    <w:qFormat/>
    <w:rsid w:val="00136E89"/>
    <w:rPr>
      <w:b/>
      <w:bCs/>
      <w:smallCaps/>
      <w:color w:val="2F5496" w:themeColor="accent1" w:themeShade="BF"/>
      <w:spacing w:val="5"/>
    </w:rPr>
  </w:style>
  <w:style w:type="paragraph" w:styleId="prastasiniatinklio">
    <w:name w:val="Normal (Web)"/>
    <w:basedOn w:val="prastasis"/>
    <w:uiPriority w:val="99"/>
    <w:semiHidden/>
    <w:unhideWhenUsed/>
    <w:rsid w:val="00396A3C"/>
    <w:pPr>
      <w:spacing w:before="100" w:beforeAutospacing="1" w:after="100" w:afterAutospacing="1"/>
    </w:pPr>
    <w:rPr>
      <w:rFonts w:eastAsia="Times New Roman" w:cs="Times New Roman"/>
      <w:kern w:val="0"/>
      <w:szCs w:val="24"/>
      <w:lang w:eastAsia="lt-LT"/>
      <w14:ligatures w14:val="none"/>
    </w:rPr>
  </w:style>
  <w:style w:type="paragraph" w:styleId="Puslapioinaostekstas">
    <w:name w:val="footnote text"/>
    <w:basedOn w:val="prastasis"/>
    <w:link w:val="PuslapioinaostekstasDiagrama"/>
    <w:uiPriority w:val="99"/>
    <w:unhideWhenUsed/>
    <w:rsid w:val="00396A3C"/>
    <w:rPr>
      <w:rFonts w:eastAsia="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396A3C"/>
    <w:rPr>
      <w:rFonts w:eastAsia="Times New Roman" w:cs="Times New Roman"/>
      <w:kern w:val="0"/>
      <w:sz w:val="20"/>
      <w:szCs w:val="20"/>
      <w14:ligatures w14:val="none"/>
    </w:rPr>
  </w:style>
  <w:style w:type="character" w:styleId="Hipersaitas">
    <w:name w:val="Hyperlink"/>
    <w:rsid w:val="00F47FC0"/>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nvs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677A-3E4A-4403-8E9B-9BAA7A58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2868</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Šlepetienė</dc:creator>
  <cp:keywords/>
  <dc:description/>
  <cp:lastModifiedBy>Jurgita Drąsutytė</cp:lastModifiedBy>
  <cp:revision>2</cp:revision>
  <dcterms:created xsi:type="dcterms:W3CDTF">2025-10-09T14:25:00Z</dcterms:created>
  <dcterms:modified xsi:type="dcterms:W3CDTF">2025-10-09T14:25:00Z</dcterms:modified>
</cp:coreProperties>
</file>