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5369F7" w:rsidTr="0006079E">
        <w:tc>
          <w:tcPr>
            <w:tcW w:w="3209" w:type="dxa"/>
          </w:tcPr>
          <w:p w:rsidR="0006079E" w:rsidRPr="005369F7" w:rsidRDefault="0006079E" w:rsidP="00311BCD">
            <w:pPr>
              <w:tabs>
                <w:tab w:val="left" w:pos="5070"/>
                <w:tab w:val="left" w:pos="5366"/>
                <w:tab w:val="left" w:pos="6771"/>
                <w:tab w:val="left" w:pos="7363"/>
              </w:tabs>
              <w:jc w:val="both"/>
            </w:pPr>
            <w:r w:rsidRPr="005369F7">
              <w:t>PATVIRTINTA</w:t>
            </w:r>
          </w:p>
        </w:tc>
      </w:tr>
      <w:tr w:rsidR="0006079E" w:rsidRPr="005369F7" w:rsidTr="0006079E">
        <w:tc>
          <w:tcPr>
            <w:tcW w:w="3209" w:type="dxa"/>
          </w:tcPr>
          <w:p w:rsidR="0006079E" w:rsidRPr="005369F7" w:rsidRDefault="0006079E" w:rsidP="00311BCD">
            <w:r w:rsidRPr="005369F7">
              <w:t>Klaipėdos miesto savivaldybės</w:t>
            </w:r>
          </w:p>
        </w:tc>
      </w:tr>
      <w:tr w:rsidR="0006079E" w:rsidRPr="005369F7" w:rsidTr="0006079E">
        <w:tc>
          <w:tcPr>
            <w:tcW w:w="3209" w:type="dxa"/>
          </w:tcPr>
          <w:p w:rsidR="0006079E" w:rsidRPr="005369F7" w:rsidRDefault="005F3AC2" w:rsidP="005F3AC2">
            <w:r>
              <w:t>t</w:t>
            </w:r>
            <w:bookmarkStart w:id="0" w:name="_GoBack"/>
            <w:bookmarkEnd w:id="0"/>
            <w:r w:rsidR="0006079E" w:rsidRPr="005369F7">
              <w:t>arybos</w:t>
            </w:r>
            <w:r>
              <w:t xml:space="preserve"> </w:t>
            </w:r>
            <w:r w:rsidR="0006079E" w:rsidRPr="005369F7">
              <w:t xml:space="preserve"> </w:t>
            </w:r>
            <w:r>
              <w:t xml:space="preserve">2014 m. sausio 30 d. </w:t>
            </w:r>
          </w:p>
        </w:tc>
      </w:tr>
      <w:tr w:rsidR="0006079E" w:rsidRPr="005369F7" w:rsidTr="0006079E">
        <w:tc>
          <w:tcPr>
            <w:tcW w:w="3209" w:type="dxa"/>
          </w:tcPr>
          <w:p w:rsidR="0006079E" w:rsidRPr="005369F7" w:rsidRDefault="0006079E" w:rsidP="00311BCD">
            <w:pPr>
              <w:tabs>
                <w:tab w:val="left" w:pos="5070"/>
                <w:tab w:val="left" w:pos="5366"/>
                <w:tab w:val="left" w:pos="6771"/>
                <w:tab w:val="left" w:pos="7363"/>
              </w:tabs>
            </w:pPr>
            <w:r w:rsidRPr="005369F7">
              <w:t xml:space="preserve">sprendimu Nr. </w:t>
            </w:r>
            <w:bookmarkStart w:id="1" w:name="dokumentoNr"/>
            <w:r w:rsidRPr="005369F7">
              <w:rPr>
                <w:noProof/>
              </w:rPr>
              <w:fldChar w:fldCharType="begin">
                <w:ffData>
                  <w:name w:val="dokumentoNr"/>
                  <w:enabled/>
                  <w:calcOnExit w:val="0"/>
                  <w:textInput>
                    <w:maxLength w:val="1"/>
                  </w:textInput>
                </w:ffData>
              </w:fldChar>
            </w:r>
            <w:r w:rsidRPr="005369F7">
              <w:rPr>
                <w:noProof/>
              </w:rPr>
              <w:instrText xml:space="preserve"> FORMTEXT </w:instrText>
            </w:r>
            <w:r w:rsidRPr="005369F7">
              <w:rPr>
                <w:noProof/>
              </w:rPr>
            </w:r>
            <w:r w:rsidRPr="005369F7">
              <w:rPr>
                <w:noProof/>
              </w:rPr>
              <w:fldChar w:fldCharType="separate"/>
            </w:r>
            <w:r w:rsidRPr="005369F7">
              <w:rPr>
                <w:noProof/>
              </w:rPr>
              <w:t>T2-16</w:t>
            </w:r>
            <w:r w:rsidRPr="005369F7">
              <w:rPr>
                <w:noProof/>
              </w:rPr>
              <w:fldChar w:fldCharType="end"/>
            </w:r>
            <w:bookmarkEnd w:id="1"/>
          </w:p>
        </w:tc>
      </w:tr>
    </w:tbl>
    <w:p w:rsidR="00BE70A7" w:rsidRPr="005369F7" w:rsidRDefault="00BE70A7" w:rsidP="00311BCD">
      <w:pPr>
        <w:jc w:val="center"/>
        <w:rPr>
          <w:sz w:val="28"/>
          <w:szCs w:val="28"/>
        </w:rPr>
      </w:pPr>
    </w:p>
    <w:p w:rsidR="00BE70A7" w:rsidRPr="005369F7" w:rsidRDefault="00BE70A7" w:rsidP="00311BCD">
      <w:pPr>
        <w:jc w:val="center"/>
        <w:rPr>
          <w:b/>
          <w:noProof/>
        </w:rPr>
      </w:pPr>
    </w:p>
    <w:p w:rsidR="00BE70A7" w:rsidRPr="005369F7" w:rsidRDefault="00BE70A7" w:rsidP="00311BCD">
      <w:pPr>
        <w:jc w:val="center"/>
        <w:rPr>
          <w:b/>
          <w:noProof/>
        </w:rPr>
      </w:pPr>
      <w:r w:rsidRPr="005369F7">
        <w:rPr>
          <w:b/>
          <w:noProof/>
        </w:rPr>
        <w:t xml:space="preserve">KLAIPĖDOS MIESTO SAVIVALDYBĖS </w:t>
      </w:r>
    </w:p>
    <w:p w:rsidR="00BE70A7" w:rsidRPr="005369F7" w:rsidRDefault="00BE70A7" w:rsidP="00311BCD">
      <w:pPr>
        <w:jc w:val="center"/>
        <w:rPr>
          <w:b/>
          <w:bCs/>
        </w:rPr>
      </w:pPr>
      <w:r w:rsidRPr="005369F7">
        <w:rPr>
          <w:b/>
          <w:bCs/>
        </w:rPr>
        <w:t>2014–2016 METŲ STRATEGINIS VEIKLOS PLANAS</w:t>
      </w:r>
    </w:p>
    <w:p w:rsidR="00BE70A7" w:rsidRPr="005369F7" w:rsidRDefault="00BE70A7" w:rsidP="00311BCD">
      <w:pPr>
        <w:jc w:val="center"/>
        <w:rPr>
          <w:b/>
          <w:color w:val="000000"/>
        </w:rPr>
      </w:pPr>
    </w:p>
    <w:p w:rsidR="00BE70A7" w:rsidRPr="005369F7" w:rsidRDefault="00BE70A7" w:rsidP="00311BCD">
      <w:pPr>
        <w:jc w:val="center"/>
        <w:rPr>
          <w:b/>
        </w:rPr>
      </w:pPr>
      <w:r w:rsidRPr="005369F7">
        <w:rPr>
          <w:b/>
          <w:color w:val="000000"/>
        </w:rPr>
        <w:t>VEIKLOS KONTEKSTAS</w:t>
      </w:r>
    </w:p>
    <w:p w:rsidR="00BE70A7" w:rsidRPr="005369F7" w:rsidRDefault="00BE70A7" w:rsidP="00311BCD">
      <w:pPr>
        <w:jc w:val="both"/>
        <w:rPr>
          <w:b/>
          <w:bCs/>
          <w:color w:val="0070C0"/>
        </w:rPr>
      </w:pPr>
    </w:p>
    <w:p w:rsidR="00BE70A7" w:rsidRPr="005369F7" w:rsidRDefault="00BE70A7" w:rsidP="00311BCD">
      <w:pPr>
        <w:ind w:firstLine="720"/>
        <w:jc w:val="both"/>
      </w:pPr>
      <w:r w:rsidRPr="005369F7">
        <w:rPr>
          <w:bCs/>
        </w:rPr>
        <w:t xml:space="preserve">Klaipėdos miesto savivaldybės, kaip institucijos, misija – </w:t>
      </w:r>
      <w:r w:rsidRPr="005369F7">
        <w:t>t</w:t>
      </w:r>
      <w:r w:rsidRPr="005369F7">
        <w:rPr>
          <w:bCs/>
        </w:rPr>
        <w:t xml:space="preserve">eikti miesto bendruomenei kokybiškas paslaugas, </w:t>
      </w:r>
      <w:r w:rsidRPr="005369F7">
        <w:t xml:space="preserve">atitinkančias </w:t>
      </w:r>
      <w:r w:rsidRPr="005369F7">
        <w:rPr>
          <w:bCs/>
        </w:rPr>
        <w:t xml:space="preserve">suinteresuotų šalių </w:t>
      </w:r>
      <w:r w:rsidRPr="005369F7">
        <w:t>išreikštus poreikius bei lūkesčius.</w:t>
      </w:r>
    </w:p>
    <w:p w:rsidR="00BE70A7" w:rsidRPr="005369F7" w:rsidRDefault="00BE70A7" w:rsidP="00311BCD">
      <w:pPr>
        <w:ind w:firstLine="720"/>
        <w:jc w:val="both"/>
      </w:pPr>
      <w:r w:rsidRPr="005369F7">
        <w:t>Klaipėdos miesto savivaldybės 2014–2016 m. strateginis veiklos planas  parengtas remiantis Klaipėdos miesto savivaldybės 2013</w:t>
      </w:r>
      <w:r w:rsidR="0033743F" w:rsidRPr="005369F7">
        <w:t>–</w:t>
      </w:r>
      <w:r w:rsidRPr="005369F7">
        <w:t xml:space="preserve">2020 metų strateginiu plėtros planu, patvirtintu Klaipėdos miesto savivaldybės tarybos 2013 m. balandžio 26 d. sprendimu Nr. T2-79. Taip pat vadovautasi kitais strateginio planavimo dokumentais, tarp kurių svarbu paminėti Klaipėdos miesto savivaldybės tarybos </w:t>
      </w:r>
      <w:smartTag w:uri="schemas-tilde-lv/tildestengine" w:element="metric2">
        <w:smartTagPr>
          <w:attr w:name="metric_value" w:val="2011"/>
          <w:attr w:name="metric_text" w:val="m"/>
        </w:smartTagPr>
        <w:r w:rsidRPr="005369F7">
          <w:t>2011 m</w:t>
        </w:r>
      </w:smartTag>
      <w:r w:rsidRPr="005369F7">
        <w:t xml:space="preserve">. lapkričio 24 d. sprendimu Nr. T2-350 patvirtintus </w:t>
      </w:r>
      <w:r w:rsidRPr="005369F7">
        <w:rPr>
          <w:color w:val="000000"/>
        </w:rPr>
        <w:t>Klaipėdos miesto savivaldybės 2012–2015 metų veiklos prioritetus, kuriais remiantis buvo formuojama savivaldybės veiklos strategija ir finan</w:t>
      </w:r>
      <w:r w:rsidR="00A6146F" w:rsidRPr="005369F7">
        <w:rPr>
          <w:color w:val="000000"/>
        </w:rPr>
        <w:t>savimo paskirstymas programoms.</w:t>
      </w:r>
    </w:p>
    <w:p w:rsidR="00BE70A7" w:rsidRPr="005369F7" w:rsidRDefault="00BE70A7" w:rsidP="00311BCD">
      <w:pPr>
        <w:pStyle w:val="Betarp1"/>
        <w:jc w:val="both"/>
        <w:rPr>
          <w:rFonts w:ascii="Times New Roman" w:hAnsi="Times New Roman" w:cs="Times New Roman"/>
          <w:sz w:val="24"/>
          <w:szCs w:val="24"/>
          <w:lang w:val="lt-LT"/>
        </w:rPr>
      </w:pPr>
    </w:p>
    <w:p w:rsidR="00BE70A7" w:rsidRPr="005369F7" w:rsidRDefault="00BE70A7" w:rsidP="006E1070">
      <w:pPr>
        <w:jc w:val="center"/>
        <w:rPr>
          <w:b/>
          <w:color w:val="FF0000"/>
        </w:rPr>
      </w:pPr>
      <w:r w:rsidRPr="005369F7">
        <w:rPr>
          <w:b/>
        </w:rPr>
        <w:t>Veiklos prioritetai 2014–2016 metais</w:t>
      </w:r>
    </w:p>
    <w:p w:rsidR="00BE70A7" w:rsidRPr="005369F7" w:rsidRDefault="00BE70A7" w:rsidP="00311BCD">
      <w:pPr>
        <w:ind w:firstLine="426"/>
        <w:jc w:val="center"/>
        <w:rPr>
          <w:b/>
        </w:rPr>
      </w:pPr>
    </w:p>
    <w:p w:rsidR="00BE70A7" w:rsidRPr="005369F7" w:rsidRDefault="00BE70A7" w:rsidP="004B6F3D">
      <w:pPr>
        <w:pStyle w:val="prastasistinklapis"/>
        <w:spacing w:after="0" w:line="240" w:lineRule="auto"/>
        <w:ind w:left="0" w:firstLine="709"/>
        <w:rPr>
          <w:rFonts w:ascii="Times New Roman" w:hAnsi="Times New Roman" w:cs="Times New Roman"/>
          <w:b/>
          <w:lang w:val="lt-LT"/>
        </w:rPr>
      </w:pPr>
      <w:r w:rsidRPr="005369F7">
        <w:rPr>
          <w:rFonts w:ascii="Times New Roman" w:hAnsi="Times New Roman" w:cs="Times New Roman"/>
          <w:b/>
          <w:lang w:val="lt-LT"/>
        </w:rPr>
        <w:t>1. Skaidrus ir efektyvus valdymas:</w:t>
      </w:r>
    </w:p>
    <w:p w:rsidR="00BE70A7" w:rsidRPr="005369F7" w:rsidRDefault="00BE70A7" w:rsidP="004B6F3D">
      <w:pPr>
        <w:ind w:firstLine="709"/>
        <w:jc w:val="both"/>
        <w:rPr>
          <w:b/>
        </w:rPr>
      </w:pPr>
      <w:r w:rsidRPr="005369F7">
        <w:rPr>
          <w:b/>
        </w:rPr>
        <w:t>1.1. Savivaldybės institucijų, įstaigų ir įmonių veiklos efektyvumo, atsakomybės, atskaitingumo ir viešumo didinimas.</w:t>
      </w:r>
    </w:p>
    <w:p w:rsidR="00BE70A7" w:rsidRPr="005369F7" w:rsidRDefault="00BE70A7" w:rsidP="004B6F3D">
      <w:pPr>
        <w:ind w:firstLine="709"/>
        <w:jc w:val="both"/>
      </w:pPr>
      <w:r w:rsidRPr="005369F7">
        <w:t>Lietuvos laisvos</w:t>
      </w:r>
      <w:r w:rsidR="00A6146F" w:rsidRPr="005369F7">
        <w:t>ios</w:t>
      </w:r>
      <w:r w:rsidRPr="005369F7">
        <w:t xml:space="preserve"> rinkos institutas 2013 m., jau trečius metus iš eilės, Klaipėdos miesto savivaldybę išrinko kaip geriausiai valdomą ir patraukliausią investuotojams savivaldybę</w:t>
      </w:r>
      <w:r w:rsidRPr="005369F7">
        <w:rPr>
          <w:rStyle w:val="Puslapioinaosnuoroda"/>
        </w:rPr>
        <w:footnoteReference w:id="1"/>
      </w:r>
      <w:r w:rsidR="00311BCD" w:rsidRPr="005369F7">
        <w:t>.</w:t>
      </w:r>
      <w:r w:rsidRPr="005369F7">
        <w:t xml:space="preserve"> Vidaus reikalų ministerijos atliktame Savivaldybių veiklos tyrime Klaipėdos miesto savivaldyb</w:t>
      </w:r>
      <w:r w:rsidR="00BC7BCB" w:rsidRPr="005369F7">
        <w:t>ė</w:t>
      </w:r>
      <w:r w:rsidRPr="005369F7">
        <w:t xml:space="preserve"> į</w:t>
      </w:r>
      <w:r w:rsidR="00BC7BCB" w:rsidRPr="005369F7">
        <w:t>vardyta</w:t>
      </w:r>
      <w:r w:rsidRPr="005369F7">
        <w:t xml:space="preserve"> kaip savivaldyb</w:t>
      </w:r>
      <w:r w:rsidR="00BC7BCB" w:rsidRPr="005369F7">
        <w:t>ė</w:t>
      </w:r>
      <w:r w:rsidRPr="005369F7">
        <w:t>, kurios valdymo išlaidos vienam gyventojui yra mažiausios</w:t>
      </w:r>
      <w:r w:rsidRPr="005369F7">
        <w:rPr>
          <w:rStyle w:val="Puslapioinaosnuoroda"/>
        </w:rPr>
        <w:footnoteReference w:id="2"/>
      </w:r>
      <w:r w:rsidRPr="005369F7">
        <w:t>. Siekiant išlaikyti efektyviai dirbančios savivaldybės statusą, 2014</w:t>
      </w:r>
      <w:r w:rsidR="00311BCD" w:rsidRPr="005369F7">
        <w:t>–</w:t>
      </w:r>
      <w:r w:rsidRPr="005369F7">
        <w:t>2016 m. bus tęsiami pradėti veiklos valdymo tobulinimo darbai.</w:t>
      </w:r>
    </w:p>
    <w:p w:rsidR="00BE70A7" w:rsidRPr="005369F7" w:rsidRDefault="00BE70A7" w:rsidP="004B6F3D">
      <w:pPr>
        <w:ind w:firstLine="709"/>
        <w:jc w:val="both"/>
      </w:pPr>
      <w:r w:rsidRPr="005369F7">
        <w:t>2013 m. pradėta Klaipėdos miesto savivaldybės biudžetinių įstaigų buhalterinės apskaitos optimizavimo reforma – nuo 2014 m. biudžetinių įstaigų buhalterinė apskaita bus vykdoma centralizuotai Savivaldybės administracijoje. Ši</w:t>
      </w:r>
      <w:r w:rsidR="00311BCD" w:rsidRPr="005369F7">
        <w:t>os</w:t>
      </w:r>
      <w:r w:rsidRPr="005369F7">
        <w:t xml:space="preserve"> reformos tikslas – didinti buhalterinės apskaitos efektyvumą ir mažinti kaštus – nuo 2015 m. kasmet planuojama sutaupyti apie 2,9 mln. Lt, kurie bus naudojami švietimo, sporto, kultūros, socialinių paslaugų bei sveikatos programoms vykdyti.</w:t>
      </w:r>
    </w:p>
    <w:p w:rsidR="00BE70A7" w:rsidRPr="005369F7" w:rsidRDefault="00BE70A7" w:rsidP="004B6F3D">
      <w:pPr>
        <w:pStyle w:val="prastasistinklapis"/>
        <w:spacing w:after="0" w:line="240" w:lineRule="auto"/>
        <w:ind w:left="0" w:firstLine="709"/>
        <w:jc w:val="both"/>
        <w:rPr>
          <w:rFonts w:ascii="Times New Roman" w:eastAsia="Times New Roman" w:hAnsi="Times New Roman" w:cs="Times New Roman"/>
          <w:lang w:val="lt-LT"/>
        </w:rPr>
      </w:pPr>
      <w:r w:rsidRPr="005369F7">
        <w:rPr>
          <w:rFonts w:ascii="Times New Roman" w:eastAsia="Times New Roman" w:hAnsi="Times New Roman" w:cs="Times New Roman"/>
          <w:lang w:val="lt-LT"/>
        </w:rPr>
        <w:t xml:space="preserve">Klaipėdos miesto savivaldybė viena iš pirmųjų šalyje savo veikloje ėmė diegti strateginio planavimo principus. Šių principų taikymas sudaro sąlygas efektyviau ir skaidriau valdyti turimus išteklius siekiant ilgalaikių tikslų. Pirmasis ilgalaikis strateginio planavimo dokumentas – Klaipėdos miesto savivaldybės strateginis plėtros planas buvo patvirtintas 2001 m. Savivaldybėje sukurta nuosekli strateginių planų sistema – ilgalaikio plano nuostatos integruojamos į kasmet rengiamus trumpalaikius strateginius veiklos planus, vykdoma strateginio planavimo dokumentų įgyvendinimo </w:t>
      </w:r>
      <w:proofErr w:type="spellStart"/>
      <w:r w:rsidRPr="005369F7">
        <w:rPr>
          <w:rFonts w:ascii="Times New Roman" w:eastAsia="Times New Roman" w:hAnsi="Times New Roman" w:cs="Times New Roman"/>
          <w:lang w:val="lt-LT"/>
        </w:rPr>
        <w:t>stebėsena</w:t>
      </w:r>
      <w:proofErr w:type="spellEnd"/>
      <w:r w:rsidRPr="005369F7">
        <w:rPr>
          <w:rFonts w:ascii="Times New Roman" w:eastAsia="Times New Roman" w:hAnsi="Times New Roman" w:cs="Times New Roman"/>
          <w:lang w:val="lt-LT"/>
        </w:rPr>
        <w:t>, kasmet</w:t>
      </w:r>
      <w:r w:rsidR="00DD6FF1" w:rsidRPr="005369F7">
        <w:rPr>
          <w:rFonts w:ascii="Times New Roman" w:eastAsia="Times New Roman" w:hAnsi="Times New Roman" w:cs="Times New Roman"/>
          <w:lang w:val="lt-LT"/>
        </w:rPr>
        <w:t xml:space="preserve"> rengiamos ir viešai skelbiamos</w:t>
      </w:r>
      <w:r w:rsidRPr="005369F7">
        <w:rPr>
          <w:rFonts w:ascii="Times New Roman" w:eastAsia="Times New Roman" w:hAnsi="Times New Roman" w:cs="Times New Roman"/>
          <w:lang w:val="lt-LT"/>
        </w:rPr>
        <w:t xml:space="preserve"> planų įgyvendinimo ataskaitos. </w:t>
      </w:r>
    </w:p>
    <w:p w:rsidR="00BE70A7" w:rsidRPr="005369F7" w:rsidRDefault="00BE70A7" w:rsidP="004B6F3D">
      <w:pPr>
        <w:pStyle w:val="prastasistinklapis"/>
        <w:spacing w:after="0" w:line="240" w:lineRule="auto"/>
        <w:ind w:left="0" w:firstLine="709"/>
        <w:jc w:val="both"/>
        <w:rPr>
          <w:rFonts w:ascii="Times New Roman" w:eastAsia="Times New Roman" w:hAnsi="Times New Roman" w:cs="Times New Roman"/>
          <w:lang w:val="lt-LT"/>
        </w:rPr>
      </w:pPr>
      <w:r w:rsidRPr="005369F7">
        <w:rPr>
          <w:rFonts w:ascii="Times New Roman" w:eastAsia="Times New Roman" w:hAnsi="Times New Roman" w:cs="Times New Roman"/>
          <w:lang w:val="lt-LT"/>
        </w:rPr>
        <w:t xml:space="preserve">Strateginio planavimo principai pritaikyti ir savivaldybės kontroliuojamų įmonių ir įstaigų valdyme. Vadovaujantis </w:t>
      </w:r>
      <w:r w:rsidR="00DD6FF1" w:rsidRPr="005369F7">
        <w:rPr>
          <w:rFonts w:ascii="Times New Roman" w:hAnsi="Times New Roman" w:cs="Times New Roman"/>
          <w:lang w:val="lt-LT"/>
        </w:rPr>
        <w:t xml:space="preserve">Klaipėdos miesto </w:t>
      </w:r>
      <w:r w:rsidRPr="005369F7">
        <w:rPr>
          <w:rFonts w:ascii="Times New Roman" w:eastAsia="Times New Roman" w:hAnsi="Times New Roman" w:cs="Times New Roman"/>
          <w:lang w:val="lt-LT"/>
        </w:rPr>
        <w:t xml:space="preserve">savivaldybės tarybos 2011 m. lapkričio 24 d. sprendimu Nr. T2-373 patvirtintomis </w:t>
      </w:r>
      <w:r w:rsidRPr="005369F7">
        <w:rPr>
          <w:rFonts w:ascii="Times New Roman" w:eastAsia="Times New Roman" w:hAnsi="Times New Roman" w:cs="Times New Roman"/>
          <w:color w:val="000000"/>
          <w:lang w:val="lt-LT" w:eastAsia="lt-LT"/>
        </w:rPr>
        <w:t xml:space="preserve">Savivaldybės įmonių, viešųjų įstaigų, akcinių ir uždarųjų akcinių bendrovių, </w:t>
      </w:r>
      <w:r w:rsidRPr="005369F7">
        <w:rPr>
          <w:rFonts w:ascii="Times New Roman" w:eastAsia="Times New Roman" w:hAnsi="Times New Roman" w:cs="Times New Roman"/>
          <w:lang w:val="lt-LT" w:eastAsia="lt-LT"/>
        </w:rPr>
        <w:t>kurių dalyvė</w:t>
      </w:r>
      <w:r w:rsidRPr="005369F7">
        <w:rPr>
          <w:rFonts w:ascii="Times New Roman" w:eastAsia="Times New Roman" w:hAnsi="Times New Roman" w:cs="Times New Roman"/>
          <w:color w:val="000000"/>
          <w:lang w:val="lt-LT" w:eastAsia="lt-LT"/>
        </w:rPr>
        <w:t xml:space="preserve"> yra Klaipėdos miesto savivaldybė, strateginių veiklos planų rengimo</w:t>
      </w:r>
      <w:r w:rsidRPr="005369F7">
        <w:rPr>
          <w:rFonts w:ascii="Times New Roman" w:eastAsia="Times New Roman" w:hAnsi="Times New Roman" w:cs="Times New Roman"/>
          <w:lang w:val="lt-LT" w:eastAsia="lt-LT"/>
        </w:rPr>
        <w:t xml:space="preserve"> </w:t>
      </w:r>
      <w:r w:rsidRPr="005369F7">
        <w:rPr>
          <w:rFonts w:ascii="Times New Roman" w:eastAsia="Times New Roman" w:hAnsi="Times New Roman" w:cs="Times New Roman"/>
          <w:color w:val="000000"/>
          <w:lang w:val="lt-LT" w:eastAsia="lt-LT"/>
        </w:rPr>
        <w:t xml:space="preserve">rekomendacijomis, trejų metų strateginius veiklos planus parengė visos savivaldybės </w:t>
      </w:r>
      <w:r w:rsidRPr="005369F7">
        <w:rPr>
          <w:rFonts w:ascii="Times New Roman" w:eastAsia="Times New Roman" w:hAnsi="Times New Roman" w:cs="Times New Roman"/>
          <w:color w:val="000000"/>
          <w:lang w:val="lt-LT" w:eastAsia="lt-LT"/>
        </w:rPr>
        <w:lastRenderedPageBreak/>
        <w:t xml:space="preserve">kontroliuojamos akcinės, uždarosios akcinės bendrovės, savivaldybės įmonės, viešosios įstaigos. </w:t>
      </w:r>
      <w:r w:rsidRPr="005369F7">
        <w:rPr>
          <w:rFonts w:ascii="Times New Roman" w:eastAsia="Times New Roman" w:hAnsi="Times New Roman" w:cs="Times New Roman"/>
          <w:lang w:val="lt-LT"/>
        </w:rPr>
        <w:t xml:space="preserve">Savivaldybė ėmėsi šios iniciatyvos tam, kad galėtų efektyviai pamatuoti kiekvienos įmonės veiklos rezultatus, o įmonių vadovai aiškiai žinotų, kokias užduotis jiems formuluoja Savivaldybės administracijos direktorius bei įmonių ir įstaigų valdymo organai. Siekiama, kad įmonės ir įstaigos formuluotų aiškius tikslus, uždavinius, rodiklius, numatytų veiksmus trejiems metams bei pagrįstų planuojamas investicijas. Reikalaujama, kad įmonių ir įstaigų planai būtų kompleksiški, kad tikslai atitiktų ilgalaikius savivaldybės strateginio planavimo dokumentus, būtų orientuoti į racionalų išteklių naudojimą, klientų aptarnavimo tobulinimą, naujų technologijų diegimą. Įmonių ir įstaigų parengtus strateginius veiklos planus vertina Savivaldybės administracijos direktoriaus įsakymu sudaryta darbo grupė, kuri kasmet pateikia rekomendacijas dėl įmonių ir įstaigų veiklos tobulinimo. Šią iniciatyvą numatoma tęsti 2014–2016 metais. </w:t>
      </w:r>
    </w:p>
    <w:p w:rsidR="00BE70A7" w:rsidRPr="005369F7" w:rsidRDefault="00BE70A7" w:rsidP="004B6F3D">
      <w:pPr>
        <w:pStyle w:val="prastasistinklapis"/>
        <w:spacing w:after="0" w:line="240" w:lineRule="auto"/>
        <w:ind w:left="0" w:firstLine="709"/>
        <w:jc w:val="both"/>
        <w:rPr>
          <w:rFonts w:ascii="Times New Roman" w:eastAsia="Times New Roman" w:hAnsi="Times New Roman" w:cs="Times New Roman"/>
          <w:b/>
          <w:lang w:val="lt-LT"/>
        </w:rPr>
      </w:pPr>
      <w:r w:rsidRPr="005369F7">
        <w:rPr>
          <w:rFonts w:ascii="Times New Roman" w:eastAsia="Times New Roman" w:hAnsi="Times New Roman" w:cs="Times New Roman"/>
          <w:lang w:val="lt-LT"/>
        </w:rPr>
        <w:t xml:space="preserve">Siekiant patobulinti savivaldybės veiklos valdymo procesus, įgyvendinamas ES iš dalies finansuojamas tęstinis projektas </w:t>
      </w:r>
      <w:r w:rsidRPr="005369F7">
        <w:rPr>
          <w:rFonts w:ascii="Times New Roman" w:eastAsia="Times New Roman" w:hAnsi="Times New Roman" w:cs="Times New Roman"/>
          <w:i/>
          <w:lang w:val="lt-LT"/>
        </w:rPr>
        <w:t xml:space="preserve">„Klaipėdos miesto savivaldybės administracijos darbo organizavimo gerinimas tobulinant organizacinę struktūrą, finansinių išteklių ir veiklos valdymo procesus“. </w:t>
      </w:r>
      <w:r w:rsidR="001D0FA2" w:rsidRPr="005369F7">
        <w:rPr>
          <w:rFonts w:ascii="Times New Roman" w:eastAsia="Times New Roman" w:hAnsi="Times New Roman" w:cs="Times New Roman"/>
          <w:lang w:val="lt-LT"/>
        </w:rPr>
        <w:t>V</w:t>
      </w:r>
      <w:r w:rsidR="00E368A5" w:rsidRPr="005369F7">
        <w:rPr>
          <w:rFonts w:ascii="Times New Roman" w:eastAsia="Times New Roman" w:hAnsi="Times New Roman" w:cs="Times New Roman"/>
          <w:lang w:val="lt-LT"/>
        </w:rPr>
        <w:t xml:space="preserve">ykdant </w:t>
      </w:r>
      <w:r w:rsidRPr="005369F7">
        <w:rPr>
          <w:rFonts w:ascii="Times New Roman" w:eastAsia="Times New Roman" w:hAnsi="Times New Roman" w:cs="Times New Roman"/>
          <w:lang w:val="lt-LT"/>
        </w:rPr>
        <w:t>š</w:t>
      </w:r>
      <w:r w:rsidR="00E368A5" w:rsidRPr="005369F7">
        <w:rPr>
          <w:rFonts w:ascii="Times New Roman" w:eastAsia="Times New Roman" w:hAnsi="Times New Roman" w:cs="Times New Roman"/>
          <w:lang w:val="lt-LT"/>
        </w:rPr>
        <w:t>į</w:t>
      </w:r>
      <w:r w:rsidRPr="005369F7">
        <w:rPr>
          <w:rFonts w:ascii="Times New Roman" w:eastAsia="Times New Roman" w:hAnsi="Times New Roman" w:cs="Times New Roman"/>
          <w:lang w:val="lt-LT"/>
        </w:rPr>
        <w:t xml:space="preserve"> projekt</w:t>
      </w:r>
      <w:r w:rsidR="00E368A5" w:rsidRPr="005369F7">
        <w:rPr>
          <w:rFonts w:ascii="Times New Roman" w:eastAsia="Times New Roman" w:hAnsi="Times New Roman" w:cs="Times New Roman"/>
          <w:lang w:val="lt-LT"/>
        </w:rPr>
        <w:t>ą</w:t>
      </w:r>
      <w:r w:rsidRPr="005369F7">
        <w:rPr>
          <w:rFonts w:ascii="Times New Roman" w:eastAsia="Times New Roman" w:hAnsi="Times New Roman" w:cs="Times New Roman"/>
          <w:lang w:val="lt-LT"/>
        </w:rPr>
        <w:t xml:space="preserve"> </w:t>
      </w:r>
      <w:r w:rsidR="001D0FA2" w:rsidRPr="005369F7">
        <w:rPr>
          <w:rFonts w:ascii="Times New Roman" w:eastAsia="Times New Roman" w:hAnsi="Times New Roman" w:cs="Times New Roman"/>
          <w:lang w:val="lt-LT"/>
        </w:rPr>
        <w:t xml:space="preserve">2013 m. </w:t>
      </w:r>
      <w:r w:rsidRPr="005369F7">
        <w:rPr>
          <w:rFonts w:ascii="Times New Roman" w:eastAsia="Times New Roman" w:hAnsi="Times New Roman" w:cs="Times New Roman"/>
          <w:lang w:val="lt-LT"/>
        </w:rPr>
        <w:t>buvo įdiegta veiklos ir finansų valdymo bei apskaitos informacinė sistema, o</w:t>
      </w:r>
      <w:r w:rsidRPr="005369F7">
        <w:rPr>
          <w:rFonts w:ascii="Times New Roman" w:eastAsia="Times New Roman" w:hAnsi="Times New Roman" w:cs="Times New Roman"/>
          <w:i/>
          <w:lang w:val="lt-LT"/>
        </w:rPr>
        <w:t xml:space="preserve">  </w:t>
      </w:r>
      <w:r w:rsidR="004B435D" w:rsidRPr="005369F7">
        <w:rPr>
          <w:rFonts w:ascii="Times New Roman" w:eastAsia="Times New Roman" w:hAnsi="Times New Roman" w:cs="Times New Roman"/>
          <w:lang w:val="lt-LT"/>
        </w:rPr>
        <w:t>2014–</w:t>
      </w:r>
      <w:r w:rsidRPr="005369F7">
        <w:rPr>
          <w:rFonts w:ascii="Times New Roman" w:eastAsia="Times New Roman" w:hAnsi="Times New Roman" w:cs="Times New Roman"/>
          <w:lang w:val="lt-LT"/>
        </w:rPr>
        <w:t>2015 m. numatoma sukurti investicinių projektų valdymo modulį, kuris leis efektyviau vykdyti savivaldybės įgyvendin</w:t>
      </w:r>
      <w:r w:rsidR="0048628C">
        <w:rPr>
          <w:rFonts w:ascii="Times New Roman" w:eastAsia="Times New Roman" w:hAnsi="Times New Roman" w:cs="Times New Roman"/>
          <w:lang w:val="lt-LT"/>
        </w:rPr>
        <w:t>a</w:t>
      </w:r>
      <w:r w:rsidRPr="005369F7">
        <w:rPr>
          <w:rFonts w:ascii="Times New Roman" w:eastAsia="Times New Roman" w:hAnsi="Times New Roman" w:cs="Times New Roman"/>
          <w:lang w:val="lt-LT"/>
        </w:rPr>
        <w:t xml:space="preserve">mų investicinių projektų </w:t>
      </w:r>
      <w:proofErr w:type="spellStart"/>
      <w:r w:rsidRPr="005369F7">
        <w:rPr>
          <w:rFonts w:ascii="Times New Roman" w:eastAsia="Times New Roman" w:hAnsi="Times New Roman" w:cs="Times New Roman"/>
          <w:lang w:val="lt-LT"/>
        </w:rPr>
        <w:t>stebėseną</w:t>
      </w:r>
      <w:proofErr w:type="spellEnd"/>
      <w:r w:rsidRPr="005369F7">
        <w:rPr>
          <w:rFonts w:ascii="Times New Roman" w:eastAsia="Times New Roman" w:hAnsi="Times New Roman" w:cs="Times New Roman"/>
          <w:lang w:val="lt-LT"/>
        </w:rPr>
        <w:t xml:space="preserve"> ir kontrolę. </w:t>
      </w:r>
      <w:r w:rsidRPr="005369F7">
        <w:rPr>
          <w:rFonts w:ascii="Times New Roman" w:eastAsia="Times New Roman" w:hAnsi="Times New Roman" w:cs="Times New Roman"/>
          <w:b/>
          <w:lang w:val="lt-LT"/>
        </w:rPr>
        <w:t xml:space="preserve"> </w:t>
      </w:r>
    </w:p>
    <w:p w:rsidR="00BE70A7" w:rsidRPr="005369F7" w:rsidRDefault="00BE70A7" w:rsidP="004B6F3D">
      <w:pPr>
        <w:pStyle w:val="prastasistinklapis"/>
        <w:spacing w:after="0" w:line="240" w:lineRule="auto"/>
        <w:ind w:left="0" w:firstLine="709"/>
        <w:jc w:val="both"/>
        <w:rPr>
          <w:rFonts w:ascii="Times New Roman" w:eastAsia="Times New Roman" w:hAnsi="Times New Roman" w:cs="Times New Roman"/>
          <w:lang w:val="lt-LT"/>
        </w:rPr>
      </w:pPr>
    </w:p>
    <w:p w:rsidR="00BE70A7" w:rsidRPr="005369F7" w:rsidRDefault="00BE70A7" w:rsidP="004B6F3D">
      <w:pPr>
        <w:ind w:firstLine="709"/>
        <w:jc w:val="both"/>
        <w:rPr>
          <w:b/>
        </w:rPr>
      </w:pPr>
      <w:r w:rsidRPr="005369F7">
        <w:rPr>
          <w:b/>
        </w:rPr>
        <w:t>1.2. Savivaldybės teikiamų paslaugų įvairovės, prieinamumo, kokybės ir ekonomiš</w:t>
      </w:r>
      <w:r w:rsidR="00685F97" w:rsidRPr="005369F7">
        <w:rPr>
          <w:b/>
        </w:rPr>
        <w:t>kumo pusiausvyros užtikrinimas.</w:t>
      </w:r>
    </w:p>
    <w:p w:rsidR="00BE70A7" w:rsidRPr="005369F7" w:rsidRDefault="00BE70A7" w:rsidP="004B6F3D">
      <w:pPr>
        <w:ind w:firstLine="709"/>
        <w:jc w:val="both"/>
      </w:pPr>
      <w:r w:rsidRPr="005369F7">
        <w:t>Savivaldybės, vadovau</w:t>
      </w:r>
      <w:r w:rsidR="001D0FA2" w:rsidRPr="005369F7">
        <w:t>damosi</w:t>
      </w:r>
      <w:r w:rsidRPr="005369F7">
        <w:t xml:space="preserve"> </w:t>
      </w:r>
      <w:r w:rsidR="001D0FA2" w:rsidRPr="005369F7">
        <w:t>Lietuvos Respublikos v</w:t>
      </w:r>
      <w:r w:rsidRPr="005369F7">
        <w:t xml:space="preserve">ietos savivaldos, </w:t>
      </w:r>
      <w:r w:rsidR="001D0FA2" w:rsidRPr="005369F7">
        <w:t>Lietuvos Respublikos v</w:t>
      </w:r>
      <w:r w:rsidRPr="005369F7">
        <w:t>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kultūros, sporto, sveikatos, švietimo, socialinėje, komunalinio ūkio ir kitose šalies įstatymų bei kitų teisės aktų priskirtose srityse.</w:t>
      </w:r>
    </w:p>
    <w:p w:rsidR="00BE70A7" w:rsidRPr="005369F7" w:rsidRDefault="00BE70A7" w:rsidP="004B6F3D">
      <w:pPr>
        <w:ind w:firstLine="709"/>
        <w:jc w:val="both"/>
      </w:pPr>
      <w:r w:rsidRPr="005369F7">
        <w:t>2014</w:t>
      </w:r>
      <w:r w:rsidR="00233316" w:rsidRPr="005369F7">
        <w:t>–</w:t>
      </w:r>
      <w:r w:rsidRPr="005369F7">
        <w:t>2016 m. laikotarpiu daug dėmesio bus skiriama elektroninių paslaugų diegimui ir tobulinimui. Nuo 2014 m. pradės funkcionuoti elektroninės vaikų registracijos į ikimokyklines ugdymo įstaigas informacinė sistema.  Ketinama žengti pirmuosius žingsnius diegiant mok</w:t>
      </w:r>
      <w:r w:rsidR="004C6039" w:rsidRPr="005369F7">
        <w:t>inio</w:t>
      </w:r>
      <w:r w:rsidRPr="005369F7">
        <w:t xml:space="preserve"> elektroninio bilieto sistemą bendrojo lavinimo mokyklose bei neformaliojo ugdymo įstaigose, plėtoti nuotolinio mokymo programas. 2014</w:t>
      </w:r>
      <w:r w:rsidR="00233316" w:rsidRPr="005369F7">
        <w:t>–</w:t>
      </w:r>
      <w:r w:rsidRPr="005369F7">
        <w:t xml:space="preserve">2016 m. numatoma sukurti licencijų ir leidimų išdavimo elektroniniu būdu sistemą, tai leistų sumažinti administracinę naštą verslo subjektams ir fiziniams asmenims. </w:t>
      </w:r>
    </w:p>
    <w:p w:rsidR="00BE70A7" w:rsidRPr="005369F7" w:rsidRDefault="00BE70A7" w:rsidP="004B6F3D">
      <w:pPr>
        <w:ind w:firstLine="709"/>
        <w:jc w:val="both"/>
      </w:pPr>
    </w:p>
    <w:p w:rsidR="00BE70A7" w:rsidRPr="005369F7" w:rsidRDefault="00BE70A7" w:rsidP="004B6F3D">
      <w:pPr>
        <w:ind w:firstLine="709"/>
        <w:jc w:val="both"/>
        <w:rPr>
          <w:b/>
        </w:rPr>
      </w:pPr>
      <w:r w:rsidRPr="005369F7">
        <w:rPr>
          <w:b/>
        </w:rPr>
        <w:t xml:space="preserve">1.3. Miesto urbanistinio planavimo tobulinimas. </w:t>
      </w:r>
    </w:p>
    <w:p w:rsidR="00BE70A7" w:rsidRPr="005369F7" w:rsidRDefault="00BE70A7" w:rsidP="004B6F3D">
      <w:pPr>
        <w:ind w:firstLine="709"/>
        <w:jc w:val="both"/>
      </w:pPr>
      <w:r w:rsidRPr="005369F7">
        <w:t xml:space="preserve">2014–2016 metų laikotarpiu planuojama pasirengti svarbiausio savivaldybės teritorijų planavimo dokumento – Savivaldybės bendrojo plano rengimui. Dabartinis Klaipėdos miesto savivaldybės bendrasis planas patvirtintas 2007 m. Nuo to laiko mieste pakito socialinė, demografinė, ekonominė situacija. Šiuos pokyčius būtina įvertinti planuojant miesto teritorinį vystymąsi. Taip pat per šį laikotarpį siekiama sudaryti palankesnes sąlygas gyventojams ir verslo subjektams įsitraukti į teritorijų planavimo procesus kuo </w:t>
      </w:r>
      <w:r w:rsidRPr="00B4148F">
        <w:t>ankstesni</w:t>
      </w:r>
      <w:r w:rsidR="00C91388" w:rsidRPr="00B4148F">
        <w:t>ame</w:t>
      </w:r>
      <w:r w:rsidRPr="00B4148F">
        <w:t xml:space="preserve"> etap</w:t>
      </w:r>
      <w:r w:rsidR="00C91388" w:rsidRPr="00B4148F">
        <w:t>e</w:t>
      </w:r>
      <w:r w:rsidRPr="005369F7">
        <w:t xml:space="preserve">, kad vėliau būtų išvengta nesusipratimų ir interesų konfliktų. </w:t>
      </w:r>
    </w:p>
    <w:p w:rsidR="00BE70A7" w:rsidRPr="005369F7" w:rsidRDefault="00BE70A7" w:rsidP="004B6F3D">
      <w:pPr>
        <w:ind w:firstLine="709"/>
        <w:jc w:val="both"/>
      </w:pPr>
    </w:p>
    <w:p w:rsidR="00BE70A7" w:rsidRPr="005369F7" w:rsidRDefault="00BE70A7" w:rsidP="004B6F3D">
      <w:pPr>
        <w:ind w:firstLine="709"/>
        <w:jc w:val="both"/>
        <w:rPr>
          <w:b/>
        </w:rPr>
      </w:pPr>
      <w:r w:rsidRPr="005369F7">
        <w:rPr>
          <w:b/>
        </w:rPr>
        <w:t xml:space="preserve">1.4. Bendruomenių vaidmens ir  partnerystės su valstybinėmis institucijomis ir kitomis struktūromis stiprinimas. </w:t>
      </w:r>
    </w:p>
    <w:p w:rsidR="00BE70A7" w:rsidRPr="005369F7" w:rsidRDefault="00BE70A7" w:rsidP="004B6F3D">
      <w:pPr>
        <w:ind w:firstLine="709"/>
        <w:jc w:val="both"/>
      </w:pPr>
      <w:r w:rsidRPr="005369F7">
        <w:t xml:space="preserve">Klaipėdos mieste bendruomenė į viešųjų reikalų tvarkymą įtraukiama keliais būdais:          </w:t>
      </w:r>
    </w:p>
    <w:p w:rsidR="00111CE6" w:rsidRPr="005369F7" w:rsidRDefault="00BE70A7" w:rsidP="004B6F3D">
      <w:pPr>
        <w:ind w:firstLine="709"/>
        <w:jc w:val="both"/>
      </w:pPr>
      <w:r w:rsidRPr="005369F7">
        <w:t xml:space="preserve">1)  išrinkti bendruomenės atstovai – </w:t>
      </w:r>
      <w:proofErr w:type="spellStart"/>
      <w:r w:rsidRPr="005369F7">
        <w:t>seniūnaičiai</w:t>
      </w:r>
      <w:proofErr w:type="spellEnd"/>
      <w:r w:rsidRPr="005369F7">
        <w:t xml:space="preserve">, atstovaujantys miesto gyvenamiesiems rajonams; </w:t>
      </w:r>
    </w:p>
    <w:p w:rsidR="00111CE6" w:rsidRPr="005369F7" w:rsidRDefault="00BE70A7" w:rsidP="004B6F3D">
      <w:pPr>
        <w:ind w:firstLine="709"/>
        <w:jc w:val="both"/>
      </w:pPr>
      <w:r w:rsidRPr="005369F7">
        <w:lastRenderedPageBreak/>
        <w:t xml:space="preserve">2) prie savivaldybės tarybos yra įsteigtos visuomeninės tarybos, turinčios patariamąjį balsą savivaldybės institucijų priimamais sprendimais; </w:t>
      </w:r>
    </w:p>
    <w:p w:rsidR="00BE70A7" w:rsidRPr="005369F7" w:rsidRDefault="00BE70A7" w:rsidP="004B6F3D">
      <w:pPr>
        <w:ind w:firstLine="709"/>
        <w:jc w:val="both"/>
      </w:pPr>
      <w:r w:rsidRPr="005369F7">
        <w:t xml:space="preserve">3) gyventojai gali savo nuomonę išsakyti gyventojų tribūnoje prieš kiekvieną eilinį savivaldybės tarybos posėdį. </w:t>
      </w:r>
    </w:p>
    <w:p w:rsidR="00BE70A7" w:rsidRPr="005369F7" w:rsidRDefault="00BE70A7" w:rsidP="004B6F3D">
      <w:pPr>
        <w:ind w:firstLine="709"/>
        <w:jc w:val="both"/>
        <w:rPr>
          <w:b/>
        </w:rPr>
      </w:pPr>
      <w:r w:rsidRPr="005369F7">
        <w:t xml:space="preserve">2014 m. naujai trejų metų kadencijai bus renkami </w:t>
      </w:r>
      <w:proofErr w:type="spellStart"/>
      <w:r w:rsidRPr="005369F7">
        <w:t>seniūnaičiai</w:t>
      </w:r>
      <w:proofErr w:type="spellEnd"/>
      <w:r w:rsidRPr="005369F7">
        <w:t xml:space="preserve"> – bendruomenių atstovai.</w:t>
      </w:r>
      <w:r w:rsidRPr="005369F7">
        <w:rPr>
          <w:b/>
        </w:rPr>
        <w:t xml:space="preserve"> </w:t>
      </w:r>
      <w:r w:rsidRPr="005369F7">
        <w:t xml:space="preserve">Bendradarbiaujant su </w:t>
      </w:r>
      <w:proofErr w:type="spellStart"/>
      <w:r w:rsidRPr="005369F7">
        <w:t>seniūnaičiais</w:t>
      </w:r>
      <w:proofErr w:type="spellEnd"/>
      <w:r w:rsidRPr="005369F7">
        <w:t>, 2014–2016 m. laikotarpiu planuojama tęsti Socialinės apsaugos ir darbo ministerijos finansuojamos vietos bendruomenių savivaldos programos įgyvendinimą. 2012 ir 2013 m. savivaldybė iš šios programos gavo po 0,5 mln. Lt bendruomen</w:t>
      </w:r>
      <w:r w:rsidR="00E0132A" w:rsidRPr="005369F7">
        <w:t>ėms</w:t>
      </w:r>
      <w:r w:rsidRPr="005369F7">
        <w:t xml:space="preserve"> stiprin</w:t>
      </w:r>
      <w:r w:rsidR="00E0132A" w:rsidRPr="005369F7">
        <w:t>t</w:t>
      </w:r>
      <w:r w:rsidRPr="005369F7">
        <w:t>i skirtų projektų finansavimui, didžioji dalis projektų buvo skirti infrastruktūr</w:t>
      </w:r>
      <w:r w:rsidR="007D4B29" w:rsidRPr="005369F7">
        <w:t>ai</w:t>
      </w:r>
      <w:r w:rsidRPr="005369F7">
        <w:t xml:space="preserve"> gerin</w:t>
      </w:r>
      <w:r w:rsidR="007D4B29" w:rsidRPr="005369F7">
        <w:t>t</w:t>
      </w:r>
      <w:r w:rsidRPr="005369F7">
        <w:t xml:space="preserve">i, vaikų aikštelėms įrengti ir kt. veiklai. </w:t>
      </w:r>
    </w:p>
    <w:p w:rsidR="00BE70A7" w:rsidRPr="005369F7" w:rsidRDefault="00BE70A7" w:rsidP="004B6F3D">
      <w:pPr>
        <w:ind w:firstLine="709"/>
        <w:jc w:val="both"/>
      </w:pPr>
      <w:r w:rsidRPr="005369F7">
        <w:t xml:space="preserve">Numatoma toliau bendradarbiauti su VĮ Klaipėdos valstybinio jūrų uosto direkcija bei kitomis institucijomis vystant miestui svarbius infrastruktūros ir socialinius projektus. </w:t>
      </w:r>
    </w:p>
    <w:p w:rsidR="00BE70A7" w:rsidRPr="005369F7" w:rsidRDefault="00BE70A7" w:rsidP="004B6F3D">
      <w:pPr>
        <w:pStyle w:val="prastasistinklapis"/>
        <w:spacing w:after="0" w:line="240" w:lineRule="auto"/>
        <w:ind w:left="0" w:firstLine="709"/>
        <w:rPr>
          <w:rFonts w:ascii="Times New Roman" w:hAnsi="Times New Roman" w:cs="Times New Roman"/>
          <w:b/>
          <w:lang w:val="lt-LT"/>
        </w:rPr>
      </w:pPr>
    </w:p>
    <w:p w:rsidR="00BE70A7" w:rsidRPr="005369F7" w:rsidRDefault="00BE70A7" w:rsidP="004B6F3D">
      <w:pPr>
        <w:pStyle w:val="prastasistinklapis"/>
        <w:spacing w:after="0" w:line="240" w:lineRule="auto"/>
        <w:ind w:left="0" w:firstLine="709"/>
        <w:rPr>
          <w:rFonts w:ascii="Times New Roman" w:hAnsi="Times New Roman" w:cs="Times New Roman"/>
          <w:b/>
          <w:lang w:val="lt-LT"/>
        </w:rPr>
      </w:pPr>
      <w:r w:rsidRPr="005369F7">
        <w:rPr>
          <w:rFonts w:ascii="Times New Roman" w:hAnsi="Times New Roman" w:cs="Times New Roman"/>
          <w:b/>
          <w:lang w:val="lt-LT"/>
        </w:rPr>
        <w:t>2. Sveika, tvarkinga ir saugi aplinka kiekvienam miestiečiui:</w:t>
      </w:r>
    </w:p>
    <w:p w:rsidR="00BE70A7" w:rsidRPr="005369F7" w:rsidRDefault="00BE70A7" w:rsidP="004B6F3D">
      <w:pPr>
        <w:ind w:firstLine="709"/>
        <w:jc w:val="both"/>
        <w:rPr>
          <w:b/>
        </w:rPr>
      </w:pPr>
      <w:r w:rsidRPr="005369F7">
        <w:rPr>
          <w:b/>
        </w:rPr>
        <w:t>2.1. Apleistų miesto dalių regeneravimas sutvarkant esamas ir įrengiant naujas viešąsias erdves, parkus, rekreacines zonas.</w:t>
      </w:r>
    </w:p>
    <w:p w:rsidR="00BE70A7" w:rsidRPr="005369F7" w:rsidRDefault="00BE70A7" w:rsidP="004B6F3D">
      <w:pPr>
        <w:ind w:firstLine="709"/>
        <w:jc w:val="both"/>
        <w:rPr>
          <w:rFonts w:eastAsia="+mj-ea"/>
          <w:kern w:val="24"/>
        </w:rPr>
      </w:pPr>
      <w:r w:rsidRPr="005369F7">
        <w:t>2014–2020 m. ES finansinės paramos panaudojimo laikotarpiu valstybės institucijos numato skirti lėš</w:t>
      </w:r>
      <w:r w:rsidR="0095438C">
        <w:t>ų</w:t>
      </w:r>
      <w:r w:rsidRPr="005369F7">
        <w:t xml:space="preserve"> didžiųjų šalies miestų kvartalų kompleksiniam atnaujinimui. Kiekvienas miestas turėjo parinkti tikslinę teritoriją, kuri bus regeneruojama. Klaipėdos mieste tokia teritorija pasirinktas kvartalas </w:t>
      </w:r>
      <w:r w:rsidRPr="005369F7">
        <w:rPr>
          <w:rFonts w:eastAsia="+mj-ea"/>
          <w:kern w:val="24"/>
        </w:rPr>
        <w:t>tarp</w:t>
      </w:r>
      <w:r w:rsidR="0071262D" w:rsidRPr="005369F7">
        <w:rPr>
          <w:rFonts w:eastAsia="+mj-ea"/>
          <w:kern w:val="24"/>
        </w:rPr>
        <w:t xml:space="preserve"> Taikos pr., Galinio Pylimo g.,</w:t>
      </w:r>
      <w:r w:rsidRPr="005369F7">
        <w:rPr>
          <w:rFonts w:eastAsia="+mj-ea"/>
          <w:kern w:val="24"/>
        </w:rPr>
        <w:t xml:space="preserve"> Aukštosios g., Turgaus g., Tiltų g., Danės g., Mokyklos</w:t>
      </w:r>
      <w:r w:rsidR="0071262D" w:rsidRPr="005369F7">
        <w:rPr>
          <w:rFonts w:eastAsia="+mj-ea"/>
          <w:kern w:val="24"/>
        </w:rPr>
        <w:t> </w:t>
      </w:r>
      <w:r w:rsidR="00E57D25">
        <w:rPr>
          <w:rFonts w:eastAsia="+mj-ea"/>
          <w:kern w:val="24"/>
        </w:rPr>
        <w:t xml:space="preserve">g., Šilutės </w:t>
      </w:r>
      <w:proofErr w:type="spellStart"/>
      <w:r w:rsidR="00E57D25">
        <w:rPr>
          <w:rFonts w:eastAsia="+mj-ea"/>
          <w:kern w:val="24"/>
        </w:rPr>
        <w:t>pl</w:t>
      </w:r>
      <w:proofErr w:type="spellEnd"/>
      <w:r w:rsidR="00E57D25">
        <w:rPr>
          <w:rFonts w:eastAsia="+mj-ea"/>
          <w:kern w:val="24"/>
        </w:rPr>
        <w:t>. ir</w:t>
      </w:r>
      <w:r w:rsidRPr="005369F7">
        <w:rPr>
          <w:rFonts w:eastAsia="+mj-ea"/>
          <w:kern w:val="24"/>
        </w:rPr>
        <w:t xml:space="preserve"> Kauno g. 2014</w:t>
      </w:r>
      <w:r w:rsidR="0071262D" w:rsidRPr="005369F7">
        <w:rPr>
          <w:rFonts w:eastAsia="+mj-ea"/>
          <w:kern w:val="24"/>
        </w:rPr>
        <w:t>–</w:t>
      </w:r>
      <w:r w:rsidRPr="005369F7">
        <w:rPr>
          <w:rFonts w:eastAsia="+mj-ea"/>
          <w:kern w:val="24"/>
        </w:rPr>
        <w:t>2020 m. planuojama įgyvendinti projektus, kurie atgaivintų šią miesto dalį: įrengti naują tiltą per Danės upę, sutvarkyti Danės upės krantines nuo Biržos tilto iki Mokyklos g. tilto, rekonstruoti futbolo spor</w:t>
      </w:r>
      <w:r w:rsidR="0071262D" w:rsidRPr="005369F7">
        <w:rPr>
          <w:rFonts w:eastAsia="+mj-ea"/>
          <w:kern w:val="24"/>
        </w:rPr>
        <w:t>to mokyklos pastatus Paryžiaus K</w:t>
      </w:r>
      <w:r w:rsidRPr="005369F7">
        <w:rPr>
          <w:rFonts w:eastAsia="+mj-ea"/>
          <w:kern w:val="24"/>
        </w:rPr>
        <w:t>omunos g. 16A į modernų sporto centrą, regeneruoti viešąsias erdves ir gyvenamųjų namų kiemus, vykdyti kitus investicinius projektus.</w:t>
      </w:r>
    </w:p>
    <w:p w:rsidR="00BE70A7" w:rsidRPr="005369F7" w:rsidRDefault="00BE70A7" w:rsidP="004B6F3D">
      <w:pPr>
        <w:ind w:firstLine="709"/>
        <w:jc w:val="both"/>
      </w:pPr>
      <w:r w:rsidRPr="005369F7">
        <w:t>2014–2016 m. daugiau dėmesio ketinam</w:t>
      </w:r>
      <w:r w:rsidR="0071262D" w:rsidRPr="005369F7">
        <w:t>a skirti pietinės miesto dalies</w:t>
      </w:r>
      <w:r w:rsidRPr="005369F7">
        <w:t xml:space="preserve"> viešosioms erdvėms atnaujinti. 2014 m. planuojama sutvarkyti  Debreceno gyvenamojo kvartalo centrinę aikštę, 2015 m. – Pempininkų gyvenamojo kvartalo.</w:t>
      </w:r>
    </w:p>
    <w:p w:rsidR="00BE70A7" w:rsidRPr="005369F7" w:rsidRDefault="00BE70A7" w:rsidP="004B6F3D">
      <w:pPr>
        <w:ind w:firstLine="709"/>
        <w:jc w:val="both"/>
      </w:pPr>
      <w:r w:rsidRPr="005369F7">
        <w:t xml:space="preserve">2014 m. bus užbaigta įrengti nauja rekreacinė zona miesto gyventojams ir svečiams – nutiestas naujas dviračių takas (su poilsio aikštelėmis) Danės upės slėnio teritorijoje (ruožas nuo Biržos tilto iki Klaipėdos g. tilto). </w:t>
      </w:r>
    </w:p>
    <w:p w:rsidR="00BE70A7" w:rsidRPr="005369F7" w:rsidRDefault="00BE70A7" w:rsidP="004B6F3D">
      <w:pPr>
        <w:ind w:firstLine="709"/>
        <w:jc w:val="both"/>
      </w:pPr>
    </w:p>
    <w:p w:rsidR="00BE70A7" w:rsidRPr="005369F7" w:rsidRDefault="00BE70A7" w:rsidP="004B6F3D">
      <w:pPr>
        <w:ind w:firstLine="709"/>
        <w:jc w:val="both"/>
        <w:rPr>
          <w:b/>
        </w:rPr>
      </w:pPr>
      <w:r w:rsidRPr="005369F7">
        <w:rPr>
          <w:b/>
          <w:color w:val="002060"/>
        </w:rPr>
        <w:t>2</w:t>
      </w:r>
      <w:r w:rsidRPr="005369F7">
        <w:rPr>
          <w:b/>
        </w:rPr>
        <w:t>.</w:t>
      </w:r>
      <w:r w:rsidR="00024759">
        <w:rPr>
          <w:b/>
        </w:rPr>
        <w:t xml:space="preserve">2. Aplinkos taršos </w:t>
      </w:r>
      <w:proofErr w:type="spellStart"/>
      <w:r w:rsidR="00024759">
        <w:rPr>
          <w:b/>
        </w:rPr>
        <w:t>stebėsena</w:t>
      </w:r>
      <w:proofErr w:type="spellEnd"/>
      <w:r w:rsidR="00024759">
        <w:rPr>
          <w:b/>
        </w:rPr>
        <w:t xml:space="preserve"> ir</w:t>
      </w:r>
      <w:r w:rsidRPr="005369F7">
        <w:rPr>
          <w:b/>
        </w:rPr>
        <w:t xml:space="preserve"> mažinimas.</w:t>
      </w:r>
    </w:p>
    <w:p w:rsidR="00BE70A7" w:rsidRPr="005369F7" w:rsidRDefault="00BE70A7" w:rsidP="004B6F3D">
      <w:pPr>
        <w:ind w:firstLine="709"/>
        <w:jc w:val="both"/>
      </w:pPr>
      <w:r w:rsidRPr="005369F7">
        <w:t xml:space="preserve">Nuo </w:t>
      </w:r>
      <w:smartTag w:uri="schemas-tilde-lv/tildestengine" w:element="metric2">
        <w:smartTagPr>
          <w:attr w:name="metric_value" w:val="2005"/>
          <w:attr w:name="metric_text" w:val="m"/>
        </w:smartTagPr>
        <w:smartTag w:uri="urn:schemas-microsoft-com:office:smarttags" w:element="metricconverter">
          <w:smartTagPr>
            <w:attr w:name="ProductID" w:val="2005 m"/>
          </w:smartTagPr>
          <w:r w:rsidRPr="005369F7">
            <w:t>2005 m</w:t>
          </w:r>
        </w:smartTag>
      </w:smartTag>
      <w:r w:rsidRPr="005369F7">
        <w:t>. yra vykdomas Klaipėdos miesto savivaldybės aplinkos monitor</w:t>
      </w:r>
      <w:smartTag w:uri="urn:schemas-microsoft-com:office:smarttags" w:element="PersonName">
        <w:r w:rsidRPr="005369F7">
          <w:t>inga</w:t>
        </w:r>
      </w:smartTag>
      <w:r w:rsidRPr="005369F7">
        <w:t xml:space="preserve">s. Pagal </w:t>
      </w:r>
      <w:smartTag w:uri="schemas-tilde-lv/tildestengine" w:element="metric2">
        <w:smartTagPr>
          <w:attr w:name="metric_value" w:val="2012"/>
          <w:attr w:name="metric_text" w:val="m"/>
        </w:smartTagPr>
        <w:smartTag w:uri="urn:schemas-microsoft-com:office:smarttags" w:element="metricconverter">
          <w:smartTagPr>
            <w:attr w:name="ProductID" w:val="2012 m"/>
          </w:smartTagPr>
          <w:r w:rsidRPr="005369F7">
            <w:t>2012 m</w:t>
          </w:r>
        </w:smartTag>
      </w:smartTag>
      <w:r w:rsidRPr="005369F7">
        <w:t xml:space="preserve">. </w:t>
      </w:r>
      <w:r w:rsidR="000D7BC6" w:rsidRPr="005369F7">
        <w:t xml:space="preserve">Klaipėdos miesto </w:t>
      </w:r>
      <w:r w:rsidRPr="005369F7">
        <w:t>savivaldybės tarybos patvirtintą 2012–</w:t>
      </w:r>
      <w:smartTag w:uri="schemas-tilde-lv/tildestengine" w:element="metric2">
        <w:smartTagPr>
          <w:attr w:name="metric_value" w:val="2016"/>
          <w:attr w:name="metric_text" w:val="m"/>
        </w:smartTagPr>
        <w:r w:rsidRPr="005369F7">
          <w:t>2016 m</w:t>
        </w:r>
      </w:smartTag>
      <w:r w:rsidRPr="005369F7">
        <w:t>. Klaipėdos miesto savivaldybės aplinkos monitoringo programą toliau bus tęsiami triukšmo matavimai 40 taškų, oro taršos tyrimai 23 tašk</w:t>
      </w:r>
      <w:r w:rsidR="000D7BC6" w:rsidRPr="005369F7">
        <w:t>uose</w:t>
      </w:r>
      <w:r w:rsidRPr="005369F7">
        <w:t xml:space="preserve">, hidrologiniai, </w:t>
      </w:r>
      <w:proofErr w:type="spellStart"/>
      <w:r w:rsidRPr="005369F7">
        <w:t>hidrogeocheminiai</w:t>
      </w:r>
      <w:proofErr w:type="spellEnd"/>
      <w:r w:rsidRPr="005369F7">
        <w:t xml:space="preserve"> ir hidrobiologiniai tyrimai 10 paviršinio vandens telkinių, dirvožemio, biologinės</w:t>
      </w:r>
      <w:r w:rsidR="00D972AB" w:rsidRPr="005369F7">
        <w:t xml:space="preserve"> įvairovės ir maudyklų tyrimai.</w:t>
      </w:r>
    </w:p>
    <w:p w:rsidR="00BE70A7" w:rsidRPr="005369F7" w:rsidRDefault="00BE70A7" w:rsidP="004B6F3D">
      <w:pPr>
        <w:ind w:firstLine="709"/>
        <w:jc w:val="both"/>
        <w:rPr>
          <w:color w:val="FF0000"/>
        </w:rPr>
      </w:pPr>
      <w:r w:rsidRPr="005369F7">
        <w:t>Klaipėdos mieste oro kokybė bus vertinama pagal oro taršos tyrimų duomenis stacionariose aplinkos oro kokybės matavimo stotyse, esančios</w:t>
      </w:r>
      <w:r w:rsidR="002520E6" w:rsidRPr="005369F7">
        <w:t xml:space="preserve">e Bangų g. 7 ir Baltijos pr. 1. </w:t>
      </w:r>
      <w:r w:rsidRPr="005369F7">
        <w:t xml:space="preserve"> 2012 m. oro kokybės matavimo stotyse užfiksuoti duomenys rodė, kad per metus buvo atitinkamai 28 ir 17 dienų, kai buvo viršijamos ribinės teršalų (KD10) vertės (maksimalus leistinas skaičius – 35 dienos). Didžiausia oro tarša Klaipėdos mieste yra ne iš stacionarių šaltinių, o iš autotransporto priemonių. Dėl to siekiama, kad kuo daugiau miesto ir priemiesčių gyventojų naudotųsi viešuoju transportu – investuojama į paslaugų kokybę, tobulinama e. bilieto sistema, atnaujinamas autobusų parkas, bendradarbiaujant su kitomis savivaldybėmis, integruojami maršrutai ir t. t. 2014–2015 m. šiaurinėje m</w:t>
      </w:r>
      <w:r w:rsidR="008F6B75" w:rsidRPr="005369F7">
        <w:t>iesto dalyje planuojama diegti principu „</w:t>
      </w:r>
      <w:r w:rsidR="008F6B75" w:rsidRPr="005369F7">
        <w:rPr>
          <w:rFonts w:eastAsiaTheme="minorHAnsi"/>
          <w:bCs/>
        </w:rPr>
        <w:t>Palik automobilį ir važiuok viešuoju transportu</w:t>
      </w:r>
      <w:r w:rsidR="008F6B75" w:rsidRPr="005369F7">
        <w:t>“</w:t>
      </w:r>
      <w:r w:rsidR="002520E6" w:rsidRPr="005369F7">
        <w:t xml:space="preserve"> (angl. „</w:t>
      </w:r>
      <w:r w:rsidR="008F6B75" w:rsidRPr="005369F7">
        <w:t>PARK&amp;RIDE</w:t>
      </w:r>
      <w:r w:rsidR="002520E6" w:rsidRPr="005369F7">
        <w:t>“</w:t>
      </w:r>
      <w:r w:rsidRPr="005369F7">
        <w:t>) veikiančią automobilių laikymo aikštelę, kurioje iš užmiesčio ar priemiesčių individualiais automobiliais atvykstantys žmonės galės palikti savo transporto priemones ir toliau važiuoti miesto transportu.</w:t>
      </w:r>
    </w:p>
    <w:p w:rsidR="00BE70A7" w:rsidRPr="005369F7" w:rsidRDefault="00BE70A7" w:rsidP="004B6F3D">
      <w:pPr>
        <w:tabs>
          <w:tab w:val="left" w:pos="709"/>
        </w:tabs>
        <w:ind w:firstLine="709"/>
        <w:jc w:val="both"/>
      </w:pPr>
      <w:r w:rsidRPr="005369F7">
        <w:t>Aplinkos kokybei didel</w:t>
      </w:r>
      <w:r w:rsidR="00D15F6E">
        <w:t>ės</w:t>
      </w:r>
      <w:r w:rsidRPr="005369F7">
        <w:t xml:space="preserve"> įtak</w:t>
      </w:r>
      <w:r w:rsidR="00C10604">
        <w:t>os</w:t>
      </w:r>
      <w:r w:rsidRPr="005369F7">
        <w:t xml:space="preserve"> turi želdynai. Dėl to siekiama išsaugoti parkų ir skverų tinklą, prižiūrėti esamus, formuoti naujus želdynus, suteikti želdynams juridinį statusą (t. y. parengti </w:t>
      </w:r>
      <w:r w:rsidRPr="005369F7">
        <w:lastRenderedPageBreak/>
        <w:t>žemės sklypų ribų planus, įregistruoti Nekilnojamojo turto kadastre).  Klaipėdoje 1 gyventojui tenka apie 10,5 m² (neįskaičiuojant Smiltynės ir Girulių miškų) rekreacinės paskirties želdynų, o vadovaujantis Aplinkos ministerijos nustatytomis normomis turėtų būti 25 m²</w:t>
      </w:r>
      <w:r w:rsidRPr="005369F7">
        <w:rPr>
          <w:rStyle w:val="Puslapioinaosnuoroda"/>
        </w:rPr>
        <w:footnoteReference w:id="3"/>
      </w:r>
      <w:r w:rsidRPr="005369F7">
        <w:t xml:space="preserve">. Želdynai Klaipėdos mieste pasiskirstę netolygiai – didžiausias susitelkimas yra šiaurinėje miesto dalyje, o pietinėje miesto dalyje želdynų trūksta. </w:t>
      </w:r>
    </w:p>
    <w:p w:rsidR="00BE70A7" w:rsidRPr="005369F7" w:rsidRDefault="00BE70A7" w:rsidP="004B6F3D">
      <w:pPr>
        <w:ind w:firstLine="709"/>
        <w:jc w:val="both"/>
      </w:pPr>
      <w:r w:rsidRPr="005369F7">
        <w:t xml:space="preserve">Atliekų tvarkymo srityje siekiama antrinių žaliavų surinkimo ir perdirbimo rodiklių pagerėjimo – 2014 m. regioniniame sąvartyne </w:t>
      </w:r>
      <w:proofErr w:type="spellStart"/>
      <w:r w:rsidRPr="005369F7">
        <w:t>Dumpiuose</w:t>
      </w:r>
      <w:proofErr w:type="spellEnd"/>
      <w:r w:rsidRPr="005369F7">
        <w:t xml:space="preserve"> bus įrengta antrinių žaliavų rūšiavimo linija. Taip pat svarbu paminėti, kad Klaipėdos mieste 2014 m. </w:t>
      </w:r>
      <w:r w:rsidR="001938B1" w:rsidRPr="005369F7">
        <w:t>bus pradėtas</w:t>
      </w:r>
      <w:r w:rsidRPr="005369F7">
        <w:t xml:space="preserve"> požeminių ir pusiau požeminių konteinerių įrengimo gyvenamųjų daugiabučių namų kiemuose projekt</w:t>
      </w:r>
      <w:r w:rsidR="001938B1" w:rsidRPr="005369F7">
        <w:t>o įgyvendinimas</w:t>
      </w:r>
      <w:r w:rsidRPr="005369F7">
        <w:t xml:space="preserve">, kurį užbaigti planuojama iki 2020 m. </w:t>
      </w:r>
    </w:p>
    <w:p w:rsidR="00BE70A7" w:rsidRPr="005369F7" w:rsidRDefault="00BE70A7" w:rsidP="004B6F3D">
      <w:pPr>
        <w:ind w:firstLine="709"/>
        <w:jc w:val="both"/>
      </w:pPr>
    </w:p>
    <w:p w:rsidR="00BE70A7" w:rsidRPr="005369F7" w:rsidRDefault="00BE70A7" w:rsidP="004B6F3D">
      <w:pPr>
        <w:ind w:firstLine="709"/>
        <w:rPr>
          <w:b/>
        </w:rPr>
      </w:pPr>
      <w:r w:rsidRPr="005369F7">
        <w:rPr>
          <w:b/>
        </w:rPr>
        <w:t>2.3. Energijos taupymas.</w:t>
      </w:r>
    </w:p>
    <w:p w:rsidR="00BE70A7" w:rsidRPr="005369F7" w:rsidRDefault="00BE70A7" w:rsidP="004B6F3D">
      <w:pPr>
        <w:ind w:firstLine="709"/>
        <w:jc w:val="both"/>
      </w:pPr>
      <w:r w:rsidRPr="005369F7">
        <w:t xml:space="preserve">Siekiant taupyti energiją, 2014–2016 m. bus tęsiama savivaldybės biudžetinių įstaigų pastatų renovacija, </w:t>
      </w:r>
      <w:r w:rsidR="00B41817" w:rsidRPr="005369F7">
        <w:t xml:space="preserve">rengiami pastatų, kurie bus renovuojami iki 2020 m., </w:t>
      </w:r>
      <w:r w:rsidRPr="005369F7">
        <w:t>energetinio audito dokumentai</w:t>
      </w:r>
      <w:r w:rsidR="00B41817" w:rsidRPr="005369F7">
        <w:t>.</w:t>
      </w:r>
      <w:r w:rsidRPr="005369F7">
        <w:t xml:space="preserve"> </w:t>
      </w:r>
    </w:p>
    <w:p w:rsidR="00BE70A7" w:rsidRPr="005369F7" w:rsidRDefault="00BE70A7" w:rsidP="004B6F3D">
      <w:pPr>
        <w:ind w:firstLine="709"/>
        <w:jc w:val="both"/>
      </w:pPr>
      <w:r w:rsidRPr="005369F7">
        <w:t>Rinkoje augant iškastinio kuro kainoms,  brangsta elektros energija. Miestas kasmet išleidžia apie 3 mln. Lt įsigydama</w:t>
      </w:r>
      <w:r w:rsidR="00304E2C" w:rsidRPr="005369F7">
        <w:t>s elektros energiją</w:t>
      </w:r>
      <w:r w:rsidRPr="005369F7">
        <w:t xml:space="preserve"> gatvių ir viešųjų erdvių apšvietimui ir ši suma turi tendenciją augti. 2012 m. duomenimis, vienas šviestuvas vidutiniškai sunaudoja 574,5 </w:t>
      </w:r>
      <w:proofErr w:type="spellStart"/>
      <w:r w:rsidRPr="005369F7">
        <w:t>KWh</w:t>
      </w:r>
      <w:proofErr w:type="spellEnd"/>
      <w:r w:rsidRPr="005369F7">
        <w:t xml:space="preserve"> per metus. Siekiant s</w:t>
      </w:r>
      <w:r w:rsidR="00304E2C" w:rsidRPr="005369F7">
        <w:t>umažinti energijos suvartojimą,</w:t>
      </w:r>
      <w:r w:rsidRPr="005369F7">
        <w:t xml:space="preserve"> numatoma atlikti analizę ir investuoti į gatvių apšvietimo reguliatorius – UAB „Gatvių apšvietimas“ skaičiavimais, investicija į reguliatorius atsipirktų maždaug per 4–5 metus.   </w:t>
      </w:r>
    </w:p>
    <w:p w:rsidR="00BE70A7" w:rsidRPr="005369F7" w:rsidRDefault="00BE70A7" w:rsidP="004B6F3D">
      <w:pPr>
        <w:ind w:firstLine="709"/>
        <w:jc w:val="both"/>
      </w:pPr>
      <w:r w:rsidRPr="005369F7">
        <w:t xml:space="preserve">Miesto energetikos ūkyje siekiama didinti atsinaujinančio kuro dalį centrinio šildymo sistemoje (šiuo metu ji sudaro apie 25 proc.): numatoma rekonstruoti AB „Klaipėdos energija“ Klaipėdos rajoninę katilinę, įrengiant naują biokuro katilą su kondensaciniu </w:t>
      </w:r>
      <w:proofErr w:type="spellStart"/>
      <w:r w:rsidRPr="005369F7">
        <w:t>ekonomaizeriu</w:t>
      </w:r>
      <w:proofErr w:type="spellEnd"/>
      <w:r w:rsidRPr="005369F7">
        <w:t>. Siekdama sumažinti šilumos nuostolius, AB „Klaipėdos energija“ numato kasmet rekonstruoti ne mažiau kaip po 5 km termofikacinių šilumos tiekimo tinklų, panaudodama poliuretano izoliacija izoliuotus vamzdynus.</w:t>
      </w:r>
    </w:p>
    <w:p w:rsidR="00BE70A7" w:rsidRPr="005369F7" w:rsidRDefault="00BE70A7" w:rsidP="004B6F3D">
      <w:pPr>
        <w:ind w:firstLine="709"/>
        <w:jc w:val="both"/>
      </w:pPr>
    </w:p>
    <w:p w:rsidR="00BE70A7" w:rsidRPr="005369F7" w:rsidRDefault="00BE70A7" w:rsidP="004B6F3D">
      <w:pPr>
        <w:ind w:firstLine="709"/>
        <w:jc w:val="both"/>
        <w:rPr>
          <w:b/>
        </w:rPr>
      </w:pPr>
      <w:r w:rsidRPr="005369F7">
        <w:rPr>
          <w:b/>
        </w:rPr>
        <w:t>2.4. Daugiabučių namų ir jų aplinkos tvarkymo skatinimas.</w:t>
      </w:r>
    </w:p>
    <w:p w:rsidR="00BE70A7" w:rsidRPr="005369F7" w:rsidRDefault="00BE70A7" w:rsidP="004B6F3D">
      <w:pPr>
        <w:ind w:firstLine="709"/>
        <w:jc w:val="both"/>
      </w:pPr>
      <w:r w:rsidRPr="005369F7">
        <w:t>2014–2020 metų ES finansinės paramos panaudojimo laikotarpiu valstybės institucijos numato suaktyvinti daugiabučių namų renovacijos proc</w:t>
      </w:r>
      <w:r w:rsidR="007D2C0A" w:rsidRPr="005369F7">
        <w:t>esus. Ši problema labai aktuali</w:t>
      </w:r>
      <w:r w:rsidRPr="005369F7">
        <w:t xml:space="preserve"> Klaipėdos miesto savivaldybei, kadangi didžioji dauguma miesto daugiabučių namų yra pastatyti iki 1991 m. ir yra energetiškai neefektyvūs.</w:t>
      </w:r>
      <w:r w:rsidRPr="005369F7">
        <w:rPr>
          <w:b/>
        </w:rPr>
        <w:t xml:space="preserve"> </w:t>
      </w:r>
      <w:r w:rsidRPr="005369F7">
        <w:t xml:space="preserve">Savivaldybės vaidmuo daugiabučių namų renovacijos procese nėra tiesioginis, tačiau numatoma vykdyti informacijos apie daugiabučių namų renovavimo galimybes sklaidą, skatinti gyventojus renovuoti būstą. </w:t>
      </w:r>
    </w:p>
    <w:p w:rsidR="00BE70A7" w:rsidRPr="005369F7" w:rsidRDefault="00BE70A7" w:rsidP="004B6F3D">
      <w:pPr>
        <w:ind w:firstLine="709"/>
        <w:jc w:val="both"/>
        <w:rPr>
          <w:b/>
        </w:rPr>
      </w:pPr>
      <w:r w:rsidRPr="005369F7">
        <w:t>2014–2020 m. vykdant tikslinės teritorijos, t.</w:t>
      </w:r>
      <w:r w:rsidR="007D2C0A" w:rsidRPr="005369F7">
        <w:t xml:space="preserve"> </w:t>
      </w:r>
      <w:r w:rsidRPr="005369F7">
        <w:t xml:space="preserve">y. kvartalo </w:t>
      </w:r>
      <w:r w:rsidRPr="005369F7">
        <w:rPr>
          <w:rFonts w:eastAsia="+mj-ea"/>
          <w:kern w:val="24"/>
        </w:rPr>
        <w:t xml:space="preserve">tarp Taikos pr., Galinio Pylimo g.,  Aukštosios g., Turgaus g., Tiltų g., Danės g., Mokyklos g., Šilutės </w:t>
      </w:r>
      <w:proofErr w:type="spellStart"/>
      <w:r w:rsidRPr="005369F7">
        <w:rPr>
          <w:rFonts w:eastAsia="+mj-ea"/>
          <w:kern w:val="24"/>
        </w:rPr>
        <w:t>pl</w:t>
      </w:r>
      <w:proofErr w:type="spellEnd"/>
      <w:r w:rsidRPr="005369F7">
        <w:rPr>
          <w:rFonts w:eastAsia="+mj-ea"/>
          <w:kern w:val="24"/>
        </w:rPr>
        <w:t>.</w:t>
      </w:r>
      <w:r w:rsidR="00FC02C4">
        <w:rPr>
          <w:rFonts w:eastAsia="+mj-ea"/>
          <w:kern w:val="24"/>
        </w:rPr>
        <w:t xml:space="preserve"> ir</w:t>
      </w:r>
      <w:r w:rsidRPr="005369F7">
        <w:rPr>
          <w:rFonts w:eastAsia="+mj-ea"/>
          <w:kern w:val="24"/>
        </w:rPr>
        <w:t xml:space="preserve"> Kauno g., regeneravimo darbus, bus tvarkomi daugiabučių namų kiemai, poilsio infrastruktūra, želdiniai. Pirmiau ketinama tvarkyti renovuotų ar renovuojamų daugiabučių namų kiemus.</w:t>
      </w:r>
    </w:p>
    <w:p w:rsidR="00BE70A7" w:rsidRPr="005369F7" w:rsidRDefault="00BE70A7" w:rsidP="004B6F3D">
      <w:pPr>
        <w:ind w:firstLine="709"/>
        <w:jc w:val="both"/>
        <w:rPr>
          <w:lang w:eastAsia="lt-LT"/>
        </w:rPr>
      </w:pPr>
      <w:r w:rsidRPr="005369F7">
        <w:t xml:space="preserve">Klaipėdos miesto savivaldybė siekia didinti gyventojų atsakomybę už viešųjų erdvių tvarkymą – daugiabučių namų butų savininkams siūloma tapti ir sklypo prie daugiabučio namo bendraturčiais. </w:t>
      </w:r>
      <w:r w:rsidRPr="005369F7">
        <w:rPr>
          <w:lang w:eastAsia="lt-LT"/>
        </w:rPr>
        <w:t>Įsiteisinę sklypą prie namo gyventojai įgaus teisę patys tvarkyti kiemą, įrengti papildomas automobilių stovėjimo, vaikų žaidimo aikšteles, ramaus poilsio ar sporto zonas. Atsiras prievolė patiems valyti kiemą, tačiau kartu atsiras galimybė pastatyti užkardą prie įvažiavimo į kiemą, siekiant išvengti svetimų automobilių statymo jų kieme.</w:t>
      </w:r>
    </w:p>
    <w:p w:rsidR="00BE70A7" w:rsidRPr="005369F7" w:rsidRDefault="00BE70A7" w:rsidP="004B6F3D">
      <w:pPr>
        <w:ind w:firstLine="709"/>
        <w:jc w:val="both"/>
      </w:pPr>
    </w:p>
    <w:p w:rsidR="007D2C0A" w:rsidRPr="005369F7" w:rsidRDefault="007D2C0A" w:rsidP="004B6F3D">
      <w:pPr>
        <w:ind w:firstLine="709"/>
        <w:jc w:val="both"/>
        <w:rPr>
          <w:b/>
        </w:rPr>
      </w:pPr>
    </w:p>
    <w:p w:rsidR="007D2C0A" w:rsidRPr="005369F7" w:rsidRDefault="007D2C0A" w:rsidP="004B6F3D">
      <w:pPr>
        <w:ind w:firstLine="709"/>
        <w:jc w:val="both"/>
        <w:rPr>
          <w:b/>
        </w:rPr>
      </w:pPr>
    </w:p>
    <w:p w:rsidR="00BE70A7" w:rsidRPr="005369F7" w:rsidRDefault="00BE70A7" w:rsidP="004B6F3D">
      <w:pPr>
        <w:ind w:firstLine="709"/>
        <w:jc w:val="both"/>
        <w:rPr>
          <w:b/>
        </w:rPr>
      </w:pPr>
      <w:r w:rsidRPr="005369F7">
        <w:rPr>
          <w:b/>
        </w:rPr>
        <w:lastRenderedPageBreak/>
        <w:t>2.5. Viešosios tvarkos ir saugumo užtikrinimas.</w:t>
      </w:r>
    </w:p>
    <w:p w:rsidR="00BE70A7" w:rsidRPr="005369F7" w:rsidRDefault="00BE70A7" w:rsidP="004B6F3D">
      <w:pPr>
        <w:ind w:firstLine="709"/>
        <w:jc w:val="both"/>
      </w:pPr>
      <w:r w:rsidRPr="005369F7">
        <w:t xml:space="preserve">Siekiant užtikrinti viešąją tvarką ir saugumą, pastaraisiais metais buvo stiprinimas Savivaldybės administracijos Viešosios tvarkos skyrius, kuris kontroliuoja, kaip fiziniai ir juridiniai asmenys laikosi valstybės ir savivaldybės teisės aktais patvirtintų tvarkų ir taisyklių. Tai davė teigiamų rezultatų – pagerėjo rinkliavos už automobilių statymą </w:t>
      </w:r>
      <w:proofErr w:type="spellStart"/>
      <w:r w:rsidRPr="005369F7">
        <w:t>surenkamumas</w:t>
      </w:r>
      <w:proofErr w:type="spellEnd"/>
      <w:r w:rsidRPr="005369F7">
        <w:t xml:space="preserve">, mieste sumažėjo nelegalios reklamos. </w:t>
      </w:r>
    </w:p>
    <w:p w:rsidR="00BE70A7" w:rsidRPr="005369F7" w:rsidRDefault="00BE70A7" w:rsidP="004B6F3D">
      <w:pPr>
        <w:ind w:firstLine="709"/>
        <w:jc w:val="both"/>
      </w:pPr>
      <w:r w:rsidRPr="005369F7">
        <w:t>2014–2016 m. bus toliau palaikoma integruoto stebėjimo sistema viešose vietose. 2013 m. įvairiose miesto vietose buvo eksploatuojamos 57 kameros, kuriomis visą parą filmuojamos nesaugios miesto dalys, turistų ir miesto gyventojų gausiai lankomų vietų vaizdas perduodamas į stebėjimo punktą, veikiantį Vyriausiojo policijos komisariato patalpose. 2014 m. numatoma padidinti stebimų teritorijų skaičių – įrengti kameras Vasaros estradoje bei Klaipėdos piliavietėje.</w:t>
      </w:r>
    </w:p>
    <w:p w:rsidR="00BE70A7" w:rsidRPr="005369F7" w:rsidRDefault="00BE70A7" w:rsidP="004B6F3D">
      <w:pPr>
        <w:ind w:firstLine="709"/>
        <w:jc w:val="both"/>
        <w:rPr>
          <w:b/>
        </w:rPr>
      </w:pPr>
    </w:p>
    <w:p w:rsidR="00BE70A7" w:rsidRPr="005369F7" w:rsidRDefault="00BE70A7" w:rsidP="004B6F3D">
      <w:pPr>
        <w:ind w:firstLine="709"/>
        <w:jc w:val="both"/>
        <w:rPr>
          <w:b/>
        </w:rPr>
      </w:pPr>
      <w:r w:rsidRPr="005369F7">
        <w:rPr>
          <w:b/>
        </w:rPr>
        <w:t>2.6. Sąlygų ugdyti sveiką gyvenseną bei tenkinti poreikį sportui, menui ir kultūrai sudarymas.</w:t>
      </w:r>
    </w:p>
    <w:p w:rsidR="00BE70A7" w:rsidRPr="005369F7" w:rsidRDefault="00BE70A7" w:rsidP="004B6F3D">
      <w:pPr>
        <w:ind w:firstLine="709"/>
        <w:jc w:val="both"/>
      </w:pPr>
      <w:r w:rsidRPr="005369F7">
        <w:t xml:space="preserve">Remiantis Klaipėdos miesto visuomenės sveikatos biuro 2012 m. atliktų tyrimų duomenimis, </w:t>
      </w:r>
      <w:r w:rsidRPr="005369F7">
        <w:rPr>
          <w:rFonts w:eastAsia="Calibri"/>
        </w:rPr>
        <w:t>33,1 proc. klaipėd</w:t>
      </w:r>
      <w:r w:rsidR="007A39EF" w:rsidRPr="005369F7">
        <w:rPr>
          <w:rFonts w:eastAsia="Calibri"/>
        </w:rPr>
        <w:t>iečių turi antsvorio problemų,</w:t>
      </w:r>
      <w:r w:rsidRPr="005369F7">
        <w:rPr>
          <w:rFonts w:eastAsia="Calibri"/>
        </w:rPr>
        <w:t xml:space="preserve"> 13,3 p</w:t>
      </w:r>
      <w:r w:rsidR="007D28EC" w:rsidRPr="005369F7">
        <w:rPr>
          <w:rFonts w:eastAsia="Calibri"/>
        </w:rPr>
        <w:t>roc. klaipėdiečių yra nutukę, o</w:t>
      </w:r>
      <w:r w:rsidRPr="005369F7">
        <w:t xml:space="preserve"> visai nesimankštinančių gyventojų dalis sudaro 45,5 proc. </w:t>
      </w:r>
    </w:p>
    <w:p w:rsidR="00BE70A7" w:rsidRPr="005369F7" w:rsidRDefault="00BE70A7" w:rsidP="004B6F3D">
      <w:pPr>
        <w:ind w:firstLine="709"/>
        <w:jc w:val="both"/>
      </w:pPr>
      <w:r w:rsidRPr="005369F7">
        <w:t>Savivaldybės duomenimis, Klaipėdos mieste organizuotai sportuoja apie 7,5</w:t>
      </w:r>
      <w:r w:rsidR="007D28EC" w:rsidRPr="005369F7">
        <w:t xml:space="preserve"> proc. </w:t>
      </w:r>
      <w:r w:rsidRPr="005369F7">
        <w:t>gyventojų, savarankiškai sportuoja ir mankštinasi apie 20 proc</w:t>
      </w:r>
      <w:r w:rsidR="007D28EC" w:rsidRPr="005369F7">
        <w:t>.</w:t>
      </w:r>
      <w:r w:rsidRPr="005369F7">
        <w:t xml:space="preserve"> miesto gyventojų. Palygin</w:t>
      </w:r>
      <w:r w:rsidR="007D28EC" w:rsidRPr="005369F7">
        <w:t>t</w:t>
      </w:r>
      <w:r w:rsidRPr="005369F7">
        <w:t xml:space="preserve">i, Europos Sąjungos miestuose organizuotai sportuoja vidutiniškai 17,3 </w:t>
      </w:r>
      <w:r w:rsidR="007D28EC" w:rsidRPr="005369F7">
        <w:t>proc.</w:t>
      </w:r>
      <w:r w:rsidRPr="005369F7">
        <w:t xml:space="preserve">, savarankiškai – 30–50 </w:t>
      </w:r>
      <w:r w:rsidR="007D28EC" w:rsidRPr="005369F7">
        <w:t>proc.</w:t>
      </w:r>
      <w:r w:rsidRPr="005369F7">
        <w:t xml:space="preserve"> gyventojų. </w:t>
      </w:r>
    </w:p>
    <w:p w:rsidR="00BE70A7" w:rsidRPr="005369F7" w:rsidRDefault="00BE70A7" w:rsidP="004B6F3D">
      <w:pPr>
        <w:ind w:firstLine="709"/>
        <w:jc w:val="both"/>
        <w:rPr>
          <w:rFonts w:eastAsia="Calibri"/>
        </w:rPr>
      </w:pPr>
      <w:r w:rsidRPr="005369F7">
        <w:t xml:space="preserve">Netaisyklinga mityba ir mažas fizinis krūvis lemia rimtas sveikatos problemas. Ypač didelį nerimą kelia vaikų sveikatos būklė </w:t>
      </w:r>
      <w:r w:rsidR="004A47A2" w:rsidRPr="005369F7">
        <w:t>–</w:t>
      </w:r>
      <w:r w:rsidRPr="005369F7">
        <w:t xml:space="preserve"> Klaipėdos miesto visuomenės sveikatos biuro duomenimis, tik 11 proc. miesto moksleivių yra visiškai sveiki.</w:t>
      </w:r>
    </w:p>
    <w:p w:rsidR="00BE70A7" w:rsidRPr="005369F7" w:rsidRDefault="00BE70A7" w:rsidP="004B6F3D">
      <w:pPr>
        <w:ind w:firstLine="709"/>
        <w:jc w:val="both"/>
      </w:pPr>
      <w:r w:rsidRPr="005369F7">
        <w:t>Siekdama paskatinti kuo daugiau miestiečių būti fiziškai aktyviais ir gyventi sveikai, savivaldybė ir jos įstaigos organizuoja įvairius sveikatingumo ir sporto renginius, mankštas. 2013</w:t>
      </w:r>
      <w:r w:rsidR="00650908" w:rsidRPr="005369F7">
        <w:t> </w:t>
      </w:r>
      <w:r w:rsidRPr="005369F7">
        <w:t>m., norint pritraukti daugiau vaikų ir jaunimo sportuoti, buvo pradėta sporto reforma, paremta</w:t>
      </w:r>
      <w:r w:rsidR="0091415B" w:rsidRPr="005369F7">
        <w:t xml:space="preserve"> sportuojančio vaiko krepšelio</w:t>
      </w:r>
      <w:r w:rsidRPr="005369F7">
        <w:t xml:space="preserve"> principu. </w:t>
      </w:r>
    </w:p>
    <w:p w:rsidR="00BE70A7" w:rsidRPr="005369F7" w:rsidRDefault="00BE70A7" w:rsidP="004B6F3D">
      <w:pPr>
        <w:tabs>
          <w:tab w:val="left" w:pos="570"/>
        </w:tabs>
        <w:ind w:firstLine="709"/>
        <w:jc w:val="both"/>
        <w:rPr>
          <w:i/>
        </w:rPr>
      </w:pPr>
      <w:r w:rsidRPr="005369F7">
        <w:t>Ne</w:t>
      </w:r>
      <w:r w:rsidR="005360FA" w:rsidRPr="005369F7">
        <w:t xml:space="preserve"> </w:t>
      </w:r>
      <w:r w:rsidRPr="005369F7">
        <w:t>mažiau svarbi yra ir sporto bazių plėtra. 2014</w:t>
      </w:r>
      <w:r w:rsidR="005360FA" w:rsidRPr="005369F7">
        <w:t>–2020 m.</w:t>
      </w:r>
      <w:r w:rsidRPr="005369F7">
        <w:t xml:space="preserve"> numatoma įgyvendinti svarbius sporto srities investicinius projektus: pastatyti</w:t>
      </w:r>
      <w:r w:rsidR="005360FA" w:rsidRPr="005369F7">
        <w:t xml:space="preserve"> Klaipėdos miesto baseiną (50 m</w:t>
      </w:r>
      <w:r w:rsidRPr="005369F7">
        <w:t>) su sveikatingumo centru; pertvarkyti futbolo sporto mokyklos ir buvusio baseino pastatus (Paryžiaus Komunos g. 16A) įkuriant sporto paslaugų kompleksą, skirtą įvairioms amžiaus grupėms; rekonstruoti sporto sveikatingumo kompleksą Smilt</w:t>
      </w:r>
      <w:r w:rsidR="005360FA" w:rsidRPr="005369F7">
        <w:t>ynėje (Smiltynės g. 13). 2014–</w:t>
      </w:r>
      <w:r w:rsidRPr="005369F7">
        <w:t>2015 m. bus rengiama</w:t>
      </w:r>
      <w:r w:rsidR="005360FA" w:rsidRPr="005369F7">
        <w:t xml:space="preserve"> techninė dokumentacija išvardy</w:t>
      </w:r>
      <w:r w:rsidRPr="005369F7">
        <w:t xml:space="preserve">tiems projektams. </w:t>
      </w:r>
    </w:p>
    <w:p w:rsidR="00BE70A7" w:rsidRPr="005369F7" w:rsidRDefault="00BE70A7" w:rsidP="004B6F3D">
      <w:pPr>
        <w:ind w:firstLine="709"/>
        <w:jc w:val="both"/>
      </w:pPr>
      <w:r w:rsidRPr="005369F7">
        <w:t>2014–2016 m. numatoma sudaryti palankias sąlygas kultūrinių ir kūrybinių industrijų veiklai: 2014 m. bus užbaigta kū</w:t>
      </w:r>
      <w:r w:rsidR="00144194" w:rsidRPr="005369F7">
        <w:t>rybinių verslų inkubatoriaus – Kultūros fabriko</w:t>
      </w:r>
      <w:r w:rsidRPr="005369F7">
        <w:t xml:space="preserve"> pastato rekonstrukcija ir pr</w:t>
      </w:r>
      <w:r w:rsidR="00144194" w:rsidRPr="005369F7">
        <w:t>asidės</w:t>
      </w:r>
      <w:r w:rsidRPr="005369F7">
        <w:t xml:space="preserve"> veiklų programos įgyvendinimas. </w:t>
      </w:r>
    </w:p>
    <w:p w:rsidR="00BE70A7" w:rsidRPr="005369F7" w:rsidRDefault="00BE70A7" w:rsidP="004B6F3D">
      <w:pPr>
        <w:ind w:firstLine="709"/>
        <w:jc w:val="both"/>
      </w:pPr>
      <w:r w:rsidRPr="005369F7">
        <w:t>2014</w:t>
      </w:r>
      <w:r w:rsidR="00144194" w:rsidRPr="005369F7">
        <w:t>–</w:t>
      </w:r>
      <w:r w:rsidRPr="005369F7">
        <w:t>2016 m. bus skiriamas dėmesys jūrinio paveldo tyrimams, jūrinio tapatumo stiprinimui, jūrinių objektų ir simbolių panaudojimui turizmo tikslams.</w:t>
      </w:r>
    </w:p>
    <w:p w:rsidR="00BE70A7" w:rsidRPr="005369F7" w:rsidRDefault="00BE70A7" w:rsidP="004B6F3D">
      <w:pPr>
        <w:ind w:firstLine="709"/>
        <w:jc w:val="both"/>
      </w:pPr>
      <w:r w:rsidRPr="005369F7">
        <w:t>Siekiant didinti kultūrinių paslaugų patrauklum</w:t>
      </w:r>
      <w:r w:rsidR="006468B0" w:rsidRPr="005369F7">
        <w:t>ą</w:t>
      </w:r>
      <w:r w:rsidRPr="005369F7">
        <w:t xml:space="preserve">, bus įgyvendinami infrastruktūros ir paslaugų tobulinimo projektai. </w:t>
      </w:r>
    </w:p>
    <w:p w:rsidR="00BE70A7" w:rsidRPr="005369F7" w:rsidRDefault="00BE70A7" w:rsidP="004B6F3D">
      <w:pPr>
        <w:ind w:firstLine="709"/>
        <w:jc w:val="both"/>
      </w:pPr>
    </w:p>
    <w:p w:rsidR="00BE70A7" w:rsidRPr="005369F7" w:rsidRDefault="00BE70A7" w:rsidP="004B6F3D">
      <w:pPr>
        <w:ind w:firstLine="709"/>
        <w:jc w:val="both"/>
        <w:rPr>
          <w:b/>
        </w:rPr>
      </w:pPr>
      <w:r w:rsidRPr="005369F7">
        <w:rPr>
          <w:b/>
        </w:rPr>
        <w:t xml:space="preserve">3. Miesto patrauklumo investicijoms ir verslui didinimas:    </w:t>
      </w:r>
    </w:p>
    <w:p w:rsidR="00BE70A7" w:rsidRPr="005369F7" w:rsidRDefault="00BE70A7" w:rsidP="004B6F3D">
      <w:pPr>
        <w:pStyle w:val="prastasistinklapis"/>
        <w:spacing w:after="0" w:line="240" w:lineRule="auto"/>
        <w:ind w:left="0" w:firstLine="709"/>
        <w:jc w:val="both"/>
        <w:rPr>
          <w:rFonts w:ascii="Times New Roman" w:hAnsi="Times New Roman" w:cs="Times New Roman"/>
          <w:b/>
          <w:lang w:val="lt-LT"/>
        </w:rPr>
      </w:pPr>
      <w:r w:rsidRPr="005369F7">
        <w:rPr>
          <w:rFonts w:ascii="Times New Roman" w:hAnsi="Times New Roman" w:cs="Times New Roman"/>
          <w:b/>
          <w:lang w:val="lt-LT"/>
        </w:rPr>
        <w:t>3.1. Investicijų pritraukimas ir naujų darbo vietų kūrimas.</w:t>
      </w:r>
    </w:p>
    <w:p w:rsidR="00BE70A7" w:rsidRPr="005369F7" w:rsidRDefault="00BE70A7" w:rsidP="004B6F3D">
      <w:pPr>
        <w:ind w:firstLine="709"/>
        <w:jc w:val="both"/>
      </w:pPr>
      <w:proofErr w:type="spellStart"/>
      <w:r w:rsidRPr="005369F7">
        <w:t>Verslumas</w:t>
      </w:r>
      <w:proofErr w:type="spellEnd"/>
      <w:r w:rsidRPr="005369F7">
        <w:t xml:space="preserve"> ir smulkiosios ir vidutinės įmonės yra visuotinai pripažįstami ekonominės ir socialinės plėtros varikliu, o jų plėtra – būtina užimtumo ir konkurencingumo augimo prielaida. Gyventojų </w:t>
      </w:r>
      <w:proofErr w:type="spellStart"/>
      <w:r w:rsidRPr="005369F7">
        <w:t>verslumo</w:t>
      </w:r>
      <w:proofErr w:type="spellEnd"/>
      <w:r w:rsidRPr="005369F7">
        <w:t xml:space="preserve"> lygį atskleidžia veikiančių mažų ir vidutinių įmonių skaičius, tenkantis 1000</w:t>
      </w:r>
      <w:r w:rsidR="006468B0" w:rsidRPr="005369F7">
        <w:noBreakHyphen/>
      </w:r>
      <w:proofErr w:type="spellStart"/>
      <w:r w:rsidR="006468B0" w:rsidRPr="005369F7">
        <w:t>iui</w:t>
      </w:r>
      <w:proofErr w:type="spellEnd"/>
      <w:r w:rsidRPr="005369F7">
        <w:t xml:space="preserve"> gyventojų. Europos Sąjungos šalyse 1000-iui gyventojų tenka 50–60 įmonių. 2013 m. pradžioje Klaipėdos mieste 1000-iui gyventojų vidutiniškai teko 30,5 veikianči</w:t>
      </w:r>
      <w:r w:rsidR="006468B0" w:rsidRPr="005369F7">
        <w:t>ų</w:t>
      </w:r>
      <w:r w:rsidRPr="005369F7">
        <w:t xml:space="preserve"> maž</w:t>
      </w:r>
      <w:r w:rsidR="006468B0" w:rsidRPr="005369F7">
        <w:t>ų</w:t>
      </w:r>
      <w:r w:rsidRPr="005369F7">
        <w:t xml:space="preserve"> ir vidutin</w:t>
      </w:r>
      <w:r w:rsidR="006468B0" w:rsidRPr="005369F7">
        <w:t>ių</w:t>
      </w:r>
      <w:r w:rsidRPr="005369F7">
        <w:t xml:space="preserve"> įmon</w:t>
      </w:r>
      <w:r w:rsidR="006468B0" w:rsidRPr="005369F7">
        <w:t>ių</w:t>
      </w:r>
      <w:r w:rsidRPr="005369F7">
        <w:t xml:space="preserve">, tai gerokai aukštesnė rodiklio reikšmė nei šalies vidurkis (22 veikiančios mažos ir vidutinės įmonės 1000-iui gyventojų). Kitas rodiklis, rodantis gyventojų </w:t>
      </w:r>
      <w:proofErr w:type="spellStart"/>
      <w:r w:rsidRPr="005369F7">
        <w:t>verslumo</w:t>
      </w:r>
      <w:proofErr w:type="spellEnd"/>
      <w:r w:rsidRPr="005369F7">
        <w:t xml:space="preserve"> lygį, yra išduotų verslo liudijimų skaičius 1000</w:t>
      </w:r>
      <w:r w:rsidR="000F0A3F" w:rsidRPr="005369F7">
        <w:t>-iui</w:t>
      </w:r>
      <w:r w:rsidRPr="005369F7">
        <w:t xml:space="preserve"> gyventojų. 2012 m. šis rodiklis Klaipėdos mieste sudarė 23,7.</w:t>
      </w:r>
    </w:p>
    <w:p w:rsidR="00BE70A7" w:rsidRPr="005369F7" w:rsidRDefault="00BE70A7" w:rsidP="004B6F3D">
      <w:pPr>
        <w:ind w:firstLine="709"/>
        <w:jc w:val="both"/>
      </w:pPr>
      <w:r w:rsidRPr="005369F7">
        <w:lastRenderedPageBreak/>
        <w:t xml:space="preserve">Siekiant skatinti </w:t>
      </w:r>
      <w:proofErr w:type="spellStart"/>
      <w:r w:rsidRPr="005369F7">
        <w:t>verslumą</w:t>
      </w:r>
      <w:proofErr w:type="spellEnd"/>
      <w:r w:rsidRPr="005369F7">
        <w:t>, 2014</w:t>
      </w:r>
      <w:r w:rsidR="000F0A3F" w:rsidRPr="005369F7">
        <w:t>–</w:t>
      </w:r>
      <w:r w:rsidRPr="005369F7">
        <w:t xml:space="preserve">2016 m. numatoma vykdyti mokinių ir jaunimo </w:t>
      </w:r>
      <w:proofErr w:type="spellStart"/>
      <w:r w:rsidRPr="005369F7">
        <w:t>verslumo</w:t>
      </w:r>
      <w:proofErr w:type="spellEnd"/>
      <w:r w:rsidRPr="005369F7">
        <w:t xml:space="preserve"> u</w:t>
      </w:r>
      <w:r w:rsidR="00BD2C44">
        <w:t>gdymo projektus; remti mažas ir</w:t>
      </w:r>
      <w:r w:rsidRPr="005369F7">
        <w:t xml:space="preserve"> vidutines įmones</w:t>
      </w:r>
      <w:r w:rsidR="00431E93" w:rsidRPr="005369F7">
        <w:t>,</w:t>
      </w:r>
      <w:r w:rsidRPr="005369F7">
        <w:t xml:space="preserve"> besikuriančias </w:t>
      </w:r>
      <w:r w:rsidR="00431E93" w:rsidRPr="005369F7">
        <w:t xml:space="preserve">kūrybinių verslų inkubatoriuje </w:t>
      </w:r>
      <w:r w:rsidRPr="005369F7">
        <w:t>Kultūros fabrik</w:t>
      </w:r>
      <w:r w:rsidR="00431E93" w:rsidRPr="005369F7">
        <w:t>e</w:t>
      </w:r>
      <w:r w:rsidRPr="005369F7">
        <w:t>.</w:t>
      </w:r>
    </w:p>
    <w:p w:rsidR="00BE70A7" w:rsidRPr="005369F7" w:rsidRDefault="00BE70A7" w:rsidP="004B6F3D">
      <w:pPr>
        <w:ind w:firstLine="709"/>
        <w:jc w:val="both"/>
      </w:pPr>
      <w:r w:rsidRPr="005369F7">
        <w:t>Lietuvai įstojus į ES, Klaipėdos miestas, kaip ir kitos šalies savivaldybės, susiduria su rimtu iššūkiu – darbingo amžiaus gyventojų emigracija į ekonomiškai geriau išsivysčiusias valstybes. Remiantis Statistikos departamento prie Lietuvos Respublikos Vyriausybės duomenimis, 2012 m. Klaipėdos mieste 1000</w:t>
      </w:r>
      <w:r w:rsidR="00C403E8" w:rsidRPr="005369F7">
        <w:t>-iui</w:t>
      </w:r>
      <w:r w:rsidRPr="005369F7">
        <w:t xml:space="preserve"> gyventojų teko 18,88 emigranto. Tai nėra blogiausias rodiklis</w:t>
      </w:r>
      <w:r w:rsidR="00BA544F" w:rsidRPr="005369F7">
        <w:t>,</w:t>
      </w:r>
      <w:r w:rsidRPr="005369F7">
        <w:t xml:space="preserve"> palygin</w:t>
      </w:r>
      <w:r w:rsidR="00BA544F" w:rsidRPr="005369F7">
        <w:t>ti</w:t>
      </w:r>
      <w:r w:rsidRPr="005369F7">
        <w:t xml:space="preserve"> su ankstesniais metais (pvz., 2010 m. Klaipėdos mieste 1000</w:t>
      </w:r>
      <w:r w:rsidR="00BA544F" w:rsidRPr="005369F7">
        <w:t>-iui</w:t>
      </w:r>
      <w:r w:rsidRPr="005369F7">
        <w:t xml:space="preserve"> gyventojų teko 31,75 emigranto), tačiau šie skaičiai verčia susirūpinti ir skirti didesnį dėmesį darbo vietų kūrimui. </w:t>
      </w:r>
    </w:p>
    <w:p w:rsidR="00BE70A7" w:rsidRPr="005369F7" w:rsidRDefault="00BE70A7" w:rsidP="004B6F3D">
      <w:pPr>
        <w:ind w:firstLine="709"/>
        <w:jc w:val="both"/>
      </w:pPr>
      <w:r w:rsidRPr="005369F7">
        <w:t xml:space="preserve">Miesto ekonominio vystymosi tempus dažniausiai lemia investicijos, kurios yra svarbus kapitalo, darbo vietų kūrimo, eksporto didinimo ir naujų žinių (tiek vadybinių, tiek technologinių) įdiegimo šaltinis. Statant naujas įmones, diegiant pažangias technologijas pramonėje, investuojant į inovacijas, į urbanistinę ir socialinę infrastruktūrą, gyvenimo lygis kyla, didėja pajamos, sukuriama daugiau bendrojo vidaus produkto (BVP), gerėja prekių ir paslaugų kokybė. </w:t>
      </w:r>
    </w:p>
    <w:p w:rsidR="00BE70A7" w:rsidRPr="005369F7" w:rsidRDefault="00BE70A7" w:rsidP="004B6F3D">
      <w:pPr>
        <w:ind w:firstLine="709"/>
        <w:jc w:val="both"/>
      </w:pPr>
      <w:r w:rsidRPr="005369F7">
        <w:t>Tiesioginės užsienio investicijos (TUI) Klaipėdos miesto savivaldybėje 2007–2012 m. laikotarpiu augo palyginti sparčiai – augimas sudarė apie 30 proc. 2012 m. pabaigoje TUI Klaipėdos mieste sudarė 15,5 tūkst. Lt vienam gyventojui (šalies vidurkis – 14,1 tūkst. Lt). Materialinės investicijos (MI) 2012 m. Klaipėdos mieste sudarė 7,17 tūkst. Lt, vienam gyventojui, šalies vidurkis buvo 5,26 tūkst. Lt.</w:t>
      </w:r>
    </w:p>
    <w:p w:rsidR="00BE70A7" w:rsidRPr="005369F7" w:rsidRDefault="00BE70A7" w:rsidP="004B6F3D">
      <w:pPr>
        <w:ind w:firstLine="709"/>
        <w:jc w:val="both"/>
      </w:pPr>
      <w:r w:rsidRPr="005369F7">
        <w:t>Siekiant pritraukti investicijų, planuojama tęsti Klaipėdos LEZ infrastruktūros išvystymo projektus, parengti efektyvias rinkodaros priemones, didinti miesto pasiekiamumą įvairiomis transporto rūšimis.</w:t>
      </w:r>
    </w:p>
    <w:p w:rsidR="00BE70A7" w:rsidRPr="005369F7" w:rsidRDefault="00BE70A7" w:rsidP="004B6F3D">
      <w:pPr>
        <w:ind w:firstLine="709"/>
        <w:jc w:val="both"/>
      </w:pPr>
    </w:p>
    <w:p w:rsidR="00BE70A7" w:rsidRPr="005369F7" w:rsidRDefault="00BE70A7" w:rsidP="004B6F3D">
      <w:pPr>
        <w:pStyle w:val="prastasistinklapis"/>
        <w:spacing w:after="0" w:line="240" w:lineRule="auto"/>
        <w:ind w:left="0" w:firstLine="709"/>
        <w:jc w:val="both"/>
        <w:rPr>
          <w:rFonts w:ascii="Times New Roman" w:hAnsi="Times New Roman" w:cs="Times New Roman"/>
          <w:b/>
          <w:color w:val="002060"/>
          <w:lang w:val="lt-LT"/>
        </w:rPr>
      </w:pPr>
      <w:r w:rsidRPr="005369F7">
        <w:rPr>
          <w:rFonts w:ascii="Times New Roman" w:hAnsi="Times New Roman" w:cs="Times New Roman"/>
          <w:b/>
          <w:lang w:val="lt-LT"/>
        </w:rPr>
        <w:t>3.2. Turistų traukos objektų formavimas</w:t>
      </w:r>
      <w:r w:rsidRPr="005369F7">
        <w:rPr>
          <w:rFonts w:ascii="Times New Roman" w:hAnsi="Times New Roman" w:cs="Times New Roman"/>
          <w:b/>
          <w:color w:val="002060"/>
          <w:lang w:val="lt-LT"/>
        </w:rPr>
        <w:t>.</w:t>
      </w:r>
    </w:p>
    <w:p w:rsidR="00BE70A7" w:rsidRPr="005369F7" w:rsidRDefault="00BE70A7" w:rsidP="004B6F3D">
      <w:pPr>
        <w:ind w:firstLine="709"/>
        <w:jc w:val="both"/>
      </w:pPr>
      <w:r w:rsidRPr="005369F7">
        <w:t xml:space="preserve">Klaipėdos regionas turi geras prielaidas sukurti stiprią turizmo rinką visų pirma dėl savo geografinės padėties ir turizmo išteklių gausos. </w:t>
      </w:r>
    </w:p>
    <w:p w:rsidR="00BE70A7" w:rsidRPr="005369F7" w:rsidRDefault="00BE70A7" w:rsidP="004B6F3D">
      <w:pPr>
        <w:ind w:firstLine="709"/>
        <w:jc w:val="both"/>
        <w:rPr>
          <w:color w:val="FF0000"/>
        </w:rPr>
      </w:pPr>
      <w:r w:rsidRPr="005369F7">
        <w:t xml:space="preserve">Klaipėdos miesto turizmo </w:t>
      </w:r>
      <w:r w:rsidR="000C0CEB" w:rsidRPr="005369F7">
        <w:t xml:space="preserve">ir kultūros </w:t>
      </w:r>
      <w:r w:rsidRPr="005369F7">
        <w:t xml:space="preserve">informacijos centre (TIC)  kasmet apsilanko 67–70 tūkst. turistų. Daugiau nei pusę jų sudaro pavieniai turistai. 2012 m. </w:t>
      </w:r>
      <w:r w:rsidR="00E93A0C" w:rsidRPr="005369F7">
        <w:t>TIC</w:t>
      </w:r>
      <w:r w:rsidRPr="005369F7">
        <w:t xml:space="preserve"> aplankė 72841 užsienio turistas, išaugo turistų, atvykstančių kruiziniais laivais</w:t>
      </w:r>
      <w:r w:rsidR="00E93A0C" w:rsidRPr="005369F7">
        <w:t>,</w:t>
      </w:r>
      <w:r w:rsidRPr="005369F7">
        <w:t xml:space="preserve"> skaičius. </w:t>
      </w:r>
    </w:p>
    <w:p w:rsidR="00BE70A7" w:rsidRPr="005369F7" w:rsidRDefault="00BE70A7" w:rsidP="004B6F3D">
      <w:pPr>
        <w:ind w:firstLine="709"/>
        <w:jc w:val="both"/>
        <w:rPr>
          <w:color w:val="FF0000"/>
        </w:rPr>
      </w:pPr>
      <w:r w:rsidRPr="005369F7">
        <w:t>Svarbus rodiklis, nusakantis turizmo tendencijas</w:t>
      </w:r>
      <w:r w:rsidR="00E93A0C" w:rsidRPr="005369F7">
        <w:t>,</w:t>
      </w:r>
      <w:r w:rsidRPr="005369F7">
        <w:t xml:space="preserve"> yra apgyvendinimo įstaigų užimtumas. Remiantis Statistikos departamento prie Lietuvos Respublikos Vyriausybės duomenimis, 2012 m. šis rodiklio reikšmė buvo geresnė nei ankstesniais metais, neblogi atrodo ir 2013 m. pirmų trijų ketvirčių rezultatai (žr. 1 diagramą).</w:t>
      </w:r>
    </w:p>
    <w:p w:rsidR="00BE70A7" w:rsidRPr="005369F7" w:rsidRDefault="00BE70A7" w:rsidP="00311BCD">
      <w:pPr>
        <w:ind w:firstLine="709"/>
        <w:jc w:val="both"/>
      </w:pPr>
    </w:p>
    <w:p w:rsidR="00BE70A7" w:rsidRPr="005369F7" w:rsidRDefault="00BE70A7" w:rsidP="00311BCD">
      <w:pPr>
        <w:jc w:val="center"/>
        <w:rPr>
          <w:noProof/>
          <w:lang w:eastAsia="lt-LT"/>
        </w:rPr>
      </w:pPr>
      <w:r w:rsidRPr="005369F7">
        <w:rPr>
          <w:noProof/>
          <w:lang w:eastAsia="lt-LT"/>
        </w:rPr>
        <w:drawing>
          <wp:inline distT="0" distB="0" distL="0" distR="0" wp14:anchorId="3319B731" wp14:editId="7C95A824">
            <wp:extent cx="4762500" cy="2181225"/>
            <wp:effectExtent l="0" t="0" r="19050" b="9525"/>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70A7" w:rsidRPr="005369F7" w:rsidRDefault="00BE70A7" w:rsidP="00F6322A">
      <w:pPr>
        <w:ind w:firstLine="709"/>
        <w:jc w:val="center"/>
        <w:rPr>
          <w:sz w:val="20"/>
          <w:szCs w:val="20"/>
        </w:rPr>
      </w:pPr>
      <w:r w:rsidRPr="005369F7">
        <w:rPr>
          <w:noProof/>
          <w:sz w:val="20"/>
          <w:szCs w:val="20"/>
          <w:lang w:eastAsia="lt-LT"/>
        </w:rPr>
        <w:t xml:space="preserve">1 diagrama. Numerių ir vietų užimtumas Klaipėdos miesto apgyvendinimo įstaigose 2008–2013 m., proc.  Duomenų šaltinis: </w:t>
      </w:r>
      <w:r w:rsidRPr="005369F7">
        <w:rPr>
          <w:sz w:val="20"/>
          <w:szCs w:val="20"/>
        </w:rPr>
        <w:t>Statistikos departamentas prie Lietuvos Respublikos Vyriausybės.</w:t>
      </w:r>
    </w:p>
    <w:p w:rsidR="00BE70A7" w:rsidRPr="005369F7" w:rsidRDefault="00BE70A7" w:rsidP="00311BCD">
      <w:pPr>
        <w:ind w:firstLine="709"/>
        <w:jc w:val="both"/>
        <w:rPr>
          <w:b/>
        </w:rPr>
      </w:pPr>
    </w:p>
    <w:p w:rsidR="00BE70A7" w:rsidRPr="005369F7" w:rsidRDefault="00BE70A7" w:rsidP="00311BCD">
      <w:pPr>
        <w:ind w:firstLine="709"/>
        <w:jc w:val="both"/>
      </w:pPr>
      <w:r w:rsidRPr="005369F7">
        <w:t xml:space="preserve">Klaipėdos miestas gali tapti išskirtiniu turistiniu traukos centru, tačiau visų pirma būtinos investicijos į infrastruktūros sutvarkymą, naujas patrauklias paslaugas, informacijos apie turizmo paslaugas sklaidą. </w:t>
      </w:r>
    </w:p>
    <w:p w:rsidR="00BE70A7" w:rsidRPr="005369F7" w:rsidRDefault="00BE70A7" w:rsidP="00311BCD">
      <w:pPr>
        <w:ind w:firstLine="709"/>
        <w:jc w:val="both"/>
        <w:rPr>
          <w:lang w:eastAsia="lt-LT"/>
        </w:rPr>
      </w:pPr>
      <w:r w:rsidRPr="005369F7">
        <w:lastRenderedPageBreak/>
        <w:t xml:space="preserve">Vertinant esamą turistinę aplinką ir turizmo plėtros tendencijas, turizmo srityje planuojama toliau </w:t>
      </w:r>
      <w:r w:rsidRPr="005369F7">
        <w:rPr>
          <w:lang w:eastAsia="lt-LT"/>
        </w:rPr>
        <w:t xml:space="preserve">tobulinti viešąją turizmo infrastruktūrą – investuoti į Klaipėdos piliavietės sutvarkymą, Danės upės ir jos pakrančių pritaikymą turizmui, paplūdimių infrastruktūrą. </w:t>
      </w:r>
    </w:p>
    <w:p w:rsidR="00BE70A7" w:rsidRPr="005369F7" w:rsidRDefault="00BE70A7" w:rsidP="00311BCD">
      <w:pPr>
        <w:ind w:firstLine="709"/>
        <w:jc w:val="both"/>
        <w:rPr>
          <w:lang w:eastAsia="lt-LT"/>
        </w:rPr>
      </w:pPr>
      <w:r w:rsidRPr="005369F7">
        <w:rPr>
          <w:lang w:eastAsia="lt-LT"/>
        </w:rPr>
        <w:t>Labai svarbu yra ne tik kurti</w:t>
      </w:r>
      <w:r w:rsidR="00AC66A6" w:rsidRPr="005369F7">
        <w:rPr>
          <w:lang w:eastAsia="lt-LT"/>
        </w:rPr>
        <w:t xml:space="preserve"> ir </w:t>
      </w:r>
      <w:r w:rsidRPr="005369F7">
        <w:rPr>
          <w:lang w:eastAsia="lt-LT"/>
        </w:rPr>
        <w:t>tobulinti turizmo infrastruktūrą, bet ir organizuoti renginius, kultūrines veiklas. Klaipėda 2017 m. taps regatos „</w:t>
      </w:r>
      <w:proofErr w:type="spellStart"/>
      <w:r w:rsidRPr="005369F7">
        <w:rPr>
          <w:lang w:eastAsia="lt-LT"/>
        </w:rPr>
        <w:t>The</w:t>
      </w:r>
      <w:proofErr w:type="spellEnd"/>
      <w:r w:rsidRPr="005369F7">
        <w:rPr>
          <w:lang w:eastAsia="lt-LT"/>
        </w:rPr>
        <w:t xml:space="preserve"> </w:t>
      </w:r>
      <w:proofErr w:type="spellStart"/>
      <w:r w:rsidRPr="005369F7">
        <w:rPr>
          <w:lang w:eastAsia="lt-LT"/>
        </w:rPr>
        <w:t>Tall</w:t>
      </w:r>
      <w:proofErr w:type="spellEnd"/>
      <w:r w:rsidRPr="005369F7">
        <w:rPr>
          <w:lang w:eastAsia="lt-LT"/>
        </w:rPr>
        <w:t xml:space="preserve"> </w:t>
      </w:r>
      <w:proofErr w:type="spellStart"/>
      <w:r w:rsidRPr="005369F7">
        <w:rPr>
          <w:lang w:eastAsia="lt-LT"/>
        </w:rPr>
        <w:t>Ships</w:t>
      </w:r>
      <w:proofErr w:type="spellEnd"/>
      <w:r w:rsidRPr="005369F7">
        <w:rPr>
          <w:lang w:eastAsia="lt-LT"/>
        </w:rPr>
        <w:t xml:space="preserve"> </w:t>
      </w:r>
      <w:proofErr w:type="spellStart"/>
      <w:r w:rsidRPr="005369F7">
        <w:rPr>
          <w:lang w:eastAsia="lt-LT"/>
        </w:rPr>
        <w:t>Races</w:t>
      </w:r>
      <w:proofErr w:type="spellEnd"/>
      <w:r w:rsidRPr="005369F7">
        <w:rPr>
          <w:lang w:eastAsia="lt-LT"/>
        </w:rPr>
        <w:t xml:space="preserve">“ finaliniu uostu, tai pasaulinio masto renginys, sutraukiantis didelius turistų srautus. 2014–2016 m. planuojama sukurti kultūrinio turizmo maršrutus – vėtrungių, švyturių, vargonų, karalienės Luizės </w:t>
      </w:r>
      <w:proofErr w:type="spellStart"/>
      <w:r w:rsidRPr="005369F7">
        <w:rPr>
          <w:lang w:eastAsia="lt-LT"/>
        </w:rPr>
        <w:t>keliо</w:t>
      </w:r>
      <w:proofErr w:type="spellEnd"/>
      <w:r w:rsidRPr="005369F7">
        <w:rPr>
          <w:lang w:eastAsia="lt-LT"/>
        </w:rPr>
        <w:t>, kurie būtų patrauklūs ir miesto svečiams, ir miestiečiams.</w:t>
      </w:r>
    </w:p>
    <w:p w:rsidR="00BE70A7" w:rsidRPr="005369F7" w:rsidRDefault="00BE70A7" w:rsidP="00311BCD">
      <w:pPr>
        <w:ind w:firstLine="709"/>
        <w:jc w:val="both"/>
        <w:rPr>
          <w:b/>
          <w:noProof/>
        </w:rPr>
      </w:pPr>
    </w:p>
    <w:p w:rsidR="00BE70A7" w:rsidRPr="005369F7" w:rsidRDefault="00BE70A7" w:rsidP="00311BCD">
      <w:pPr>
        <w:jc w:val="center"/>
        <w:rPr>
          <w:b/>
          <w:noProof/>
        </w:rPr>
      </w:pPr>
      <w:r w:rsidRPr="005369F7">
        <w:rPr>
          <w:b/>
          <w:noProof/>
        </w:rPr>
        <w:t>KLAIPĖDOS MIESTO SAVIVALDYBĖS</w:t>
      </w:r>
    </w:p>
    <w:p w:rsidR="00BE70A7" w:rsidRPr="005369F7" w:rsidRDefault="00BE70A7" w:rsidP="00311BCD">
      <w:pPr>
        <w:pStyle w:val="prastasistinklapis"/>
        <w:tabs>
          <w:tab w:val="left" w:pos="1134"/>
        </w:tabs>
        <w:spacing w:after="0" w:line="240" w:lineRule="auto"/>
        <w:ind w:left="0"/>
        <w:jc w:val="center"/>
        <w:outlineLvl w:val="0"/>
        <w:rPr>
          <w:rFonts w:ascii="Times New Roman" w:eastAsia="Times New Roman" w:hAnsi="Times New Roman" w:cs="Times New Roman"/>
          <w:b/>
          <w:color w:val="000000"/>
          <w:lang w:val="lt-LT"/>
        </w:rPr>
      </w:pPr>
      <w:r w:rsidRPr="005369F7">
        <w:rPr>
          <w:rFonts w:ascii="Times New Roman" w:eastAsia="Times New Roman" w:hAnsi="Times New Roman" w:cs="Times New Roman"/>
          <w:b/>
          <w:color w:val="000000"/>
          <w:lang w:val="lt-LT"/>
        </w:rPr>
        <w:t>STRATEGINIAI TIKSLAI IR EFEKTO KRITERIJAI</w:t>
      </w:r>
    </w:p>
    <w:p w:rsidR="00BE70A7" w:rsidRPr="005369F7" w:rsidRDefault="00BE70A7" w:rsidP="00311BCD">
      <w:pPr>
        <w:pStyle w:val="prastasistinklapis"/>
        <w:tabs>
          <w:tab w:val="left" w:pos="1134"/>
        </w:tabs>
        <w:spacing w:after="0" w:line="240" w:lineRule="auto"/>
        <w:ind w:left="0"/>
        <w:jc w:val="center"/>
        <w:outlineLvl w:val="0"/>
        <w:rPr>
          <w:rFonts w:ascii="Times New Roman" w:eastAsia="Times New Roman" w:hAnsi="Times New Roman" w:cs="Times New Roman"/>
          <w:b/>
          <w:color w:val="000000"/>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8283"/>
      </w:tblGrid>
      <w:tr w:rsidR="00BE70A7" w:rsidRPr="005369F7" w:rsidTr="00BE70A7">
        <w:trPr>
          <w:cantSplit/>
          <w:trHeight w:val="471"/>
        </w:trPr>
        <w:tc>
          <w:tcPr>
            <w:tcW w:w="988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E70A7" w:rsidRPr="005369F7" w:rsidRDefault="00BE70A7" w:rsidP="00311BCD">
            <w:pPr>
              <w:pStyle w:val="prastasistinklapis"/>
              <w:spacing w:after="0" w:line="240" w:lineRule="auto"/>
              <w:ind w:left="0"/>
              <w:jc w:val="both"/>
              <w:rPr>
                <w:rFonts w:ascii="Times New Roman" w:eastAsia="Times New Roman" w:hAnsi="Times New Roman" w:cs="Times New Roman"/>
                <w:b/>
                <w:bCs/>
                <w:sz w:val="28"/>
                <w:szCs w:val="28"/>
                <w:lang w:val="lt-LT"/>
              </w:rPr>
            </w:pPr>
            <w:r w:rsidRPr="005369F7">
              <w:rPr>
                <w:rFonts w:ascii="Times New Roman" w:eastAsia="Times New Roman" w:hAnsi="Times New Roman" w:cs="Times New Roman"/>
                <w:b/>
                <w:bCs/>
                <w:lang w:val="lt-LT"/>
              </w:rPr>
              <w:t>01 STRATEGINIS TIKSLAS – didinti miesto konkurencingumą, kryptingai vystant infrastruktūrą ir sudarant palankias sąlygas verslui</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107"/>
              </w:tabs>
              <w:spacing w:after="0" w:line="240" w:lineRule="auto"/>
              <w:ind w:left="0"/>
              <w:jc w:val="center"/>
              <w:rPr>
                <w:rFonts w:ascii="Times New Roman" w:eastAsia="Times New Roman" w:hAnsi="Times New Roman" w:cs="Times New Roman"/>
                <w:lang w:val="lt-LT"/>
              </w:rPr>
            </w:pPr>
            <w:r w:rsidRPr="005369F7">
              <w:rPr>
                <w:rFonts w:ascii="Times New Roman" w:eastAsia="Times New Roman" w:hAnsi="Times New Roman" w:cs="Times New Roman"/>
                <w:lang w:val="lt-LT"/>
              </w:rPr>
              <w:t>Kodas</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107"/>
              </w:tabs>
              <w:spacing w:after="0" w:line="240" w:lineRule="auto"/>
              <w:ind w:left="0"/>
              <w:jc w:val="both"/>
              <w:rPr>
                <w:rFonts w:ascii="Times New Roman" w:eastAsia="Times New Roman" w:hAnsi="Times New Roman" w:cs="Times New Roman"/>
                <w:b/>
                <w:lang w:val="lt-LT"/>
              </w:rPr>
            </w:pPr>
            <w:r w:rsidRPr="005369F7">
              <w:rPr>
                <w:rFonts w:ascii="Times New Roman" w:eastAsia="Times New Roman" w:hAnsi="Times New Roman" w:cs="Times New Roman"/>
                <w:lang w:val="lt-LT"/>
              </w:rPr>
              <w:t>Įgyvendinant šį strateginį tikslą, vykdomos programos:</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01</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lang w:val="lt-LT"/>
              </w:rPr>
              <w:t>Miesto urbanistinio planavimo programa</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02</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spacing w:after="0" w:line="240" w:lineRule="auto"/>
              <w:ind w:left="0"/>
              <w:jc w:val="both"/>
              <w:rPr>
                <w:rFonts w:ascii="Times New Roman" w:eastAsia="Times New Roman" w:hAnsi="Times New Roman" w:cs="Times New Roman"/>
                <w:b/>
                <w:lang w:val="lt-LT"/>
              </w:rPr>
            </w:pPr>
            <w:r w:rsidRPr="005369F7">
              <w:rPr>
                <w:rFonts w:ascii="Times New Roman" w:eastAsia="Times New Roman" w:hAnsi="Times New Roman" w:cs="Times New Roman"/>
                <w:b/>
                <w:lang w:val="lt-LT"/>
              </w:rPr>
              <w:t>Subalansuoto turizmo skatinimo ir vystymo programa</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03</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spacing w:after="0" w:line="240" w:lineRule="auto"/>
              <w:ind w:left="0"/>
              <w:jc w:val="both"/>
              <w:rPr>
                <w:rFonts w:ascii="Times New Roman" w:eastAsia="Times New Roman" w:hAnsi="Times New Roman" w:cs="Times New Roman"/>
                <w:b/>
                <w:lang w:val="lt-LT"/>
              </w:rPr>
            </w:pPr>
            <w:r w:rsidRPr="005369F7">
              <w:rPr>
                <w:rFonts w:ascii="Times New Roman" w:eastAsia="Times New Roman" w:hAnsi="Times New Roman" w:cs="Times New Roman"/>
                <w:b/>
                <w:lang w:val="lt-LT"/>
              </w:rPr>
              <w:t>Savivaldybės valdymo programa</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04</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lang w:val="lt-LT"/>
              </w:rPr>
              <w:t>Smulkiojo ir vidutinio verslo rėmimo programa</w:t>
            </w:r>
          </w:p>
        </w:tc>
      </w:tr>
    </w:tbl>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r w:rsidRPr="005369F7">
        <w:rPr>
          <w:rFonts w:ascii="Times New Roman" w:eastAsia="Times New Roman" w:hAnsi="Times New Roman" w:cs="Times New Roman"/>
          <w:b/>
          <w:bCs/>
          <w:lang w:val="lt-LT"/>
        </w:rPr>
        <w:t>Efekto kriterijai:</w:t>
      </w: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color w:val="FF0000"/>
          <w:lang w:val="lt-LT"/>
        </w:rPr>
      </w:pPr>
    </w:p>
    <w:p w:rsidR="00AC66A6" w:rsidRPr="005369F7" w:rsidRDefault="00AC66A6"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lang w:val="lt-LT"/>
        </w:rPr>
      </w:pP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sz w:val="20"/>
          <w:szCs w:val="20"/>
          <w:lang w:val="lt-LT"/>
        </w:rPr>
      </w:pPr>
      <w:r w:rsidRPr="005369F7">
        <w:rPr>
          <w:rFonts w:ascii="Times New Roman" w:eastAsia="Times New Roman" w:hAnsi="Times New Roman" w:cs="Times New Roman"/>
          <w:b/>
          <w:lang w:val="lt-LT"/>
        </w:rPr>
        <w:t>E-01-</w:t>
      </w:r>
      <w:r w:rsidRPr="00DA1A32">
        <w:rPr>
          <w:rFonts w:ascii="Times New Roman" w:eastAsia="Times New Roman" w:hAnsi="Times New Roman" w:cs="Times New Roman"/>
          <w:b/>
          <w:color w:val="FF0000"/>
          <w:lang w:val="lt-LT"/>
        </w:rPr>
        <w:t>0</w:t>
      </w:r>
      <w:r w:rsidR="00DA1A32" w:rsidRPr="00DA1A32">
        <w:rPr>
          <w:rFonts w:ascii="Times New Roman" w:eastAsia="Times New Roman" w:hAnsi="Times New Roman" w:cs="Times New Roman"/>
          <w:b/>
          <w:color w:val="FF0000"/>
          <w:lang w:val="lt-LT"/>
        </w:rPr>
        <w:t>1</w:t>
      </w:r>
      <w:r w:rsidRPr="005369F7">
        <w:rPr>
          <w:rFonts w:ascii="Times New Roman" w:eastAsia="Times New Roman" w:hAnsi="Times New Roman" w:cs="Times New Roman"/>
          <w:b/>
          <w:lang w:val="lt-LT"/>
        </w:rPr>
        <w:t xml:space="preserve"> </w:t>
      </w:r>
      <w:proofErr w:type="spellStart"/>
      <w:r w:rsidRPr="005369F7">
        <w:rPr>
          <w:rFonts w:ascii="Times New Roman" w:eastAsia="Times New Roman" w:hAnsi="Times New Roman" w:cs="Times New Roman"/>
          <w:b/>
          <w:lang w:val="lt-LT"/>
        </w:rPr>
        <w:t>Verslumo</w:t>
      </w:r>
      <w:proofErr w:type="spellEnd"/>
      <w:r w:rsidRPr="005369F7">
        <w:rPr>
          <w:rFonts w:ascii="Times New Roman" w:eastAsia="Times New Roman" w:hAnsi="Times New Roman" w:cs="Times New Roman"/>
          <w:b/>
          <w:lang w:val="lt-LT"/>
        </w:rPr>
        <w:t xml:space="preserve"> lygis (SVV įmonių skaičius, tenkantis 1000</w:t>
      </w:r>
      <w:r w:rsidR="00AC66A6" w:rsidRPr="005369F7">
        <w:rPr>
          <w:rFonts w:ascii="Times New Roman" w:eastAsia="Times New Roman" w:hAnsi="Times New Roman" w:cs="Times New Roman"/>
          <w:b/>
          <w:lang w:val="lt-LT"/>
        </w:rPr>
        <w:t>-iui</w:t>
      </w:r>
      <w:r w:rsidRPr="005369F7">
        <w:rPr>
          <w:rFonts w:ascii="Times New Roman" w:eastAsia="Times New Roman" w:hAnsi="Times New Roman" w:cs="Times New Roman"/>
          <w:b/>
          <w:lang w:val="lt-LT"/>
        </w:rPr>
        <w:t xml:space="preserve"> gyventojų) - &gt; 30 </w:t>
      </w: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Cs/>
          <w:lang w:val="lt-LT"/>
        </w:rPr>
      </w:pPr>
      <w:r w:rsidRPr="005369F7">
        <w:rPr>
          <w:rFonts w:ascii="Times New Roman" w:eastAsia="Times New Roman" w:hAnsi="Times New Roman" w:cs="Times New Roman"/>
          <w:b/>
          <w:bCs/>
          <w:noProof/>
          <w:lang w:val="lt-LT" w:eastAsia="lt-LT"/>
        </w:rPr>
        <w:drawing>
          <wp:inline distT="0" distB="0" distL="0" distR="0" wp14:anchorId="14606903" wp14:editId="51A95C33">
            <wp:extent cx="5600700" cy="2019300"/>
            <wp:effectExtent l="0" t="0" r="0" b="0"/>
            <wp:docPr id="40" name="Diagrama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jc w:val="center"/>
        <w:rPr>
          <w:rStyle w:val="Grietas"/>
          <w:rFonts w:ascii="Times New Roman" w:hAnsi="Times New Roman" w:cs="Times New Roman"/>
          <w:b w:val="0"/>
          <w:sz w:val="20"/>
          <w:szCs w:val="20"/>
          <w:lang w:val="lt-LT"/>
        </w:rPr>
      </w:pPr>
      <w:r w:rsidRPr="005369F7">
        <w:rPr>
          <w:rStyle w:val="Grietas"/>
          <w:rFonts w:ascii="Times New Roman" w:eastAsia="Times New Roman" w:hAnsi="Times New Roman" w:cs="Times New Roman"/>
          <w:b w:val="0"/>
          <w:bCs w:val="0"/>
          <w:sz w:val="20"/>
          <w:szCs w:val="20"/>
          <w:lang w:val="lt-LT"/>
        </w:rPr>
        <w:t xml:space="preserve">Duomenų šaltinis: Statistikos departamentas prie Lietuvos Respublikos Vyriausybės, </w:t>
      </w:r>
      <w:smartTag w:uri="schemas-tilde-lv/tildestengine" w:element="metric2">
        <w:smartTagPr>
          <w:attr w:name="metric_text" w:val="m"/>
          <w:attr w:name="metric_value" w:val="2013"/>
        </w:smartTagPr>
        <w:r w:rsidRPr="005369F7">
          <w:rPr>
            <w:rStyle w:val="Grietas"/>
            <w:rFonts w:ascii="Times New Roman" w:eastAsia="Times New Roman" w:hAnsi="Times New Roman" w:cs="Times New Roman"/>
            <w:b w:val="0"/>
            <w:bCs w:val="0"/>
            <w:sz w:val="20"/>
            <w:szCs w:val="20"/>
            <w:lang w:val="lt-LT"/>
          </w:rPr>
          <w:t>2013 m</w:t>
        </w:r>
      </w:smartTag>
      <w:r w:rsidRPr="005369F7">
        <w:rPr>
          <w:rStyle w:val="Grietas"/>
          <w:rFonts w:ascii="Times New Roman" w:eastAsia="Times New Roman" w:hAnsi="Times New Roman" w:cs="Times New Roman"/>
          <w:b w:val="0"/>
          <w:bCs w:val="0"/>
          <w:sz w:val="20"/>
          <w:szCs w:val="20"/>
          <w:lang w:val="lt-LT"/>
        </w:rPr>
        <w:t>.</w:t>
      </w: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r w:rsidRPr="005369F7">
        <w:rPr>
          <w:rFonts w:ascii="Times New Roman" w:eastAsia="Times New Roman" w:hAnsi="Times New Roman" w:cs="Times New Roman"/>
          <w:b/>
          <w:bCs/>
          <w:lang w:val="lt-LT"/>
        </w:rPr>
        <w:t>E-01-0</w:t>
      </w:r>
      <w:r w:rsidR="00DA1A32" w:rsidRPr="00DA1A32">
        <w:rPr>
          <w:rFonts w:ascii="Times New Roman" w:eastAsia="Times New Roman" w:hAnsi="Times New Roman" w:cs="Times New Roman"/>
          <w:b/>
          <w:bCs/>
          <w:color w:val="FF0000"/>
          <w:lang w:val="lt-LT"/>
        </w:rPr>
        <w:t>2</w:t>
      </w:r>
      <w:r w:rsidRPr="005369F7">
        <w:rPr>
          <w:rFonts w:ascii="Times New Roman" w:eastAsia="Times New Roman" w:hAnsi="Times New Roman" w:cs="Times New Roman"/>
          <w:b/>
          <w:bCs/>
          <w:lang w:val="lt-LT"/>
        </w:rPr>
        <w:t xml:space="preserve"> </w:t>
      </w:r>
      <w:r w:rsidR="00AC66A6" w:rsidRPr="005369F7">
        <w:rPr>
          <w:rFonts w:ascii="Times New Roman" w:eastAsia="Times New Roman" w:hAnsi="Times New Roman" w:cs="Times New Roman"/>
          <w:b/>
          <w:bCs/>
          <w:lang w:val="lt-LT"/>
        </w:rPr>
        <w:t>Vidutinis registruotų</w:t>
      </w:r>
      <w:r w:rsidRPr="005369F7">
        <w:rPr>
          <w:rFonts w:ascii="Times New Roman" w:eastAsia="Times New Roman" w:hAnsi="Times New Roman" w:cs="Times New Roman"/>
          <w:b/>
          <w:bCs/>
          <w:lang w:val="lt-LT"/>
        </w:rPr>
        <w:t xml:space="preserve"> bedarbių procentas nuo darbingo amžiaus gyventojų (%) &lt;8%</w:t>
      </w: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r w:rsidRPr="005369F7">
        <w:rPr>
          <w:rFonts w:ascii="Times New Roman" w:eastAsia="Times New Roman" w:hAnsi="Times New Roman" w:cs="Times New Roman"/>
          <w:b/>
          <w:bCs/>
          <w:noProof/>
          <w:lang w:val="lt-LT" w:eastAsia="lt-LT"/>
        </w:rPr>
        <w:drawing>
          <wp:inline distT="0" distB="0" distL="0" distR="0" wp14:anchorId="6942EEA3" wp14:editId="47C9C273">
            <wp:extent cx="5953125" cy="1828800"/>
            <wp:effectExtent l="0" t="0" r="0" b="0"/>
            <wp:docPr id="43" name="Diagrama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70A7" w:rsidRPr="005369F7" w:rsidRDefault="00BE70A7" w:rsidP="00311BCD">
      <w:pPr>
        <w:pStyle w:val="prastasistinklapis"/>
        <w:pBdr>
          <w:top w:val="single" w:sz="4" w:space="0" w:color="auto"/>
          <w:left w:val="single" w:sz="4" w:space="4" w:color="auto"/>
          <w:bottom w:val="single" w:sz="4" w:space="1" w:color="auto"/>
          <w:right w:val="single" w:sz="4" w:space="4" w:color="auto"/>
        </w:pBdr>
        <w:spacing w:after="0" w:line="240" w:lineRule="auto"/>
        <w:ind w:left="0"/>
        <w:jc w:val="center"/>
        <w:rPr>
          <w:rFonts w:ascii="Times New Roman" w:eastAsia="Times New Roman" w:hAnsi="Times New Roman" w:cs="Times New Roman"/>
          <w:bCs/>
          <w:sz w:val="20"/>
          <w:szCs w:val="20"/>
          <w:lang w:val="lt-LT"/>
        </w:rPr>
      </w:pPr>
      <w:r w:rsidRPr="005369F7">
        <w:rPr>
          <w:rStyle w:val="Grietas"/>
          <w:rFonts w:ascii="Times New Roman" w:eastAsia="Times New Roman" w:hAnsi="Times New Roman" w:cs="Times New Roman"/>
          <w:b w:val="0"/>
          <w:bCs w:val="0"/>
          <w:sz w:val="20"/>
          <w:szCs w:val="20"/>
          <w:lang w:val="lt-LT"/>
        </w:rPr>
        <w:t xml:space="preserve">Duomenų šaltinis: </w:t>
      </w:r>
      <w:r w:rsidRPr="005369F7">
        <w:rPr>
          <w:rFonts w:ascii="Times New Roman" w:eastAsia="Times New Roman" w:hAnsi="Times New Roman" w:cs="Times New Roman"/>
          <w:bCs/>
          <w:sz w:val="20"/>
          <w:szCs w:val="20"/>
          <w:lang w:val="lt-LT"/>
        </w:rPr>
        <w:t xml:space="preserve">Lietuvos darbo birža, </w:t>
      </w:r>
      <w:smartTag w:uri="schemas-tilde-lv/tildestengine" w:element="metric2">
        <w:smartTagPr>
          <w:attr w:name="metric_text" w:val="m"/>
          <w:attr w:name="metric_value" w:val="2013"/>
        </w:smartTagPr>
        <w:r w:rsidRPr="005369F7">
          <w:rPr>
            <w:rFonts w:ascii="Times New Roman" w:eastAsia="Times New Roman" w:hAnsi="Times New Roman" w:cs="Times New Roman"/>
            <w:bCs/>
            <w:sz w:val="20"/>
            <w:szCs w:val="20"/>
            <w:lang w:val="lt-LT"/>
          </w:rPr>
          <w:t>2013 m</w:t>
        </w:r>
      </w:smartTag>
      <w:r w:rsidRPr="005369F7">
        <w:rPr>
          <w:rFonts w:ascii="Times New Roman" w:eastAsia="Times New Roman" w:hAnsi="Times New Roman" w:cs="Times New Roman"/>
          <w:bCs/>
          <w:sz w:val="20"/>
          <w:szCs w:val="20"/>
          <w:lang w:val="lt-LT"/>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8283"/>
      </w:tblGrid>
      <w:tr w:rsidR="00BE70A7" w:rsidRPr="005369F7" w:rsidTr="00BE70A7">
        <w:trPr>
          <w:cantSplit/>
          <w:trHeight w:val="392"/>
        </w:trPr>
        <w:tc>
          <w:tcPr>
            <w:tcW w:w="988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E70A7" w:rsidRPr="005369F7" w:rsidRDefault="00BE70A7" w:rsidP="00311BCD">
            <w:pPr>
              <w:pStyle w:val="prastasistinklapis"/>
              <w:spacing w:after="0" w:line="240" w:lineRule="auto"/>
              <w:ind w:left="0"/>
              <w:rPr>
                <w:rFonts w:ascii="Times New Roman" w:eastAsia="Times New Roman" w:hAnsi="Times New Roman" w:cs="Times New Roman"/>
                <w:b/>
                <w:bCs/>
                <w:sz w:val="28"/>
                <w:szCs w:val="28"/>
                <w:lang w:val="lt-LT"/>
              </w:rPr>
            </w:pPr>
            <w:r w:rsidRPr="005369F7">
              <w:rPr>
                <w:rFonts w:ascii="Times New Roman" w:eastAsia="Times New Roman" w:hAnsi="Times New Roman" w:cs="Times New Roman"/>
                <w:b/>
                <w:lang w:val="lt-LT"/>
              </w:rPr>
              <w:t xml:space="preserve">02 </w:t>
            </w:r>
            <w:r w:rsidRPr="005369F7">
              <w:rPr>
                <w:rFonts w:ascii="Times New Roman" w:eastAsia="Times New Roman" w:hAnsi="Times New Roman" w:cs="Times New Roman"/>
                <w:b/>
                <w:shd w:val="clear" w:color="auto" w:fill="E0E0E0"/>
                <w:lang w:val="lt-LT"/>
              </w:rPr>
              <w:t>STRATEGINIS TIKSLAS – k</w:t>
            </w:r>
            <w:r w:rsidRPr="005369F7">
              <w:rPr>
                <w:rFonts w:ascii="Times New Roman" w:eastAsia="Times New Roman" w:hAnsi="Times New Roman" w:cs="Times New Roman"/>
                <w:b/>
                <w:bCs/>
                <w:shd w:val="clear" w:color="auto" w:fill="E0E0E0"/>
                <w:lang w:val="lt-LT"/>
              </w:rPr>
              <w:t>urti mieste patrauklią, švarią ir saugią gyvenamąją aplinką</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lang w:val="lt-LT"/>
              </w:rPr>
            </w:pPr>
            <w:r w:rsidRPr="005369F7">
              <w:rPr>
                <w:rFonts w:ascii="Times New Roman" w:eastAsia="Times New Roman" w:hAnsi="Times New Roman" w:cs="Times New Roman"/>
                <w:lang w:val="lt-LT"/>
              </w:rPr>
              <w:t>Kodas</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both"/>
              <w:rPr>
                <w:rFonts w:ascii="Times New Roman" w:eastAsia="Times New Roman" w:hAnsi="Times New Roman" w:cs="Times New Roman"/>
                <w:lang w:val="lt-LT"/>
              </w:rPr>
            </w:pPr>
            <w:r w:rsidRPr="005369F7">
              <w:rPr>
                <w:rFonts w:ascii="Times New Roman" w:eastAsia="Times New Roman" w:hAnsi="Times New Roman" w:cs="Times New Roman"/>
                <w:lang w:val="lt-LT"/>
              </w:rPr>
              <w:t>Įgyvendinant šį strateginį tikslą, vykdomos programos:</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05</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lang w:val="lt-LT"/>
              </w:rPr>
              <w:t xml:space="preserve">Aplinkos apsaugos programa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lastRenderedPageBreak/>
              <w:t>06</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i/>
                <w:lang w:val="lt-LT" w:eastAsia="lt-LT"/>
              </w:rPr>
            </w:pPr>
            <w:r w:rsidRPr="005369F7">
              <w:rPr>
                <w:rFonts w:ascii="Times New Roman" w:eastAsia="Times New Roman" w:hAnsi="Times New Roman" w:cs="Times New Roman"/>
                <w:b/>
                <w:lang w:val="lt-LT"/>
              </w:rPr>
              <w:t>Susisiekimo</w:t>
            </w:r>
            <w:r w:rsidR="00F6322A">
              <w:rPr>
                <w:rFonts w:ascii="Times New Roman" w:eastAsia="Times New Roman" w:hAnsi="Times New Roman" w:cs="Times New Roman"/>
                <w:b/>
                <w:lang w:val="lt-LT"/>
              </w:rPr>
              <w:t xml:space="preserve"> sistemos priežiūros ir plėtros</w:t>
            </w:r>
            <w:r w:rsidRPr="005369F7">
              <w:rPr>
                <w:rFonts w:ascii="Times New Roman" w:eastAsia="Times New Roman" w:hAnsi="Times New Roman" w:cs="Times New Roman"/>
                <w:b/>
                <w:lang w:val="lt-LT"/>
              </w:rPr>
              <w:t xml:space="preserve"> programa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07</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spacing w:after="0" w:line="240" w:lineRule="auto"/>
              <w:ind w:left="0"/>
              <w:jc w:val="both"/>
              <w:rPr>
                <w:rFonts w:ascii="Times New Roman" w:eastAsia="Times New Roman" w:hAnsi="Times New Roman" w:cs="Times New Roman"/>
                <w:b/>
                <w:lang w:val="lt-LT"/>
              </w:rPr>
            </w:pPr>
            <w:r w:rsidRPr="005369F7">
              <w:rPr>
                <w:rFonts w:ascii="Times New Roman" w:eastAsia="Times New Roman" w:hAnsi="Times New Roman" w:cs="Times New Roman"/>
                <w:b/>
                <w:lang w:val="lt-LT"/>
              </w:rPr>
              <w:t>Miesto infrastruktūros objektų priežiūros ir modernizavimo programa</w:t>
            </w:r>
          </w:p>
        </w:tc>
      </w:tr>
    </w:tbl>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sz w:val="22"/>
          <w:lang w:val="lt-LT"/>
        </w:rPr>
      </w:pPr>
      <w:r w:rsidRPr="005369F7">
        <w:rPr>
          <w:rFonts w:ascii="Times New Roman" w:eastAsia="Times New Roman" w:hAnsi="Times New Roman" w:cs="Times New Roman"/>
          <w:b/>
          <w:bCs/>
          <w:lang w:val="lt-LT"/>
        </w:rPr>
        <w:t>Efekto kriterijai:</w:t>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p>
    <w:p w:rsidR="00BE70A7" w:rsidRPr="00BF5885"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r w:rsidRPr="00BF5885">
        <w:rPr>
          <w:rFonts w:ascii="Times New Roman" w:eastAsia="Times New Roman" w:hAnsi="Times New Roman" w:cs="Times New Roman"/>
          <w:b/>
          <w:bCs/>
          <w:lang w:val="lt-LT"/>
        </w:rPr>
        <w:t>E-02-01 Aplinkos oro kokybė, neviršijanti didžiausių leistinų koncentracijų</w:t>
      </w:r>
      <w:r w:rsidRPr="00BF5885">
        <w:rPr>
          <w:rFonts w:ascii="Times New Roman" w:eastAsia="Times New Roman" w:hAnsi="Times New Roman" w:cs="Times New Roman"/>
          <w:bCs/>
          <w:lang w:val="lt-LT"/>
        </w:rPr>
        <w:t xml:space="preserve"> (</w:t>
      </w:r>
      <w:r w:rsidRPr="00BF5885">
        <w:rPr>
          <w:rFonts w:ascii="Times New Roman" w:eastAsia="Times New Roman" w:hAnsi="Times New Roman" w:cs="Times New Roman"/>
          <w:b/>
          <w:bCs/>
          <w:lang w:val="lt-LT"/>
        </w:rPr>
        <w:t>DLK&lt;1)</w:t>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sz w:val="20"/>
          <w:szCs w:val="20"/>
          <w:lang w:val="lt-LT"/>
        </w:rPr>
      </w:pPr>
      <w:r w:rsidRPr="005369F7">
        <w:rPr>
          <w:rFonts w:ascii="Times New Roman" w:eastAsia="Times New Roman" w:hAnsi="Times New Roman" w:cs="Times New Roman"/>
          <w:b/>
          <w:bCs/>
          <w:sz w:val="20"/>
          <w:szCs w:val="20"/>
          <w:lang w:val="lt-LT"/>
        </w:rPr>
        <w:t xml:space="preserve"> </w:t>
      </w:r>
      <w:r w:rsidR="00DA1A32">
        <w:rPr>
          <w:b/>
          <w:bCs/>
          <w:noProof/>
          <w:sz w:val="20"/>
          <w:szCs w:val="20"/>
          <w:lang w:val="lt-LT" w:eastAsia="lt-LT"/>
        </w:rPr>
        <w:drawing>
          <wp:inline distT="0" distB="0" distL="0" distR="0" wp14:anchorId="3DC6C847" wp14:editId="0DFE165A">
            <wp:extent cx="5939790" cy="2289810"/>
            <wp:effectExtent l="0" t="0" r="3810" b="0"/>
            <wp:docPr id="2" name="Diagrama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70A7" w:rsidRPr="005369F7" w:rsidRDefault="00BE70A7" w:rsidP="005F29B0">
      <w:pPr>
        <w:pStyle w:val="prastasistinklapis"/>
        <w:pBdr>
          <w:top w:val="single" w:sz="4" w:space="1" w:color="auto"/>
          <w:left w:val="single" w:sz="4" w:space="4" w:color="auto"/>
          <w:bottom w:val="single" w:sz="4" w:space="1" w:color="auto"/>
          <w:right w:val="single" w:sz="4" w:space="4" w:color="auto"/>
        </w:pBdr>
        <w:spacing w:after="0" w:line="240" w:lineRule="auto"/>
        <w:ind w:left="0"/>
        <w:jc w:val="center"/>
        <w:rPr>
          <w:rStyle w:val="Hipersaitas"/>
          <w:rFonts w:ascii="Times New Roman" w:hAnsi="Times New Roman" w:cs="Times New Roman"/>
          <w:lang w:val="lt-LT"/>
        </w:rPr>
      </w:pPr>
      <w:r w:rsidRPr="005369F7">
        <w:rPr>
          <w:rFonts w:ascii="Times New Roman" w:eastAsia="Times New Roman" w:hAnsi="Times New Roman" w:cs="Times New Roman"/>
          <w:bCs/>
          <w:sz w:val="20"/>
          <w:szCs w:val="20"/>
          <w:lang w:val="lt-LT"/>
        </w:rPr>
        <w:t xml:space="preserve">Duomenų šaltinis: Lietuvos aplinkos apsaugos agentūra, portalas </w:t>
      </w:r>
      <w:proofErr w:type="spellStart"/>
      <w:r w:rsidRPr="005F29B0">
        <w:rPr>
          <w:rFonts w:ascii="Times New Roman" w:eastAsia="Times New Roman" w:hAnsi="Times New Roman" w:cs="Times New Roman"/>
          <w:bCs/>
          <w:sz w:val="20"/>
          <w:szCs w:val="20"/>
          <w:lang w:val="lt-LT"/>
        </w:rPr>
        <w:t>www.gamta.lt</w:t>
      </w:r>
      <w:proofErr w:type="spellEnd"/>
      <w:r w:rsidRPr="005F29B0">
        <w:rPr>
          <w:rStyle w:val="Hipersaitas"/>
          <w:rFonts w:ascii="Times New Roman" w:eastAsia="Times New Roman" w:hAnsi="Times New Roman" w:cs="Times New Roman"/>
          <w:bCs/>
          <w:color w:val="auto"/>
          <w:sz w:val="20"/>
          <w:szCs w:val="20"/>
          <w:u w:val="none"/>
          <w:lang w:val="lt-LT"/>
        </w:rPr>
        <w:t>, 2013 m.</w:t>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Style w:val="Hipersaitas"/>
          <w:rFonts w:ascii="Times New Roman" w:eastAsia="Times New Roman" w:hAnsi="Times New Roman" w:cs="Times New Roman"/>
          <w:bCs/>
          <w:sz w:val="20"/>
          <w:szCs w:val="20"/>
          <w:lang w:val="lt-LT"/>
        </w:rPr>
      </w:pP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rPr>
          <w:b/>
        </w:rPr>
      </w:pPr>
      <w:r w:rsidRPr="005369F7">
        <w:rPr>
          <w:b/>
        </w:rPr>
        <w:t>E-02-02 Avaringumo lygis (kelių eismo įvykių skaičius</w:t>
      </w:r>
      <w:r w:rsidR="009F2507" w:rsidRPr="005369F7">
        <w:rPr>
          <w:b/>
        </w:rPr>
        <w:t xml:space="preserve"> </w:t>
      </w:r>
      <w:r w:rsidRPr="005369F7">
        <w:rPr>
          <w:b/>
        </w:rPr>
        <w:t xml:space="preserve">100 000 </w:t>
      </w:r>
      <w:proofErr w:type="spellStart"/>
      <w:r w:rsidRPr="005369F7">
        <w:rPr>
          <w:b/>
        </w:rPr>
        <w:t>gyv</w:t>
      </w:r>
      <w:proofErr w:type="spellEnd"/>
      <w:r w:rsidRPr="005369F7">
        <w:rPr>
          <w:b/>
        </w:rPr>
        <w:t>.) &lt;140</w:t>
      </w: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jc w:val="center"/>
      </w:pPr>
      <w:r w:rsidRPr="005369F7">
        <w:rPr>
          <w:b/>
          <w:noProof/>
          <w:lang w:eastAsia="lt-LT"/>
        </w:rPr>
        <w:drawing>
          <wp:inline distT="0" distB="0" distL="0" distR="0" wp14:anchorId="22358A73" wp14:editId="7B0D1AFE">
            <wp:extent cx="5314950" cy="1828800"/>
            <wp:effectExtent l="0" t="0" r="0" b="0"/>
            <wp:docPr id="46" name="Diagrama 4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70A7" w:rsidRPr="005369F7" w:rsidRDefault="00BE70A7" w:rsidP="009F2507">
      <w:pPr>
        <w:pStyle w:val="prastasistinklapis"/>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eastAsia="Times New Roman" w:hAnsi="Times New Roman" w:cs="Times New Roman"/>
          <w:b/>
          <w:bCs/>
          <w:sz w:val="20"/>
          <w:szCs w:val="20"/>
          <w:lang w:val="lt-LT"/>
        </w:rPr>
      </w:pPr>
      <w:r w:rsidRPr="005369F7">
        <w:rPr>
          <w:rFonts w:ascii="Times New Roman" w:eastAsia="Times New Roman" w:hAnsi="Times New Roman" w:cs="Times New Roman"/>
          <w:bCs/>
          <w:sz w:val="20"/>
          <w:szCs w:val="20"/>
          <w:lang w:val="lt-LT"/>
        </w:rPr>
        <w:t xml:space="preserve">Duomenų šaltinis: </w:t>
      </w:r>
      <w:r w:rsidRPr="005369F7">
        <w:rPr>
          <w:rStyle w:val="Grietas"/>
          <w:rFonts w:ascii="Times New Roman" w:eastAsia="Times New Roman" w:hAnsi="Times New Roman" w:cs="Times New Roman"/>
          <w:b w:val="0"/>
          <w:bCs w:val="0"/>
          <w:sz w:val="20"/>
          <w:szCs w:val="20"/>
          <w:lang w:val="lt-LT"/>
        </w:rPr>
        <w:t xml:space="preserve">Statistikos departamentas prie Lietuvos Respublikos Vyriausybės, </w:t>
      </w:r>
      <w:smartTag w:uri="schemas-tilde-lv/tildestengine" w:element="metric2">
        <w:smartTagPr>
          <w:attr w:name="metric_text" w:val="m"/>
          <w:attr w:name="metric_value" w:val="2013"/>
        </w:smartTagPr>
        <w:r w:rsidRPr="005369F7">
          <w:rPr>
            <w:rStyle w:val="Grietas"/>
            <w:rFonts w:ascii="Times New Roman" w:eastAsia="Times New Roman" w:hAnsi="Times New Roman" w:cs="Times New Roman"/>
            <w:b w:val="0"/>
            <w:bCs w:val="0"/>
            <w:sz w:val="20"/>
            <w:szCs w:val="20"/>
            <w:lang w:val="lt-LT"/>
          </w:rPr>
          <w:t>2013 m</w:t>
        </w:r>
      </w:smartTag>
      <w:r w:rsidRPr="005369F7">
        <w:rPr>
          <w:rStyle w:val="Grietas"/>
          <w:rFonts w:ascii="Times New Roman" w:eastAsia="Times New Roman" w:hAnsi="Times New Roman" w:cs="Times New Roman"/>
          <w:b w:val="0"/>
          <w:bCs w:val="0"/>
          <w:sz w:val="20"/>
          <w:szCs w:val="20"/>
          <w:lang w:val="lt-LT"/>
        </w:rPr>
        <w:t>.</w:t>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sz w:val="20"/>
          <w:szCs w:val="20"/>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8283"/>
      </w:tblGrid>
      <w:tr w:rsidR="00BE70A7" w:rsidRPr="005369F7" w:rsidTr="00BE70A7">
        <w:trPr>
          <w:cantSplit/>
          <w:trHeight w:val="639"/>
        </w:trPr>
        <w:tc>
          <w:tcPr>
            <w:tcW w:w="9889" w:type="dxa"/>
            <w:gridSpan w:val="2"/>
            <w:tcBorders>
              <w:top w:val="single" w:sz="4" w:space="0" w:color="auto"/>
              <w:left w:val="single" w:sz="4" w:space="0" w:color="auto"/>
              <w:bottom w:val="single" w:sz="4" w:space="0" w:color="auto"/>
              <w:right w:val="single" w:sz="4" w:space="0" w:color="auto"/>
            </w:tcBorders>
            <w:shd w:val="clear" w:color="auto" w:fill="E0E0E0"/>
            <w:hideMark/>
          </w:tcPr>
          <w:p w:rsidR="00BE70A7" w:rsidRPr="005369F7" w:rsidRDefault="00BE70A7" w:rsidP="00311BCD">
            <w:pPr>
              <w:pStyle w:val="prastasistinklapis"/>
              <w:spacing w:after="0" w:line="240" w:lineRule="auto"/>
              <w:ind w:left="0"/>
              <w:rPr>
                <w:rFonts w:ascii="Times New Roman" w:eastAsia="Times New Roman" w:hAnsi="Times New Roman" w:cs="Times New Roman"/>
                <w:b/>
                <w:bCs/>
                <w:sz w:val="20"/>
                <w:szCs w:val="20"/>
                <w:highlight w:val="yellow"/>
                <w:lang w:val="lt-LT"/>
              </w:rPr>
            </w:pPr>
            <w:r w:rsidRPr="005369F7">
              <w:rPr>
                <w:rFonts w:ascii="Times New Roman" w:eastAsia="Times New Roman" w:hAnsi="Times New Roman" w:cs="Times New Roman"/>
                <w:b/>
                <w:lang w:val="lt-LT"/>
              </w:rPr>
              <w:t>03 STRATEGINIS TIKSLAS – užtikrinti gyventojams aukštą švietimo, kultūros, socialinių, sporto ir sveikatos apsaugos paslaugų kokybę ir prieinamumą</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lang w:val="lt-LT"/>
              </w:rPr>
            </w:pPr>
            <w:r w:rsidRPr="005369F7">
              <w:rPr>
                <w:rFonts w:ascii="Times New Roman" w:eastAsia="Times New Roman" w:hAnsi="Times New Roman" w:cs="Times New Roman"/>
                <w:lang w:val="lt-LT"/>
              </w:rPr>
              <w:t>Kodas</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both"/>
              <w:rPr>
                <w:rFonts w:ascii="Times New Roman" w:eastAsia="Times New Roman" w:hAnsi="Times New Roman" w:cs="Times New Roman"/>
                <w:lang w:val="lt-LT"/>
              </w:rPr>
            </w:pPr>
            <w:r w:rsidRPr="005369F7">
              <w:rPr>
                <w:rFonts w:ascii="Times New Roman" w:eastAsia="Times New Roman" w:hAnsi="Times New Roman" w:cs="Times New Roman"/>
                <w:lang w:val="lt-LT"/>
              </w:rPr>
              <w:t>Įgyvendinant šį strateginį tikslą vykdomos programos:</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08</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both"/>
              <w:rPr>
                <w:rFonts w:ascii="Times New Roman" w:eastAsia="Times New Roman" w:hAnsi="Times New Roman" w:cs="Times New Roman"/>
                <w:lang w:val="lt-LT"/>
              </w:rPr>
            </w:pPr>
            <w:r w:rsidRPr="005369F7">
              <w:rPr>
                <w:rFonts w:ascii="Times New Roman" w:eastAsia="Times New Roman" w:hAnsi="Times New Roman" w:cs="Times New Roman"/>
                <w:b/>
                <w:lang w:val="lt-LT"/>
              </w:rPr>
              <w:t xml:space="preserve">Miesto kultūrinio savitumo puoselėjimo bei kultūrinių paslaugų gerinimo programa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09</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bCs/>
                <w:lang w:val="lt-LT"/>
              </w:rPr>
              <w:t xml:space="preserve">Jaunimo politikos plėtros </w:t>
            </w:r>
            <w:r w:rsidRPr="005369F7">
              <w:rPr>
                <w:rFonts w:ascii="Times New Roman" w:eastAsia="Times New Roman" w:hAnsi="Times New Roman" w:cs="Times New Roman"/>
                <w:b/>
                <w:lang w:val="lt-LT"/>
              </w:rPr>
              <w:t xml:space="preserve">programa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10</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lang w:val="lt-LT"/>
              </w:rPr>
              <w:t>Ugdymo proceso užtikrinimo programa</w:t>
            </w:r>
            <w:r w:rsidRPr="005369F7">
              <w:rPr>
                <w:rFonts w:ascii="Times New Roman" w:eastAsia="Times New Roman" w:hAnsi="Times New Roman" w:cs="Times New Roman"/>
                <w:b/>
                <w:bCs/>
                <w:lang w:val="lt-LT"/>
              </w:rPr>
              <w:t xml:space="preserve">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11</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bCs/>
                <w:lang w:val="lt-LT"/>
              </w:rPr>
              <w:t>Kūno kultūros ir sporto plėtros programa</w:t>
            </w:r>
            <w:r w:rsidRPr="005369F7">
              <w:rPr>
                <w:rFonts w:ascii="Times New Roman" w:eastAsia="Times New Roman" w:hAnsi="Times New Roman" w:cs="Times New Roman"/>
                <w:b/>
                <w:lang w:val="lt-LT"/>
              </w:rPr>
              <w:t xml:space="preserve">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12</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rPr>
                <w:rFonts w:ascii="Times New Roman" w:eastAsia="Times New Roman" w:hAnsi="Times New Roman" w:cs="Times New Roman"/>
                <w:b/>
                <w:lang w:val="lt-LT"/>
              </w:rPr>
            </w:pPr>
            <w:r w:rsidRPr="005369F7">
              <w:rPr>
                <w:rFonts w:ascii="Times New Roman" w:eastAsia="Times New Roman" w:hAnsi="Times New Roman" w:cs="Times New Roman"/>
                <w:b/>
                <w:lang w:val="lt-LT"/>
              </w:rPr>
              <w:t>Socialinės atskirties mažinimo programa</w:t>
            </w:r>
            <w:r w:rsidRPr="005369F7">
              <w:rPr>
                <w:rFonts w:ascii="Times New Roman" w:eastAsia="Times New Roman" w:hAnsi="Times New Roman" w:cs="Times New Roman"/>
                <w:b/>
                <w:bCs/>
                <w:lang w:val="lt-LT"/>
              </w:rPr>
              <w:t xml:space="preserve"> </w:t>
            </w:r>
          </w:p>
        </w:tc>
      </w:tr>
      <w:tr w:rsidR="00BE70A7" w:rsidRPr="005369F7" w:rsidTr="00BE70A7">
        <w:trPr>
          <w:cantSplit/>
          <w:trHeight w:val="185"/>
        </w:trPr>
        <w:tc>
          <w:tcPr>
            <w:tcW w:w="1603"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pStyle w:val="prastasistinklapis"/>
              <w:tabs>
                <w:tab w:val="left" w:pos="1296"/>
                <w:tab w:val="center" w:pos="4153"/>
                <w:tab w:val="right" w:pos="8306"/>
              </w:tabs>
              <w:spacing w:after="0" w:line="240" w:lineRule="auto"/>
              <w:ind w:left="0"/>
              <w:jc w:val="center"/>
              <w:rPr>
                <w:rFonts w:ascii="Times New Roman" w:eastAsia="Times New Roman" w:hAnsi="Times New Roman" w:cs="Times New Roman"/>
                <w:b/>
                <w:lang w:val="lt-LT"/>
              </w:rPr>
            </w:pPr>
            <w:r w:rsidRPr="005369F7">
              <w:rPr>
                <w:rFonts w:ascii="Times New Roman" w:eastAsia="Times New Roman" w:hAnsi="Times New Roman" w:cs="Times New Roman"/>
                <w:b/>
                <w:lang w:val="lt-LT"/>
              </w:rPr>
              <w:t>13</w:t>
            </w:r>
          </w:p>
        </w:tc>
        <w:tc>
          <w:tcPr>
            <w:tcW w:w="8286" w:type="dxa"/>
            <w:tcBorders>
              <w:top w:val="single" w:sz="4" w:space="0" w:color="auto"/>
              <w:left w:val="single" w:sz="4" w:space="0" w:color="auto"/>
              <w:bottom w:val="single" w:sz="4" w:space="0" w:color="auto"/>
              <w:right w:val="single" w:sz="4" w:space="0" w:color="auto"/>
            </w:tcBorders>
            <w:hideMark/>
          </w:tcPr>
          <w:p w:rsidR="00BE70A7" w:rsidRPr="005369F7" w:rsidRDefault="00BE70A7" w:rsidP="00311BCD">
            <w:pPr>
              <w:rPr>
                <w:b/>
                <w:sz w:val="20"/>
                <w:szCs w:val="20"/>
              </w:rPr>
            </w:pPr>
            <w:r w:rsidRPr="005369F7">
              <w:rPr>
                <w:b/>
                <w:bCs/>
              </w:rPr>
              <w:t>Sveikatos apsaugos programa</w:t>
            </w:r>
          </w:p>
        </w:tc>
      </w:tr>
    </w:tbl>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r w:rsidRPr="005369F7">
        <w:rPr>
          <w:rFonts w:ascii="Times New Roman" w:eastAsia="Times New Roman" w:hAnsi="Times New Roman" w:cs="Times New Roman"/>
          <w:b/>
          <w:bCs/>
          <w:lang w:val="lt-LT"/>
        </w:rPr>
        <w:t>Efekto kriterijai:</w:t>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spacing w:after="0" w:line="240" w:lineRule="auto"/>
        <w:ind w:left="0"/>
        <w:rPr>
          <w:rFonts w:ascii="Times New Roman" w:eastAsia="Times New Roman" w:hAnsi="Times New Roman" w:cs="Times New Roman"/>
          <w:b/>
          <w:bCs/>
          <w:lang w:val="lt-LT"/>
        </w:rPr>
      </w:pP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jc w:val="both"/>
        <w:rPr>
          <w:b/>
        </w:rPr>
      </w:pPr>
      <w:r w:rsidRPr="005369F7">
        <w:rPr>
          <w:b/>
        </w:rPr>
        <w:t>E-03-01 Gyventojų skaičiaus pokytis  &lt;0%</w:t>
      </w:r>
    </w:p>
    <w:p w:rsidR="00BE70A7" w:rsidRPr="005369F7" w:rsidRDefault="00BE70A7" w:rsidP="00311BCD">
      <w:pPr>
        <w:pBdr>
          <w:top w:val="single" w:sz="4" w:space="1" w:color="auto"/>
          <w:left w:val="single" w:sz="4" w:space="4" w:color="auto"/>
          <w:bottom w:val="single" w:sz="4" w:space="1" w:color="auto"/>
          <w:right w:val="single" w:sz="4" w:space="4" w:color="auto"/>
        </w:pBdr>
        <w:autoSpaceDE w:val="0"/>
        <w:autoSpaceDN w:val="0"/>
        <w:adjustRightInd w:val="0"/>
        <w:jc w:val="center"/>
        <w:rPr>
          <w:sz w:val="20"/>
          <w:szCs w:val="20"/>
        </w:rPr>
      </w:pPr>
      <w:r w:rsidRPr="005369F7">
        <w:rPr>
          <w:b/>
          <w:noProof/>
          <w:lang w:eastAsia="lt-LT"/>
        </w:rPr>
        <w:lastRenderedPageBreak/>
        <w:drawing>
          <wp:inline distT="0" distB="0" distL="0" distR="0" wp14:anchorId="40D16B79" wp14:editId="3D14DBB2">
            <wp:extent cx="5638800" cy="2181225"/>
            <wp:effectExtent l="0" t="0" r="0" b="0"/>
            <wp:docPr id="61" name="Diagrama 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369F7">
        <w:rPr>
          <w:sz w:val="20"/>
          <w:szCs w:val="20"/>
        </w:rPr>
        <w:t xml:space="preserve"> Duomenų šaltinis: Statistikos departamentas prie Lietuvos Respublikos Vyriausybės, 2013 m.</w:t>
      </w: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jc w:val="both"/>
        <w:rPr>
          <w:b/>
        </w:rPr>
      </w:pP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jc w:val="both"/>
        <w:rPr>
          <w:b/>
        </w:rPr>
      </w:pPr>
      <w:r w:rsidRPr="005369F7">
        <w:rPr>
          <w:b/>
        </w:rPr>
        <w:t xml:space="preserve">E-03-02 Atitiktis valstybės mastu nustatytiems aprūpinimo socialinėmis paslaugomis </w:t>
      </w: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jc w:val="both"/>
        <w:rPr>
          <w:b/>
        </w:rPr>
      </w:pPr>
      <w:r w:rsidRPr="005369F7">
        <w:rPr>
          <w:b/>
        </w:rPr>
        <w:t>normatyvams – 100 %</w:t>
      </w:r>
    </w:p>
    <w:p w:rsidR="00BE70A7" w:rsidRPr="005369F7" w:rsidRDefault="00BE70A7" w:rsidP="00311BCD">
      <w:pPr>
        <w:pBdr>
          <w:top w:val="single" w:sz="4" w:space="1" w:color="auto"/>
          <w:left w:val="single" w:sz="4" w:space="4" w:color="auto"/>
          <w:bottom w:val="single" w:sz="4" w:space="1" w:color="auto"/>
          <w:right w:val="single" w:sz="4" w:space="4" w:color="auto"/>
        </w:pBdr>
        <w:tabs>
          <w:tab w:val="left" w:pos="0"/>
          <w:tab w:val="left" w:pos="1260"/>
        </w:tabs>
        <w:jc w:val="both"/>
      </w:pPr>
      <w:r w:rsidRPr="005369F7">
        <w:rPr>
          <w:noProof/>
          <w:lang w:eastAsia="lt-LT"/>
        </w:rPr>
        <w:drawing>
          <wp:inline distT="0" distB="0" distL="0" distR="0" wp14:anchorId="643D143A" wp14:editId="163DE9BD">
            <wp:extent cx="6000750" cy="2543175"/>
            <wp:effectExtent l="0" t="0" r="0" b="0"/>
            <wp:docPr id="58" name="Diagrama 5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tabs>
          <w:tab w:val="left" w:pos="9630"/>
        </w:tabs>
        <w:spacing w:after="0" w:line="240" w:lineRule="auto"/>
        <w:ind w:left="0"/>
        <w:jc w:val="center"/>
        <w:rPr>
          <w:rFonts w:ascii="Times New Roman" w:eastAsia="Times New Roman" w:hAnsi="Times New Roman" w:cs="Times New Roman"/>
          <w:sz w:val="20"/>
          <w:szCs w:val="20"/>
          <w:lang w:val="lt-LT"/>
        </w:rPr>
      </w:pPr>
      <w:r w:rsidRPr="005369F7">
        <w:rPr>
          <w:rFonts w:ascii="Times New Roman" w:eastAsia="Times New Roman" w:hAnsi="Times New Roman" w:cs="Times New Roman"/>
          <w:sz w:val="20"/>
          <w:szCs w:val="20"/>
          <w:lang w:val="lt-LT"/>
        </w:rPr>
        <w:t xml:space="preserve">Duomenų šaltinis: Klaipėdos miesto savivaldybės administracijos Socialinių reikalų departamentas, </w:t>
      </w:r>
      <w:smartTag w:uri="schemas-tilde-lv/tildestengine" w:element="metric2">
        <w:smartTagPr>
          <w:attr w:name="metric_value" w:val="2013"/>
          <w:attr w:name="metric_text" w:val="m"/>
        </w:smartTagPr>
        <w:r w:rsidRPr="005369F7">
          <w:rPr>
            <w:rFonts w:ascii="Times New Roman" w:eastAsia="Times New Roman" w:hAnsi="Times New Roman" w:cs="Times New Roman"/>
            <w:sz w:val="20"/>
            <w:szCs w:val="20"/>
            <w:lang w:val="lt-LT"/>
          </w:rPr>
          <w:t>2013 m</w:t>
        </w:r>
      </w:smartTag>
      <w:r w:rsidRPr="005369F7">
        <w:rPr>
          <w:rFonts w:ascii="Times New Roman" w:eastAsia="Times New Roman" w:hAnsi="Times New Roman" w:cs="Times New Roman"/>
          <w:sz w:val="20"/>
          <w:szCs w:val="20"/>
          <w:lang w:val="lt-LT"/>
        </w:rPr>
        <w:t>.</w:t>
      </w:r>
    </w:p>
    <w:p w:rsidR="00BE70A7" w:rsidRPr="005369F7" w:rsidRDefault="00BE70A7" w:rsidP="00311BCD">
      <w:pPr>
        <w:pStyle w:val="prastasistinklapis"/>
        <w:pBdr>
          <w:top w:val="single" w:sz="4" w:space="1" w:color="auto"/>
          <w:left w:val="single" w:sz="4" w:space="4" w:color="auto"/>
          <w:bottom w:val="single" w:sz="4" w:space="1" w:color="auto"/>
          <w:right w:val="single" w:sz="4" w:space="4" w:color="auto"/>
        </w:pBdr>
        <w:tabs>
          <w:tab w:val="left" w:pos="9630"/>
        </w:tabs>
        <w:spacing w:after="0" w:line="240" w:lineRule="auto"/>
        <w:ind w:left="0"/>
        <w:jc w:val="center"/>
        <w:rPr>
          <w:rFonts w:ascii="Times New Roman" w:eastAsia="Times New Roman" w:hAnsi="Times New Roman" w:cs="Times New Roman"/>
          <w:b/>
          <w:bCs/>
          <w:sz w:val="22"/>
          <w:szCs w:val="22"/>
          <w:lang w:val="lt-LT"/>
        </w:rPr>
      </w:pPr>
    </w:p>
    <w:p w:rsidR="00BE70A7" w:rsidRPr="005369F7" w:rsidRDefault="00BE70A7" w:rsidP="00311BCD">
      <w:pPr>
        <w:ind w:firstLine="709"/>
        <w:jc w:val="both"/>
        <w:rPr>
          <w:b/>
          <w:snapToGrid w:val="0"/>
          <w:color w:val="000000"/>
        </w:rPr>
      </w:pPr>
    </w:p>
    <w:p w:rsidR="00BE70A7" w:rsidRPr="005369F7" w:rsidRDefault="00BE70A7" w:rsidP="00311BCD">
      <w:pPr>
        <w:pStyle w:val="xl127"/>
        <w:spacing w:before="0" w:beforeAutospacing="0" w:after="0" w:afterAutospacing="0"/>
        <w:ind w:firstLine="748"/>
        <w:jc w:val="left"/>
        <w:rPr>
          <w:rFonts w:ascii="Times New Roman" w:hAnsi="Times New Roman" w:cs="Times New Roman"/>
        </w:rPr>
      </w:pPr>
      <w:r w:rsidRPr="005369F7">
        <w:rPr>
          <w:rFonts w:ascii="Times New Roman" w:hAnsi="Times New Roman" w:cs="Times New Roman"/>
          <w:b w:val="0"/>
        </w:rPr>
        <w:t>PRIDEDAMA:</w:t>
      </w:r>
    </w:p>
    <w:p w:rsidR="00BE70A7" w:rsidRPr="005369F7" w:rsidRDefault="00BE70A7" w:rsidP="00311BCD">
      <w:pPr>
        <w:pStyle w:val="xl127"/>
        <w:spacing w:before="0" w:beforeAutospacing="0" w:after="0" w:afterAutospacing="0"/>
        <w:ind w:firstLine="748"/>
        <w:jc w:val="both"/>
        <w:rPr>
          <w:rFonts w:ascii="Times New Roman" w:hAnsi="Times New Roman" w:cs="Times New Roman"/>
          <w:b w:val="0"/>
          <w:bCs w:val="0"/>
        </w:rPr>
      </w:pPr>
      <w:r w:rsidRPr="005369F7">
        <w:rPr>
          <w:rFonts w:ascii="Times New Roman" w:hAnsi="Times New Roman" w:cs="Times New Roman"/>
          <w:b w:val="0"/>
          <w:bCs w:val="0"/>
        </w:rPr>
        <w:t xml:space="preserve">2014–2016 metų programų tikslų, uždavinių, priemonių, priemonių išlaidų ir produktų vertinimo kriterijų suvestinė (13 programų). </w:t>
      </w:r>
    </w:p>
    <w:p w:rsidR="00BE70A7" w:rsidRPr="005369F7" w:rsidRDefault="00BE70A7" w:rsidP="00311BCD">
      <w:pPr>
        <w:pStyle w:val="xl127"/>
        <w:spacing w:before="0" w:beforeAutospacing="0" w:after="0" w:afterAutospacing="0"/>
        <w:ind w:firstLine="748"/>
        <w:jc w:val="both"/>
        <w:rPr>
          <w:rFonts w:ascii="Times New Roman" w:hAnsi="Times New Roman" w:cs="Times New Roman"/>
          <w:b w:val="0"/>
        </w:rPr>
      </w:pPr>
      <w:r w:rsidRPr="005369F7">
        <w:rPr>
          <w:rFonts w:ascii="Times New Roman" w:hAnsi="Times New Roman" w:cs="Times New Roman"/>
          <w:b w:val="0"/>
        </w:rPr>
        <w:t>Priedas.</w:t>
      </w:r>
      <w:r w:rsidRPr="005369F7">
        <w:rPr>
          <w:rFonts w:ascii="Times New Roman" w:hAnsi="Times New Roman" w:cs="Times New Roman"/>
          <w:caps/>
        </w:rPr>
        <w:t xml:space="preserve"> </w:t>
      </w:r>
      <w:r w:rsidRPr="005369F7">
        <w:rPr>
          <w:rFonts w:ascii="Times New Roman" w:hAnsi="Times New Roman" w:cs="Times New Roman"/>
          <w:b w:val="0"/>
        </w:rPr>
        <w:t>Klaipėdos miesto savivaldybės tarybos patvirtintų strateginio planavimo dokumentų klasifikatorius.</w:t>
      </w:r>
    </w:p>
    <w:p w:rsidR="00BE70A7" w:rsidRPr="005369F7" w:rsidRDefault="00BE70A7" w:rsidP="00311BCD">
      <w:pPr>
        <w:ind w:firstLine="709"/>
        <w:jc w:val="both"/>
        <w:rPr>
          <w:b/>
          <w:snapToGrid w:val="0"/>
          <w:color w:val="000000"/>
        </w:rPr>
      </w:pPr>
    </w:p>
    <w:p w:rsidR="00BE70A7" w:rsidRPr="005369F7" w:rsidRDefault="00BE70A7" w:rsidP="00311BCD">
      <w:pPr>
        <w:pStyle w:val="xl127"/>
        <w:spacing w:before="0" w:beforeAutospacing="0" w:after="0" w:afterAutospacing="0"/>
        <w:rPr>
          <w:rFonts w:ascii="Times New Roman" w:hAnsi="Times New Roman" w:cs="Times New Roman"/>
          <w:b w:val="0"/>
          <w:snapToGrid w:val="0"/>
          <w:color w:val="000000"/>
        </w:rPr>
      </w:pPr>
      <w:r w:rsidRPr="005369F7">
        <w:rPr>
          <w:rFonts w:ascii="Times New Roman" w:hAnsi="Times New Roman" w:cs="Times New Roman"/>
          <w:b w:val="0"/>
        </w:rPr>
        <w:t>________________________</w:t>
      </w:r>
    </w:p>
    <w:p w:rsidR="0006079E" w:rsidRPr="005369F7" w:rsidRDefault="0006079E" w:rsidP="00311BCD">
      <w:pPr>
        <w:jc w:val="center"/>
      </w:pPr>
    </w:p>
    <w:sectPr w:rsidR="0006079E" w:rsidRPr="005369F7" w:rsidSect="00DD6FF1">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18" w:rsidRDefault="003A0C18" w:rsidP="00BE70A7">
      <w:r>
        <w:separator/>
      </w:r>
    </w:p>
  </w:endnote>
  <w:endnote w:type="continuationSeparator" w:id="0">
    <w:p w:rsidR="003A0C18" w:rsidRDefault="003A0C18" w:rsidP="00BE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j-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18" w:rsidRDefault="003A0C18" w:rsidP="00BE70A7">
      <w:r>
        <w:separator/>
      </w:r>
    </w:p>
  </w:footnote>
  <w:footnote w:type="continuationSeparator" w:id="0">
    <w:p w:rsidR="003A0C18" w:rsidRDefault="003A0C18" w:rsidP="00BE70A7">
      <w:r>
        <w:continuationSeparator/>
      </w:r>
    </w:p>
  </w:footnote>
  <w:footnote w:id="1">
    <w:p w:rsidR="00BE70A7" w:rsidRPr="00E176F6" w:rsidRDefault="00BE70A7" w:rsidP="00BE70A7">
      <w:pPr>
        <w:pStyle w:val="Puslapioinaostekstas"/>
        <w:rPr>
          <w:rFonts w:ascii="Times New Roman" w:hAnsi="Times New Roman" w:cs="Times New Roman"/>
          <w:sz w:val="20"/>
          <w:szCs w:val="20"/>
        </w:rPr>
      </w:pPr>
      <w:r w:rsidRPr="00E176F6">
        <w:rPr>
          <w:rStyle w:val="Puslapioinaosnuoroda"/>
          <w:rFonts w:ascii="Times New Roman" w:hAnsi="Times New Roman" w:cs="Times New Roman"/>
          <w:sz w:val="20"/>
          <w:szCs w:val="20"/>
        </w:rPr>
        <w:footnoteRef/>
      </w:r>
      <w:r w:rsidRPr="00E176F6">
        <w:rPr>
          <w:rFonts w:ascii="Times New Roman" w:hAnsi="Times New Roman" w:cs="Times New Roman"/>
          <w:sz w:val="20"/>
          <w:szCs w:val="20"/>
        </w:rPr>
        <w:t xml:space="preserve"> Lietuvos laisvos rinkos instituto tyrimas „Lietuvos savivaldybių indeksas 2013“,  Vilnius, 2013 m.</w:t>
      </w:r>
    </w:p>
  </w:footnote>
  <w:footnote w:id="2">
    <w:p w:rsidR="00BE70A7" w:rsidRPr="00E176F6" w:rsidRDefault="00BE70A7" w:rsidP="00BE70A7">
      <w:pPr>
        <w:pStyle w:val="Puslapioinaostekstas"/>
        <w:rPr>
          <w:rFonts w:ascii="Times New Roman" w:hAnsi="Times New Roman" w:cs="Times New Roman"/>
          <w:sz w:val="20"/>
          <w:szCs w:val="20"/>
        </w:rPr>
      </w:pPr>
      <w:r w:rsidRPr="00E176F6">
        <w:rPr>
          <w:rStyle w:val="Puslapioinaosnuoroda"/>
          <w:rFonts w:ascii="Times New Roman" w:hAnsi="Times New Roman" w:cs="Times New Roman"/>
          <w:sz w:val="20"/>
          <w:szCs w:val="20"/>
        </w:rPr>
        <w:footnoteRef/>
      </w:r>
      <w:r w:rsidRPr="00E176F6">
        <w:rPr>
          <w:rFonts w:ascii="Times New Roman" w:hAnsi="Times New Roman" w:cs="Times New Roman"/>
          <w:sz w:val="20"/>
          <w:szCs w:val="20"/>
        </w:rPr>
        <w:t xml:space="preserve"> </w:t>
      </w:r>
      <w:r w:rsidRPr="00E176F6">
        <w:rPr>
          <w:rFonts w:ascii="Times New Roman" w:hAnsi="Times New Roman" w:cs="Times New Roman"/>
          <w:sz w:val="20"/>
          <w:szCs w:val="20"/>
        </w:rPr>
        <w:t>Vidaus reikalų ministerijos Viešojo valdymo politikos departamento  Vietos savivaldos politikos skyriaus atliktas „Savivaldybių veiklos tyrimas 2012“.</w:t>
      </w:r>
    </w:p>
  </w:footnote>
  <w:footnote w:id="3">
    <w:p w:rsidR="00BE70A7" w:rsidRDefault="00BE70A7" w:rsidP="00BE70A7">
      <w:pPr>
        <w:shd w:val="clear" w:color="auto" w:fill="FFFFFF"/>
        <w:spacing w:before="100" w:beforeAutospacing="1" w:after="100" w:afterAutospacing="1"/>
        <w:rPr>
          <w:sz w:val="20"/>
          <w:szCs w:val="20"/>
        </w:rPr>
      </w:pPr>
      <w:r>
        <w:rPr>
          <w:rStyle w:val="Puslapioinaosnuoroda"/>
        </w:rPr>
        <w:footnoteRef/>
      </w:r>
      <w:r>
        <w:t xml:space="preserve"> </w:t>
      </w:r>
      <w:r>
        <w:rPr>
          <w:sz w:val="20"/>
          <w:szCs w:val="20"/>
        </w:rPr>
        <w:t>Aplinkos ministro 2007 m. gruodžio 21 d. įsakymas  Nr. D1-694</w:t>
      </w:r>
      <w:r>
        <w:rPr>
          <w:bCs/>
          <w:sz w:val="20"/>
          <w:szCs w:val="20"/>
        </w:rPr>
        <w:t xml:space="preserve"> „Dėl Atskirųjų rekreacinės paskirties želdynų plotų normų ir priklausomųjų želdynų normų (plotų) nustatymo tvarkos aprašo patvirtinimo“.</w:t>
      </w:r>
    </w:p>
    <w:p w:rsidR="00BE70A7" w:rsidRDefault="00BE70A7" w:rsidP="00BE70A7">
      <w:pPr>
        <w:pStyle w:val="Puslapioinaostekstas"/>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081493"/>
      <w:docPartObj>
        <w:docPartGallery w:val="Page Numbers (Top of Page)"/>
        <w:docPartUnique/>
      </w:docPartObj>
    </w:sdtPr>
    <w:sdtEndPr/>
    <w:sdtContent>
      <w:p w:rsidR="00DD6FF1" w:rsidRDefault="00DD6FF1">
        <w:pPr>
          <w:pStyle w:val="Antrats"/>
          <w:jc w:val="center"/>
        </w:pPr>
        <w:r>
          <w:fldChar w:fldCharType="begin"/>
        </w:r>
        <w:r>
          <w:instrText>PAGE   \* MERGEFORMAT</w:instrText>
        </w:r>
        <w:r>
          <w:fldChar w:fldCharType="separate"/>
        </w:r>
        <w:r w:rsidR="005F3AC2">
          <w:rPr>
            <w:noProof/>
          </w:rPr>
          <w:t>9</w:t>
        </w:r>
        <w:r>
          <w:fldChar w:fldCharType="end"/>
        </w:r>
      </w:p>
    </w:sdtContent>
  </w:sdt>
  <w:p w:rsidR="00DD6FF1" w:rsidRDefault="00DD6FF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24759"/>
    <w:rsid w:val="0006079E"/>
    <w:rsid w:val="000C0CEB"/>
    <w:rsid w:val="000D7BC6"/>
    <w:rsid w:val="000F0A3F"/>
    <w:rsid w:val="00111CE6"/>
    <w:rsid w:val="00144194"/>
    <w:rsid w:val="001938B1"/>
    <w:rsid w:val="001D0FA2"/>
    <w:rsid w:val="001D7995"/>
    <w:rsid w:val="002307F0"/>
    <w:rsid w:val="00233316"/>
    <w:rsid w:val="002520E6"/>
    <w:rsid w:val="002A132B"/>
    <w:rsid w:val="002A42CC"/>
    <w:rsid w:val="002C6BD9"/>
    <w:rsid w:val="00304E2C"/>
    <w:rsid w:val="00311BCD"/>
    <w:rsid w:val="0033743F"/>
    <w:rsid w:val="003A0C18"/>
    <w:rsid w:val="00413E42"/>
    <w:rsid w:val="00431E93"/>
    <w:rsid w:val="004476DD"/>
    <w:rsid w:val="0048628C"/>
    <w:rsid w:val="0049595D"/>
    <w:rsid w:val="004A47A2"/>
    <w:rsid w:val="004B2242"/>
    <w:rsid w:val="004B435D"/>
    <w:rsid w:val="004B6F3D"/>
    <w:rsid w:val="004C6039"/>
    <w:rsid w:val="005360FA"/>
    <w:rsid w:val="005369F7"/>
    <w:rsid w:val="00565B11"/>
    <w:rsid w:val="00583C95"/>
    <w:rsid w:val="00597EE8"/>
    <w:rsid w:val="005C0D13"/>
    <w:rsid w:val="005F29B0"/>
    <w:rsid w:val="005F3AC2"/>
    <w:rsid w:val="005F495C"/>
    <w:rsid w:val="00607617"/>
    <w:rsid w:val="006468B0"/>
    <w:rsid w:val="00650908"/>
    <w:rsid w:val="006679C2"/>
    <w:rsid w:val="00685F97"/>
    <w:rsid w:val="006909BD"/>
    <w:rsid w:val="006B55B7"/>
    <w:rsid w:val="006C01CD"/>
    <w:rsid w:val="006D265F"/>
    <w:rsid w:val="006E1070"/>
    <w:rsid w:val="0071262D"/>
    <w:rsid w:val="00740AE7"/>
    <w:rsid w:val="00746246"/>
    <w:rsid w:val="00786810"/>
    <w:rsid w:val="007A39EF"/>
    <w:rsid w:val="007D28EC"/>
    <w:rsid w:val="007D2C0A"/>
    <w:rsid w:val="007D4B29"/>
    <w:rsid w:val="008354D5"/>
    <w:rsid w:val="008E6E82"/>
    <w:rsid w:val="008F6B75"/>
    <w:rsid w:val="0091415B"/>
    <w:rsid w:val="0095438C"/>
    <w:rsid w:val="009A7F00"/>
    <w:rsid w:val="009F2507"/>
    <w:rsid w:val="009F4337"/>
    <w:rsid w:val="00A279E4"/>
    <w:rsid w:val="00A6146F"/>
    <w:rsid w:val="00AC66A6"/>
    <w:rsid w:val="00AF7D08"/>
    <w:rsid w:val="00B4148F"/>
    <w:rsid w:val="00B41817"/>
    <w:rsid w:val="00B750B6"/>
    <w:rsid w:val="00BA544F"/>
    <w:rsid w:val="00BC7BCB"/>
    <w:rsid w:val="00BD2C44"/>
    <w:rsid w:val="00BE70A7"/>
    <w:rsid w:val="00BF5885"/>
    <w:rsid w:val="00C10604"/>
    <w:rsid w:val="00C403E8"/>
    <w:rsid w:val="00C6602A"/>
    <w:rsid w:val="00C91032"/>
    <w:rsid w:val="00C91388"/>
    <w:rsid w:val="00CA4D3B"/>
    <w:rsid w:val="00CB14C4"/>
    <w:rsid w:val="00CB3353"/>
    <w:rsid w:val="00CE0541"/>
    <w:rsid w:val="00CF26FD"/>
    <w:rsid w:val="00D15F6E"/>
    <w:rsid w:val="00D972AB"/>
    <w:rsid w:val="00DA1A32"/>
    <w:rsid w:val="00DD6FF1"/>
    <w:rsid w:val="00E0132A"/>
    <w:rsid w:val="00E176F6"/>
    <w:rsid w:val="00E33871"/>
    <w:rsid w:val="00E368A5"/>
    <w:rsid w:val="00E57D25"/>
    <w:rsid w:val="00E93A0C"/>
    <w:rsid w:val="00F6322A"/>
    <w:rsid w:val="00FB6EDF"/>
    <w:rsid w:val="00FC02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nhideWhenUsed/>
    <w:rsid w:val="00BE70A7"/>
    <w:rPr>
      <w:color w:val="0000FF"/>
      <w:u w:val="single"/>
    </w:rPr>
  </w:style>
  <w:style w:type="character" w:customStyle="1" w:styleId="prastasistinklapisDiagrama">
    <w:name w:val="Įprastasis (tinklapis) Diagrama"/>
    <w:aliases w:val="Char Diagrama"/>
    <w:link w:val="prastasistinklapis"/>
    <w:uiPriority w:val="99"/>
    <w:locked/>
    <w:rsid w:val="00BE70A7"/>
    <w:rPr>
      <w:sz w:val="24"/>
      <w:szCs w:val="24"/>
      <w:lang w:val="en-GB"/>
    </w:rPr>
  </w:style>
  <w:style w:type="paragraph" w:styleId="prastasistinklapis">
    <w:name w:val="Normal (Web)"/>
    <w:aliases w:val="Char"/>
    <w:basedOn w:val="prastasis"/>
    <w:link w:val="prastasistinklapisDiagrama"/>
    <w:uiPriority w:val="99"/>
    <w:unhideWhenUsed/>
    <w:qFormat/>
    <w:rsid w:val="00BE70A7"/>
    <w:pPr>
      <w:spacing w:after="200" w:line="276" w:lineRule="auto"/>
      <w:ind w:left="720"/>
      <w:contextualSpacing/>
    </w:pPr>
    <w:rPr>
      <w:rFonts w:asciiTheme="minorHAnsi" w:eastAsiaTheme="minorHAnsi" w:hAnsiTheme="minorHAnsi" w:cstheme="minorBidi"/>
      <w:lang w:val="en-GB"/>
    </w:rPr>
  </w:style>
  <w:style w:type="character" w:customStyle="1" w:styleId="PuslapioinaostekstasDiagrama">
    <w:name w:val="Puslapio išnašos tekstas Diagrama"/>
    <w:aliases w:val="Footnote Text Char1 Diagrama,Footnote Text Char Char Diagrama"/>
    <w:basedOn w:val="Numatytasispastraiposriftas"/>
    <w:link w:val="Puslapioinaostekstas"/>
    <w:semiHidden/>
    <w:locked/>
    <w:rsid w:val="00BE70A7"/>
  </w:style>
  <w:style w:type="paragraph" w:styleId="Puslapioinaostekstas">
    <w:name w:val="footnote text"/>
    <w:aliases w:val="Footnote Text Char1,Footnote Text Char Char"/>
    <w:basedOn w:val="prastasis"/>
    <w:link w:val="PuslapioinaostekstasDiagrama"/>
    <w:semiHidden/>
    <w:unhideWhenUsed/>
    <w:rsid w:val="00BE70A7"/>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BE70A7"/>
    <w:rPr>
      <w:rFonts w:ascii="Times New Roman" w:eastAsia="Times New Roman" w:hAnsi="Times New Roman" w:cs="Times New Roman"/>
      <w:sz w:val="20"/>
      <w:szCs w:val="20"/>
    </w:rPr>
  </w:style>
  <w:style w:type="paragraph" w:customStyle="1" w:styleId="xl47">
    <w:name w:val="xl47"/>
    <w:basedOn w:val="prastasis"/>
    <w:uiPriority w:val="99"/>
    <w:rsid w:val="00BE70A7"/>
    <w:pPr>
      <w:spacing w:before="100" w:beforeAutospacing="1" w:after="100" w:afterAutospacing="1"/>
      <w:jc w:val="center"/>
    </w:pPr>
    <w:rPr>
      <w:lang w:val="en-US"/>
    </w:rPr>
  </w:style>
  <w:style w:type="paragraph" w:customStyle="1" w:styleId="xl127">
    <w:name w:val="xl127"/>
    <w:basedOn w:val="prastasis"/>
    <w:uiPriority w:val="99"/>
    <w:rsid w:val="00BE70A7"/>
    <w:pPr>
      <w:spacing w:before="100" w:beforeAutospacing="1" w:after="100" w:afterAutospacing="1"/>
      <w:jc w:val="center"/>
    </w:pPr>
    <w:rPr>
      <w:rFonts w:ascii="Arial" w:hAnsi="Arial" w:cs="Arial"/>
      <w:b/>
      <w:bCs/>
    </w:rPr>
  </w:style>
  <w:style w:type="character" w:customStyle="1" w:styleId="NoSpacingChar">
    <w:name w:val="No Spacing Char"/>
    <w:link w:val="Betarp1"/>
    <w:uiPriority w:val="99"/>
    <w:locked/>
    <w:rsid w:val="00BE70A7"/>
    <w:rPr>
      <w:rFonts w:ascii="Calibri" w:eastAsia="Calibri" w:hAnsi="Calibri" w:cs="Calibri"/>
      <w:lang w:val="en-US"/>
    </w:rPr>
  </w:style>
  <w:style w:type="paragraph" w:customStyle="1" w:styleId="Betarp1">
    <w:name w:val="Be tarpų1"/>
    <w:link w:val="NoSpacingChar"/>
    <w:uiPriority w:val="99"/>
    <w:rsid w:val="00BE70A7"/>
    <w:pPr>
      <w:spacing w:after="0" w:line="240" w:lineRule="auto"/>
    </w:pPr>
    <w:rPr>
      <w:rFonts w:ascii="Calibri" w:eastAsia="Calibri" w:hAnsi="Calibri" w:cs="Calibri"/>
      <w:lang w:val="en-US"/>
    </w:rPr>
  </w:style>
  <w:style w:type="character" w:styleId="Puslapioinaosnuoroda">
    <w:name w:val="footnote reference"/>
    <w:semiHidden/>
    <w:unhideWhenUsed/>
    <w:rsid w:val="00BE70A7"/>
    <w:rPr>
      <w:vertAlign w:val="superscript"/>
    </w:rPr>
  </w:style>
  <w:style w:type="character" w:styleId="Grietas">
    <w:name w:val="Strong"/>
    <w:basedOn w:val="Numatytasispastraiposriftas"/>
    <w:uiPriority w:val="22"/>
    <w:qFormat/>
    <w:rsid w:val="00BE70A7"/>
    <w:rPr>
      <w:b/>
      <w:bCs/>
    </w:rPr>
  </w:style>
  <w:style w:type="paragraph" w:styleId="Antrats">
    <w:name w:val="header"/>
    <w:basedOn w:val="prastasis"/>
    <w:link w:val="AntratsDiagrama"/>
    <w:uiPriority w:val="99"/>
    <w:unhideWhenUsed/>
    <w:rsid w:val="00DD6FF1"/>
    <w:pPr>
      <w:tabs>
        <w:tab w:val="center" w:pos="4819"/>
        <w:tab w:val="right" w:pos="9638"/>
      </w:tabs>
    </w:pPr>
  </w:style>
  <w:style w:type="character" w:customStyle="1" w:styleId="AntratsDiagrama">
    <w:name w:val="Antraštės Diagrama"/>
    <w:basedOn w:val="Numatytasispastraiposriftas"/>
    <w:link w:val="Antrats"/>
    <w:uiPriority w:val="99"/>
    <w:rsid w:val="00DD6FF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D6FF1"/>
    <w:pPr>
      <w:tabs>
        <w:tab w:val="center" w:pos="4819"/>
        <w:tab w:val="right" w:pos="9638"/>
      </w:tabs>
    </w:pPr>
  </w:style>
  <w:style w:type="character" w:customStyle="1" w:styleId="PoratDiagrama">
    <w:name w:val="Poraštė Diagrama"/>
    <w:basedOn w:val="Numatytasispastraiposriftas"/>
    <w:link w:val="Porat"/>
    <w:uiPriority w:val="99"/>
    <w:rsid w:val="00DD6FF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nhideWhenUsed/>
    <w:rsid w:val="00BE70A7"/>
    <w:rPr>
      <w:color w:val="0000FF"/>
      <w:u w:val="single"/>
    </w:rPr>
  </w:style>
  <w:style w:type="character" w:customStyle="1" w:styleId="prastasistinklapisDiagrama">
    <w:name w:val="Įprastasis (tinklapis) Diagrama"/>
    <w:aliases w:val="Char Diagrama"/>
    <w:link w:val="prastasistinklapis"/>
    <w:uiPriority w:val="99"/>
    <w:locked/>
    <w:rsid w:val="00BE70A7"/>
    <w:rPr>
      <w:sz w:val="24"/>
      <w:szCs w:val="24"/>
      <w:lang w:val="en-GB"/>
    </w:rPr>
  </w:style>
  <w:style w:type="paragraph" w:styleId="prastasistinklapis">
    <w:name w:val="Normal (Web)"/>
    <w:aliases w:val="Char"/>
    <w:basedOn w:val="prastasis"/>
    <w:link w:val="prastasistinklapisDiagrama"/>
    <w:uiPriority w:val="99"/>
    <w:unhideWhenUsed/>
    <w:qFormat/>
    <w:rsid w:val="00BE70A7"/>
    <w:pPr>
      <w:spacing w:after="200" w:line="276" w:lineRule="auto"/>
      <w:ind w:left="720"/>
      <w:contextualSpacing/>
    </w:pPr>
    <w:rPr>
      <w:rFonts w:asciiTheme="minorHAnsi" w:eastAsiaTheme="minorHAnsi" w:hAnsiTheme="minorHAnsi" w:cstheme="minorBidi"/>
      <w:lang w:val="en-GB"/>
    </w:rPr>
  </w:style>
  <w:style w:type="character" w:customStyle="1" w:styleId="PuslapioinaostekstasDiagrama">
    <w:name w:val="Puslapio išnašos tekstas Diagrama"/>
    <w:aliases w:val="Footnote Text Char1 Diagrama,Footnote Text Char Char Diagrama"/>
    <w:basedOn w:val="Numatytasispastraiposriftas"/>
    <w:link w:val="Puslapioinaostekstas"/>
    <w:semiHidden/>
    <w:locked/>
    <w:rsid w:val="00BE70A7"/>
  </w:style>
  <w:style w:type="paragraph" w:styleId="Puslapioinaostekstas">
    <w:name w:val="footnote text"/>
    <w:aliases w:val="Footnote Text Char1,Footnote Text Char Char"/>
    <w:basedOn w:val="prastasis"/>
    <w:link w:val="PuslapioinaostekstasDiagrama"/>
    <w:semiHidden/>
    <w:unhideWhenUsed/>
    <w:rsid w:val="00BE70A7"/>
    <w:rPr>
      <w:rFonts w:asciiTheme="minorHAnsi" w:eastAsiaTheme="minorHAnsi" w:hAnsiTheme="minorHAnsi" w:cstheme="minorBidi"/>
      <w:sz w:val="22"/>
      <w:szCs w:val="22"/>
    </w:rPr>
  </w:style>
  <w:style w:type="character" w:customStyle="1" w:styleId="PuslapioinaostekstasDiagrama1">
    <w:name w:val="Puslapio išnašos tekstas Diagrama1"/>
    <w:basedOn w:val="Numatytasispastraiposriftas"/>
    <w:uiPriority w:val="99"/>
    <w:semiHidden/>
    <w:rsid w:val="00BE70A7"/>
    <w:rPr>
      <w:rFonts w:ascii="Times New Roman" w:eastAsia="Times New Roman" w:hAnsi="Times New Roman" w:cs="Times New Roman"/>
      <w:sz w:val="20"/>
      <w:szCs w:val="20"/>
    </w:rPr>
  </w:style>
  <w:style w:type="paragraph" w:customStyle="1" w:styleId="xl47">
    <w:name w:val="xl47"/>
    <w:basedOn w:val="prastasis"/>
    <w:uiPriority w:val="99"/>
    <w:rsid w:val="00BE70A7"/>
    <w:pPr>
      <w:spacing w:before="100" w:beforeAutospacing="1" w:after="100" w:afterAutospacing="1"/>
      <w:jc w:val="center"/>
    </w:pPr>
    <w:rPr>
      <w:lang w:val="en-US"/>
    </w:rPr>
  </w:style>
  <w:style w:type="paragraph" w:customStyle="1" w:styleId="xl127">
    <w:name w:val="xl127"/>
    <w:basedOn w:val="prastasis"/>
    <w:uiPriority w:val="99"/>
    <w:rsid w:val="00BE70A7"/>
    <w:pPr>
      <w:spacing w:before="100" w:beforeAutospacing="1" w:after="100" w:afterAutospacing="1"/>
      <w:jc w:val="center"/>
    </w:pPr>
    <w:rPr>
      <w:rFonts w:ascii="Arial" w:hAnsi="Arial" w:cs="Arial"/>
      <w:b/>
      <w:bCs/>
    </w:rPr>
  </w:style>
  <w:style w:type="character" w:customStyle="1" w:styleId="NoSpacingChar">
    <w:name w:val="No Spacing Char"/>
    <w:link w:val="Betarp1"/>
    <w:uiPriority w:val="99"/>
    <w:locked/>
    <w:rsid w:val="00BE70A7"/>
    <w:rPr>
      <w:rFonts w:ascii="Calibri" w:eastAsia="Calibri" w:hAnsi="Calibri" w:cs="Calibri"/>
      <w:lang w:val="en-US"/>
    </w:rPr>
  </w:style>
  <w:style w:type="paragraph" w:customStyle="1" w:styleId="Betarp1">
    <w:name w:val="Be tarpų1"/>
    <w:link w:val="NoSpacingChar"/>
    <w:uiPriority w:val="99"/>
    <w:rsid w:val="00BE70A7"/>
    <w:pPr>
      <w:spacing w:after="0" w:line="240" w:lineRule="auto"/>
    </w:pPr>
    <w:rPr>
      <w:rFonts w:ascii="Calibri" w:eastAsia="Calibri" w:hAnsi="Calibri" w:cs="Calibri"/>
      <w:lang w:val="en-US"/>
    </w:rPr>
  </w:style>
  <w:style w:type="character" w:styleId="Puslapioinaosnuoroda">
    <w:name w:val="footnote reference"/>
    <w:semiHidden/>
    <w:unhideWhenUsed/>
    <w:rsid w:val="00BE70A7"/>
    <w:rPr>
      <w:vertAlign w:val="superscript"/>
    </w:rPr>
  </w:style>
  <w:style w:type="character" w:styleId="Grietas">
    <w:name w:val="Strong"/>
    <w:basedOn w:val="Numatytasispastraiposriftas"/>
    <w:uiPriority w:val="22"/>
    <w:qFormat/>
    <w:rsid w:val="00BE70A7"/>
    <w:rPr>
      <w:b/>
      <w:bCs/>
    </w:rPr>
  </w:style>
  <w:style w:type="paragraph" w:styleId="Antrats">
    <w:name w:val="header"/>
    <w:basedOn w:val="prastasis"/>
    <w:link w:val="AntratsDiagrama"/>
    <w:uiPriority w:val="99"/>
    <w:unhideWhenUsed/>
    <w:rsid w:val="00DD6FF1"/>
    <w:pPr>
      <w:tabs>
        <w:tab w:val="center" w:pos="4819"/>
        <w:tab w:val="right" w:pos="9638"/>
      </w:tabs>
    </w:pPr>
  </w:style>
  <w:style w:type="character" w:customStyle="1" w:styleId="AntratsDiagrama">
    <w:name w:val="Antraštės Diagrama"/>
    <w:basedOn w:val="Numatytasispastraiposriftas"/>
    <w:link w:val="Antrats"/>
    <w:uiPriority w:val="99"/>
    <w:rsid w:val="00DD6FF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D6FF1"/>
    <w:pPr>
      <w:tabs>
        <w:tab w:val="center" w:pos="4819"/>
        <w:tab w:val="right" w:pos="9638"/>
      </w:tabs>
    </w:pPr>
  </w:style>
  <w:style w:type="character" w:customStyle="1" w:styleId="PoratDiagrama">
    <w:name w:val="Poraštė Diagrama"/>
    <w:basedOn w:val="Numatytasispastraiposriftas"/>
    <w:link w:val="Porat"/>
    <w:uiPriority w:val="99"/>
    <w:rsid w:val="00DD6F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9759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Pt>
            <c:idx val="8"/>
            <c:invertIfNegative val="0"/>
            <c:bubble3D val="0"/>
            <c:spPr>
              <a:solidFill>
                <a:schemeClr val="accent2"/>
              </a:solidFill>
            </c:spPr>
          </c:dPt>
          <c:dPt>
            <c:idx val="9"/>
            <c:invertIfNegative val="0"/>
            <c:bubble3D val="0"/>
            <c:spPr>
              <a:solidFill>
                <a:schemeClr val="accent2"/>
              </a:solidFill>
            </c:spPr>
          </c:dPt>
          <c:dPt>
            <c:idx val="10"/>
            <c:invertIfNegative val="0"/>
            <c:bubble3D val="0"/>
            <c:spPr>
              <a:solidFill>
                <a:schemeClr val="accent2"/>
              </a:solidFill>
            </c:spPr>
          </c:dPt>
          <c:dPt>
            <c:idx val="11"/>
            <c:invertIfNegative val="0"/>
            <c:bubble3D val="0"/>
            <c:spPr>
              <a:solidFill>
                <a:schemeClr val="accent2"/>
              </a:solidFill>
            </c:spPr>
          </c:dPt>
          <c:dPt>
            <c:idx val="12"/>
            <c:invertIfNegative val="0"/>
            <c:bubble3D val="0"/>
            <c:spPr>
              <a:solidFill>
                <a:schemeClr val="accent2"/>
              </a:solidFill>
            </c:spPr>
          </c:dPt>
          <c:dPt>
            <c:idx val="13"/>
            <c:invertIfNegative val="0"/>
            <c:bubble3D val="0"/>
            <c:spPr>
              <a:solidFill>
                <a:schemeClr val="accent2"/>
              </a:solidFill>
            </c:spPr>
          </c:dPt>
          <c:dPt>
            <c:idx val="14"/>
            <c:invertIfNegative val="0"/>
            <c:bubble3D val="0"/>
            <c:spPr>
              <a:solidFill>
                <a:schemeClr val="accent2"/>
              </a:solidFill>
            </c:spPr>
          </c:dPt>
          <c:dPt>
            <c:idx val="15"/>
            <c:invertIfNegative val="0"/>
            <c:bubble3D val="0"/>
            <c:spPr>
              <a:solidFill>
                <a:schemeClr val="accent2"/>
              </a:solidFill>
            </c:spPr>
          </c:dPt>
          <c:dLbls>
            <c:showLegendKey val="0"/>
            <c:showVal val="1"/>
            <c:showCatName val="0"/>
            <c:showSerName val="0"/>
            <c:showPercent val="0"/>
            <c:showBubbleSize val="0"/>
            <c:showLeaderLines val="0"/>
          </c:dLbls>
          <c:cat>
            <c:multiLvlStrRef>
              <c:f>'[Eksportuota matricinė lentelė.xls]Report'!$C$20:$E$35</c:f>
              <c:multiLvlStrCache>
                <c:ptCount val="16"/>
                <c:lvl>
                  <c:pt idx="0">
                    <c:v>2008</c:v>
                  </c:pt>
                  <c:pt idx="1">
                    <c:v>2009</c:v>
                  </c:pt>
                  <c:pt idx="2">
                    <c:v>2010</c:v>
                  </c:pt>
                  <c:pt idx="3">
                    <c:v>2011</c:v>
                  </c:pt>
                  <c:pt idx="4">
                    <c:v>2012</c:v>
                  </c:pt>
                  <c:pt idx="5">
                    <c:v>2013K1</c:v>
                  </c:pt>
                  <c:pt idx="6">
                    <c:v>2013K2</c:v>
                  </c:pt>
                  <c:pt idx="7">
                    <c:v>2013K3</c:v>
                  </c:pt>
                  <c:pt idx="8">
                    <c:v>2008</c:v>
                  </c:pt>
                  <c:pt idx="9">
                    <c:v>2009</c:v>
                  </c:pt>
                  <c:pt idx="10">
                    <c:v>2010</c:v>
                  </c:pt>
                  <c:pt idx="11">
                    <c:v>2011</c:v>
                  </c:pt>
                  <c:pt idx="12">
                    <c:v>2012</c:v>
                  </c:pt>
                  <c:pt idx="13">
                    <c:v>2013K1</c:v>
                  </c:pt>
                  <c:pt idx="14">
                    <c:v>2013K2</c:v>
                  </c:pt>
                  <c:pt idx="15">
                    <c:v>2013K3</c:v>
                  </c:pt>
                </c:lvl>
                <c:lvl>
                  <c:pt idx="0">
                    <c:v>Numeriai</c:v>
                  </c:pt>
                  <c:pt idx="8">
                    <c:v>Vietos</c:v>
                  </c:pt>
                </c:lvl>
                <c:lvl>
                  <c:pt idx="0">
                    <c:v>Viešbučiai</c:v>
                  </c:pt>
                </c:lvl>
              </c:multiLvlStrCache>
            </c:multiLvlStrRef>
          </c:cat>
          <c:val>
            <c:numRef>
              <c:f>'[Eksportuota matricinė lentelė.xls]Report'!$F$20:$F$35</c:f>
              <c:numCache>
                <c:formatCode>#.0##.###.###</c:formatCode>
                <c:ptCount val="16"/>
                <c:pt idx="0">
                  <c:v>52</c:v>
                </c:pt>
                <c:pt idx="1">
                  <c:v>34.1</c:v>
                </c:pt>
                <c:pt idx="2">
                  <c:v>37.700000000000003</c:v>
                </c:pt>
                <c:pt idx="3">
                  <c:v>50.2</c:v>
                </c:pt>
                <c:pt idx="4">
                  <c:v>51</c:v>
                </c:pt>
                <c:pt idx="5">
                  <c:v>33</c:v>
                </c:pt>
                <c:pt idx="6">
                  <c:v>52.5</c:v>
                </c:pt>
                <c:pt idx="7">
                  <c:v>68</c:v>
                </c:pt>
                <c:pt idx="8">
                  <c:v>41</c:v>
                </c:pt>
                <c:pt idx="9">
                  <c:v>24.9</c:v>
                </c:pt>
                <c:pt idx="10">
                  <c:v>27.8</c:v>
                </c:pt>
                <c:pt idx="11">
                  <c:v>35.299999999999997</c:v>
                </c:pt>
                <c:pt idx="12">
                  <c:v>36.1</c:v>
                </c:pt>
                <c:pt idx="13">
                  <c:v>22.6</c:v>
                </c:pt>
                <c:pt idx="14">
                  <c:v>38</c:v>
                </c:pt>
                <c:pt idx="15">
                  <c:v>53.4</c:v>
                </c:pt>
              </c:numCache>
            </c:numRef>
          </c:val>
        </c:ser>
        <c:dLbls>
          <c:showLegendKey val="0"/>
          <c:showVal val="0"/>
          <c:showCatName val="0"/>
          <c:showSerName val="0"/>
          <c:showPercent val="0"/>
          <c:showBubbleSize val="0"/>
        </c:dLbls>
        <c:gapWidth val="150"/>
        <c:axId val="155064960"/>
        <c:axId val="155066752"/>
      </c:barChart>
      <c:catAx>
        <c:axId val="155064960"/>
        <c:scaling>
          <c:orientation val="minMax"/>
        </c:scaling>
        <c:delete val="0"/>
        <c:axPos val="b"/>
        <c:majorTickMark val="out"/>
        <c:minorTickMark val="none"/>
        <c:tickLblPos val="nextTo"/>
        <c:crossAx val="155066752"/>
        <c:crosses val="autoZero"/>
        <c:auto val="1"/>
        <c:lblAlgn val="ctr"/>
        <c:lblOffset val="100"/>
        <c:noMultiLvlLbl val="0"/>
      </c:catAx>
      <c:valAx>
        <c:axId val="155066752"/>
        <c:scaling>
          <c:orientation val="minMax"/>
        </c:scaling>
        <c:delete val="0"/>
        <c:axPos val="l"/>
        <c:majorGridlines/>
        <c:numFmt formatCode="#.0##.###.###" sourceLinked="1"/>
        <c:majorTickMark val="out"/>
        <c:minorTickMark val="none"/>
        <c:tickLblPos val="nextTo"/>
        <c:crossAx val="155064960"/>
        <c:crosses val="autoZero"/>
        <c:crossBetween val="between"/>
      </c:valAx>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763888888888888E-2"/>
          <c:y val="0.10891089108910891"/>
          <c:w val="0.92361111111111116"/>
          <c:h val="0.69306930693069302"/>
        </c:manualLayout>
      </c:layout>
      <c:lineChart>
        <c:grouping val="standard"/>
        <c:varyColors val="0"/>
        <c:ser>
          <c:idx val="0"/>
          <c:order val="0"/>
          <c:tx>
            <c:strRef>
              <c:f>Sheet1!$A$2</c:f>
              <c:strCache>
                <c:ptCount val="1"/>
                <c:pt idx="0">
                  <c:v>SVV įmonių skaičius</c:v>
                </c:pt>
              </c:strCache>
            </c:strRef>
          </c:tx>
          <c:spPr>
            <a:ln w="25408">
              <a:solidFill>
                <a:srgbClr val="000080"/>
              </a:solidFill>
              <a:prstDash val="solid"/>
            </a:ln>
          </c:spPr>
          <c:marker>
            <c:symbol val="diamond"/>
            <c:size val="7"/>
            <c:spPr>
              <a:solidFill>
                <a:srgbClr val="000080"/>
              </a:solidFill>
              <a:ln>
                <a:solidFill>
                  <a:srgbClr val="000080"/>
                </a:solidFill>
                <a:prstDash val="solid"/>
              </a:ln>
            </c:spPr>
          </c:marker>
          <c:dPt>
            <c:idx val="6"/>
            <c:bubble3D val="0"/>
            <c:spPr>
              <a:ln w="25408">
                <a:solidFill>
                  <a:srgbClr val="000080"/>
                </a:solidFill>
                <a:prstDash val="sysDash"/>
              </a:ln>
            </c:spPr>
          </c:dPt>
          <c:dPt>
            <c:idx val="7"/>
            <c:bubble3D val="0"/>
            <c:spPr>
              <a:ln w="25408">
                <a:solidFill>
                  <a:srgbClr val="000080"/>
                </a:solidFill>
                <a:prstDash val="sysDash"/>
              </a:ln>
            </c:spPr>
          </c:dPt>
          <c:dLbls>
            <c:dLbl>
              <c:idx val="0"/>
              <c:layout>
                <c:manualLayout>
                  <c:x val="-3.9486591547378505E-2"/>
                  <c:y val="-4.8059698249652304E-2"/>
                </c:manualLayout>
              </c:layout>
              <c:dLblPos val="r"/>
              <c:showLegendKey val="0"/>
              <c:showVal val="1"/>
              <c:showCatName val="0"/>
              <c:showSerName val="0"/>
              <c:showPercent val="0"/>
              <c:showBubbleSize val="0"/>
            </c:dLbl>
            <c:dLbl>
              <c:idx val="1"/>
              <c:layout>
                <c:manualLayout>
                  <c:x val="-1.2576908558646835E-2"/>
                  <c:y val="4.7288836426060007E-2"/>
                </c:manualLayout>
              </c:layout>
              <c:dLblPos val="r"/>
              <c:showLegendKey val="0"/>
              <c:showVal val="1"/>
              <c:showCatName val="0"/>
              <c:showSerName val="0"/>
              <c:showPercent val="0"/>
              <c:showBubbleSize val="0"/>
            </c:dLbl>
            <c:dLbl>
              <c:idx val="2"/>
              <c:layout>
                <c:manualLayout>
                  <c:x val="-5.0436040928803355E-2"/>
                  <c:y val="-4.8769886159703145E-2"/>
                </c:manualLayout>
              </c:layout>
              <c:dLblPos val="r"/>
              <c:showLegendKey val="0"/>
              <c:showVal val="1"/>
              <c:showCatName val="0"/>
              <c:showSerName val="0"/>
              <c:showPercent val="0"/>
              <c:showBubbleSize val="0"/>
            </c:dLbl>
            <c:dLbl>
              <c:idx val="3"/>
              <c:layout>
                <c:manualLayout>
                  <c:x val="-3.2206689903512484E-2"/>
                  <c:y val="-7.5430610839306786E-2"/>
                </c:manualLayout>
              </c:layout>
              <c:dLblPos val="r"/>
              <c:showLegendKey val="0"/>
              <c:showVal val="1"/>
              <c:showCatName val="0"/>
              <c:showSerName val="0"/>
              <c:showPercent val="0"/>
              <c:showBubbleSize val="0"/>
            </c:dLbl>
            <c:dLbl>
              <c:idx val="4"/>
              <c:layout>
                <c:manualLayout>
                  <c:x val="-3.1871374751036984E-2"/>
                  <c:y val="-5.4220300639077137E-2"/>
                </c:manualLayout>
              </c:layout>
              <c:dLblPos val="r"/>
              <c:showLegendKey val="0"/>
              <c:showVal val="1"/>
              <c:showCatName val="0"/>
              <c:showSerName val="0"/>
              <c:showPercent val="0"/>
              <c:showBubbleSize val="0"/>
            </c:dLbl>
            <c:dLbl>
              <c:idx val="5"/>
              <c:layout>
                <c:manualLayout>
                  <c:x val="-4.3688688196031278E-2"/>
                  <c:y val="-4.9432792425943152E-2"/>
                </c:manualLayout>
              </c:layout>
              <c:tx>
                <c:rich>
                  <a:bodyPr/>
                  <a:lstStyle/>
                  <a:p>
                    <a:pPr>
                      <a:defRPr sz="1100" b="0" i="0" u="none" strike="noStrike" baseline="0">
                        <a:solidFill>
                          <a:srgbClr val="000000"/>
                        </a:solidFill>
                        <a:latin typeface="Times New Roman"/>
                        <a:ea typeface="Times New Roman"/>
                        <a:cs typeface="Times New Roman"/>
                      </a:defRPr>
                    </a:pPr>
                    <a:r>
                      <a:rPr lang="lt-LT"/>
                      <a:t>31</a:t>
                    </a:r>
                  </a:p>
                </c:rich>
              </c:tx>
              <c:spPr>
                <a:noFill/>
                <a:ln w="25408">
                  <a:noFill/>
                </a:ln>
              </c:spPr>
              <c:dLblPos val="r"/>
              <c:showLegendKey val="0"/>
              <c:showVal val="0"/>
              <c:showCatName val="0"/>
              <c:showSerName val="0"/>
              <c:showPercent val="0"/>
              <c:showBubbleSize val="0"/>
            </c:dLbl>
            <c:dLbl>
              <c:idx val="6"/>
              <c:layout>
                <c:manualLayout>
                  <c:x val="-3.5343503309115731E-2"/>
                  <c:y val="-5.9497007126549352E-2"/>
                </c:manualLayout>
              </c:layout>
              <c:spPr>
                <a:noFill/>
                <a:ln w="25408">
                  <a:noFill/>
                </a:ln>
              </c:spPr>
              <c:txPr>
                <a:bodyPr/>
                <a:lstStyle/>
                <a:p>
                  <a:pPr>
                    <a:defRPr sz="11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8.0393460264797136E-3"/>
                  <c:y val="-3.4506798519135441E-2"/>
                </c:manualLayout>
              </c:layout>
              <c:spPr>
                <a:noFill/>
                <a:ln w="25408">
                  <a:noFill/>
                </a:ln>
              </c:spPr>
              <c:txPr>
                <a:bodyPr/>
                <a:lstStyle/>
                <a:p>
                  <a:pPr>
                    <a:defRPr sz="11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spPr>
              <a:noFill/>
              <a:ln w="25408">
                <a:noFill/>
              </a:ln>
            </c:spPr>
            <c:txPr>
              <a:bodyPr/>
              <a:lstStyle/>
              <a:p>
                <a:pPr>
                  <a:defRPr sz="11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Sheet1!$B$1:$I$1</c:f>
              <c:numCache>
                <c:formatCode>General</c:formatCode>
                <c:ptCount val="8"/>
                <c:pt idx="0">
                  <c:v>2009</c:v>
                </c:pt>
                <c:pt idx="1">
                  <c:v>2010</c:v>
                </c:pt>
                <c:pt idx="2">
                  <c:v>2011</c:v>
                </c:pt>
                <c:pt idx="3">
                  <c:v>2012</c:v>
                </c:pt>
                <c:pt idx="4">
                  <c:v>2013</c:v>
                </c:pt>
                <c:pt idx="5">
                  <c:v>2014</c:v>
                </c:pt>
                <c:pt idx="6">
                  <c:v>2015</c:v>
                </c:pt>
                <c:pt idx="7">
                  <c:v>2016</c:v>
                </c:pt>
              </c:numCache>
            </c:numRef>
          </c:cat>
          <c:val>
            <c:numRef>
              <c:f>Sheet1!$B$2:$I$2</c:f>
              <c:numCache>
                <c:formatCode>General</c:formatCode>
                <c:ptCount val="8"/>
                <c:pt idx="0">
                  <c:v>30.13</c:v>
                </c:pt>
                <c:pt idx="1">
                  <c:v>29.9</c:v>
                </c:pt>
                <c:pt idx="2">
                  <c:v>31.78</c:v>
                </c:pt>
                <c:pt idx="3">
                  <c:v>29.99</c:v>
                </c:pt>
                <c:pt idx="4">
                  <c:v>30.5</c:v>
                </c:pt>
                <c:pt idx="5">
                  <c:v>31</c:v>
                </c:pt>
                <c:pt idx="6">
                  <c:v>31.5</c:v>
                </c:pt>
                <c:pt idx="7">
                  <c:v>32</c:v>
                </c:pt>
              </c:numCache>
            </c:numRef>
          </c:val>
          <c:smooth val="0"/>
        </c:ser>
        <c:dLbls>
          <c:showLegendKey val="0"/>
          <c:showVal val="1"/>
          <c:showCatName val="0"/>
          <c:showSerName val="0"/>
          <c:showPercent val="0"/>
          <c:showBubbleSize val="0"/>
        </c:dLbls>
        <c:marker val="1"/>
        <c:smooth val="0"/>
        <c:axId val="155092480"/>
        <c:axId val="155094016"/>
      </c:lineChart>
      <c:catAx>
        <c:axId val="155092480"/>
        <c:scaling>
          <c:orientation val="minMax"/>
        </c:scaling>
        <c:delete val="0"/>
        <c:axPos val="b"/>
        <c:numFmt formatCode="General" sourceLinked="1"/>
        <c:majorTickMark val="out"/>
        <c:minorTickMark val="none"/>
        <c:tickLblPos val="nextTo"/>
        <c:spPr>
          <a:ln w="3176">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55094016"/>
        <c:crosses val="autoZero"/>
        <c:auto val="1"/>
        <c:lblAlgn val="ctr"/>
        <c:lblOffset val="100"/>
        <c:tickLblSkip val="1"/>
        <c:tickMarkSkip val="1"/>
        <c:noMultiLvlLbl val="0"/>
      </c:catAx>
      <c:valAx>
        <c:axId val="155094016"/>
        <c:scaling>
          <c:orientation val="minMax"/>
          <c:min val="24"/>
        </c:scaling>
        <c:delete val="0"/>
        <c:axPos val="l"/>
        <c:majorGridlines>
          <c:spPr>
            <a:ln w="12704">
              <a:solidFill>
                <a:srgbClr val="000000"/>
              </a:solidFill>
              <a:prstDash val="sysDash"/>
            </a:ln>
          </c:spPr>
        </c:majorGridlines>
        <c:numFmt formatCode="General" sourceLinked="1"/>
        <c:majorTickMark val="out"/>
        <c:minorTickMark val="none"/>
        <c:tickLblPos val="nextTo"/>
        <c:spPr>
          <a:ln w="3176">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55092480"/>
        <c:crosses val="autoZero"/>
        <c:crossBetween val="between"/>
      </c:valAx>
      <c:spPr>
        <a:noFill/>
        <a:ln w="12704">
          <a:solidFill>
            <a:srgbClr val="808080"/>
          </a:solidFill>
          <a:prstDash val="solid"/>
        </a:ln>
      </c:spPr>
    </c:plotArea>
    <c:plotVisOnly val="1"/>
    <c:dispBlanksAs val="gap"/>
    <c:showDLblsOverMax val="0"/>
  </c:chart>
  <c:spPr>
    <a:noFill/>
    <a:ln>
      <a:noFill/>
    </a:ln>
  </c:spPr>
  <c:txPr>
    <a:bodyPr/>
    <a:lstStyle/>
    <a:p>
      <a:pPr>
        <a:defRPr sz="1000"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003257328990226E-2"/>
          <c:y val="0.12087912087912088"/>
          <c:w val="0.92833876221498368"/>
          <c:h val="0.65934065934065933"/>
        </c:manualLayout>
      </c:layout>
      <c:lineChart>
        <c:grouping val="standard"/>
        <c:varyColors val="0"/>
        <c:ser>
          <c:idx val="0"/>
          <c:order val="0"/>
          <c:tx>
            <c:strRef>
              <c:f>Sheet1!$A$2</c:f>
              <c:strCache>
                <c:ptCount val="1"/>
                <c:pt idx="0">
                  <c:v>East</c:v>
                </c:pt>
              </c:strCache>
            </c:strRef>
          </c:tx>
          <c:spPr>
            <a:ln w="25401">
              <a:solidFill>
                <a:srgbClr val="000080"/>
              </a:solidFill>
              <a:prstDash val="solid"/>
            </a:ln>
          </c:spPr>
          <c:marker>
            <c:symbol val="diamond"/>
            <c:size val="7"/>
            <c:spPr>
              <a:solidFill>
                <a:srgbClr val="000080"/>
              </a:solidFill>
              <a:ln>
                <a:solidFill>
                  <a:srgbClr val="000080"/>
                </a:solidFill>
                <a:prstDash val="solid"/>
              </a:ln>
            </c:spPr>
          </c:marker>
          <c:dPt>
            <c:idx val="7"/>
            <c:bubble3D val="0"/>
            <c:spPr>
              <a:ln w="25401">
                <a:solidFill>
                  <a:srgbClr val="000080"/>
                </a:solidFill>
                <a:prstDash val="sysDash"/>
              </a:ln>
            </c:spPr>
          </c:dPt>
          <c:dPt>
            <c:idx val="8"/>
            <c:bubble3D val="0"/>
            <c:spPr>
              <a:ln w="25401">
                <a:solidFill>
                  <a:srgbClr val="000080"/>
                </a:solidFill>
                <a:prstDash val="sysDash"/>
              </a:ln>
            </c:spPr>
          </c:dPt>
          <c:dLbls>
            <c:dLbl>
              <c:idx val="0"/>
              <c:layout>
                <c:manualLayout>
                  <c:x val="-4.1661300502877412E-2"/>
                  <c:y val="-5.4277121609798779E-2"/>
                </c:manualLayout>
              </c:layout>
              <c:dLblPos val="r"/>
              <c:showLegendKey val="0"/>
              <c:showVal val="1"/>
              <c:showCatName val="0"/>
              <c:showSerName val="0"/>
              <c:showPercent val="0"/>
              <c:showBubbleSize val="0"/>
            </c:dLbl>
            <c:dLbl>
              <c:idx val="2"/>
              <c:layout>
                <c:manualLayout>
                  <c:x val="-3.6232058052964915E-2"/>
                  <c:y val="9.5142716535433075E-2"/>
                </c:manualLayout>
              </c:layout>
              <c:dLblPos val="r"/>
              <c:showLegendKey val="0"/>
              <c:showVal val="1"/>
              <c:showCatName val="0"/>
              <c:showSerName val="0"/>
              <c:showPercent val="0"/>
              <c:showBubbleSize val="0"/>
            </c:dLbl>
            <c:dLbl>
              <c:idx val="3"/>
              <c:layout>
                <c:manualLayout>
                  <c:x val="-7.1715567740688602E-2"/>
                  <c:y val="2.951334208223972E-2"/>
                </c:manualLayout>
              </c:layout>
              <c:dLblPos val="r"/>
              <c:showLegendKey val="0"/>
              <c:showVal val="1"/>
              <c:showCatName val="0"/>
              <c:showSerName val="0"/>
              <c:showPercent val="0"/>
              <c:showBubbleSize val="0"/>
            </c:dLbl>
            <c:dLbl>
              <c:idx val="4"/>
              <c:layout>
                <c:manualLayout>
                  <c:x val="-2.2777665183954333E-2"/>
                  <c:y val="-6.1832349081364799E-2"/>
                </c:manualLayout>
              </c:layout>
              <c:dLblPos val="r"/>
              <c:showLegendKey val="0"/>
              <c:showVal val="1"/>
              <c:showCatName val="0"/>
              <c:showSerName val="0"/>
              <c:showPercent val="0"/>
              <c:showBubbleSize val="0"/>
            </c:dLbl>
            <c:dLbl>
              <c:idx val="5"/>
              <c:layout>
                <c:manualLayout>
                  <c:x val="-4.3016512224694728E-2"/>
                  <c:y val="5.9352034120734906E-2"/>
                </c:manualLayout>
              </c:layout>
              <c:dLblPos val="r"/>
              <c:showLegendKey val="0"/>
              <c:showVal val="1"/>
              <c:showCatName val="0"/>
              <c:showSerName val="0"/>
              <c:showPercent val="0"/>
              <c:showBubbleSize val="0"/>
            </c:dLbl>
            <c:dLbl>
              <c:idx val="6"/>
              <c:layout>
                <c:manualLayout>
                  <c:x val="-4.3055635546610738E-2"/>
                  <c:y val="4.660761154855643E-2"/>
                </c:manualLayout>
              </c:layout>
              <c:spPr>
                <a:noFill/>
                <a:ln w="25401">
                  <a:noFill/>
                </a:ln>
              </c:spPr>
              <c:txPr>
                <a:bodyPr/>
                <a:lstStyle/>
                <a:p>
                  <a:pPr>
                    <a:defRPr sz="10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2.8284482632687249E-2"/>
                  <c:y val="-7.121883202099738E-2"/>
                </c:manualLayout>
              </c:layout>
              <c:tx>
                <c:rich>
                  <a:bodyPr/>
                  <a:lstStyle/>
                  <a:p>
                    <a:pPr>
                      <a:defRPr sz="1000" b="0" i="0" u="none" strike="noStrike" baseline="0">
                        <a:solidFill>
                          <a:srgbClr val="000000"/>
                        </a:solidFill>
                        <a:latin typeface="Times New Roman"/>
                        <a:ea typeface="Times New Roman"/>
                        <a:cs typeface="Times New Roman"/>
                      </a:defRPr>
                    </a:pPr>
                    <a:r>
                      <a:rPr lang="lt-LT" b="0"/>
                      <a:t>7,5</a:t>
                    </a:r>
                  </a:p>
                </c:rich>
              </c:tx>
              <c:spPr>
                <a:noFill/>
                <a:ln w="25401">
                  <a:noFill/>
                </a:ln>
              </c:spPr>
              <c:dLblPos val="r"/>
              <c:showLegendKey val="0"/>
              <c:showVal val="0"/>
              <c:showCatName val="0"/>
              <c:showSerName val="0"/>
              <c:showPercent val="0"/>
              <c:showBubbleSize val="0"/>
            </c:dLbl>
            <c:dLbl>
              <c:idx val="8"/>
              <c:tx>
                <c:rich>
                  <a:bodyPr/>
                  <a:lstStyle/>
                  <a:p>
                    <a:pPr>
                      <a:defRPr sz="1000" b="0" i="0" u="none" strike="noStrike" baseline="0">
                        <a:solidFill>
                          <a:srgbClr val="000000"/>
                        </a:solidFill>
                        <a:latin typeface="Times New Roman"/>
                        <a:ea typeface="Times New Roman"/>
                        <a:cs typeface="Times New Roman"/>
                      </a:defRPr>
                    </a:pPr>
                    <a:r>
                      <a:rPr lang="lt-LT" b="0"/>
                      <a:t>7</a:t>
                    </a:r>
                  </a:p>
                </c:rich>
              </c:tx>
              <c:spPr>
                <a:noFill/>
                <a:ln w="25401">
                  <a:noFill/>
                </a:ln>
              </c:spPr>
              <c:showLegendKey val="0"/>
              <c:showVal val="0"/>
              <c:showCatName val="0"/>
              <c:showSerName val="0"/>
              <c:showPercent val="0"/>
              <c:showBubbleSize val="0"/>
            </c:dLbl>
            <c:spPr>
              <a:noFill/>
              <a:ln w="25401">
                <a:noFill/>
              </a:ln>
            </c:spPr>
            <c:txPr>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Sheet1!$B$2:$J$2</c:f>
              <c:numCache>
                <c:formatCode>General</c:formatCode>
                <c:ptCount val="9"/>
                <c:pt idx="0">
                  <c:v>3.3</c:v>
                </c:pt>
                <c:pt idx="1">
                  <c:v>8.9</c:v>
                </c:pt>
                <c:pt idx="2">
                  <c:v>15.2</c:v>
                </c:pt>
                <c:pt idx="3">
                  <c:v>11.6</c:v>
                </c:pt>
                <c:pt idx="4">
                  <c:v>9.3000000000000007</c:v>
                </c:pt>
                <c:pt idx="5">
                  <c:v>8.4</c:v>
                </c:pt>
                <c:pt idx="6">
                  <c:v>8</c:v>
                </c:pt>
                <c:pt idx="7">
                  <c:v>7.5</c:v>
                </c:pt>
                <c:pt idx="8">
                  <c:v>7</c:v>
                </c:pt>
              </c:numCache>
            </c:numRef>
          </c:val>
          <c:smooth val="0"/>
        </c:ser>
        <c:dLbls>
          <c:showLegendKey val="0"/>
          <c:showVal val="1"/>
          <c:showCatName val="0"/>
          <c:showSerName val="0"/>
          <c:showPercent val="0"/>
          <c:showBubbleSize val="0"/>
        </c:dLbls>
        <c:marker val="1"/>
        <c:smooth val="0"/>
        <c:axId val="155267456"/>
        <c:axId val="155268992"/>
      </c:lineChart>
      <c:catAx>
        <c:axId val="155267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55268992"/>
        <c:crosses val="autoZero"/>
        <c:auto val="1"/>
        <c:lblAlgn val="ctr"/>
        <c:lblOffset val="100"/>
        <c:tickLblSkip val="1"/>
        <c:tickMarkSkip val="1"/>
        <c:noMultiLvlLbl val="0"/>
      </c:catAx>
      <c:valAx>
        <c:axId val="155268992"/>
        <c:scaling>
          <c:orientation val="minMax"/>
        </c:scaling>
        <c:delete val="0"/>
        <c:axPos val="l"/>
        <c:majorGridlines>
          <c:spPr>
            <a:ln w="12701">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55267456"/>
        <c:crosses val="autoZero"/>
        <c:crossBetween val="between"/>
      </c:valAx>
      <c:spPr>
        <a:noFill/>
        <a:ln w="12701">
          <a:solidFill>
            <a:srgbClr val="808080"/>
          </a:solidFill>
          <a:prstDash val="solid"/>
        </a:ln>
      </c:spPr>
    </c:plotArea>
    <c:plotVisOnly val="1"/>
    <c:dispBlanksAs val="gap"/>
    <c:showDLblsOverMax val="0"/>
  </c:chart>
  <c:spPr>
    <a:noFill/>
    <a:ln>
      <a:noFill/>
    </a:ln>
  </c:spPr>
  <c:txPr>
    <a:bodyPr/>
    <a:lstStyle/>
    <a:p>
      <a:pPr>
        <a:defRPr sz="1000"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032573289902283E-2"/>
          <c:y val="5.2173913043478258E-2"/>
          <c:w val="0.92833876221498368"/>
          <c:h val="0.52173913043478259"/>
        </c:manualLayout>
      </c:layout>
      <c:lineChart>
        <c:grouping val="standard"/>
        <c:varyColors val="0"/>
        <c:ser>
          <c:idx val="0"/>
          <c:order val="0"/>
          <c:tx>
            <c:strRef>
              <c:f>Sheet1!$A$2</c:f>
              <c:strCache>
                <c:ptCount val="1"/>
                <c:pt idx="0">
                  <c:v>Parų sk., kai buvo viršyta kietųjų dalelių (KD10) paros ribinė vertė (50 µg/m3) miesto centre </c:v>
                </c:pt>
              </c:strCache>
            </c:strRef>
          </c:tx>
          <c:spPr>
            <a:ln w="27208">
              <a:solidFill>
                <a:srgbClr val="002060"/>
              </a:solidFill>
              <a:prstDash val="solid"/>
            </a:ln>
          </c:spPr>
          <c:marker>
            <c:symbol val="diamond"/>
            <c:size val="7"/>
            <c:spPr>
              <a:solidFill>
                <a:srgbClr val="000080"/>
              </a:solidFill>
              <a:ln>
                <a:solidFill>
                  <a:srgbClr val="000080"/>
                </a:solidFill>
                <a:prstDash val="solid"/>
              </a:ln>
            </c:spPr>
          </c:marker>
          <c:dPt>
            <c:idx val="6"/>
            <c:marker>
              <c:symbol val="auto"/>
            </c:marker>
            <c:bubble3D val="0"/>
            <c:spPr>
              <a:ln>
                <a:solidFill>
                  <a:srgbClr val="002060"/>
                </a:solidFill>
              </a:ln>
            </c:spPr>
          </c:dPt>
          <c:dPt>
            <c:idx val="7"/>
            <c:bubble3D val="0"/>
            <c:spPr>
              <a:ln w="27208">
                <a:solidFill>
                  <a:srgbClr val="002060"/>
                </a:solidFill>
                <a:prstDash val="sysDash"/>
              </a:ln>
            </c:spPr>
          </c:dPt>
          <c:dPt>
            <c:idx val="8"/>
            <c:bubble3D val="0"/>
            <c:spPr>
              <a:ln w="27208">
                <a:solidFill>
                  <a:srgbClr val="002060"/>
                </a:solidFill>
                <a:prstDash val="sysDash"/>
              </a:ln>
            </c:spPr>
          </c:dPt>
          <c:dLbls>
            <c:dLbl>
              <c:idx val="0"/>
              <c:layout>
                <c:manualLayout>
                  <c:x val="-6.840524142259663E-3"/>
                  <c:y val="1.6317436539320385E-3"/>
                </c:manualLayout>
              </c:layout>
              <c:dLblPos val="r"/>
              <c:showLegendKey val="0"/>
              <c:showVal val="1"/>
              <c:showCatName val="0"/>
              <c:showSerName val="0"/>
              <c:showPercent val="0"/>
              <c:showBubbleSize val="0"/>
            </c:dLbl>
            <c:dLbl>
              <c:idx val="1"/>
              <c:layout>
                <c:manualLayout>
                  <c:x val="-2.8556067195974921E-2"/>
                  <c:y val="-7.2281299824328793E-2"/>
                </c:manualLayout>
              </c:layout>
              <c:dLblPos val="r"/>
              <c:showLegendKey val="0"/>
              <c:showVal val="1"/>
              <c:showCatName val="0"/>
              <c:showSerName val="0"/>
              <c:showPercent val="0"/>
              <c:showBubbleSize val="0"/>
            </c:dLbl>
            <c:dLbl>
              <c:idx val="2"/>
              <c:layout>
                <c:manualLayout>
                  <c:x val="-6.2976688816120396E-3"/>
                  <c:y val="-4.6194248370852731E-2"/>
                </c:manualLayout>
              </c:layout>
              <c:dLblPos val="r"/>
              <c:showLegendKey val="0"/>
              <c:showVal val="1"/>
              <c:showCatName val="0"/>
              <c:showSerName val="0"/>
              <c:showPercent val="0"/>
              <c:showBubbleSize val="0"/>
            </c:dLbl>
            <c:dLbl>
              <c:idx val="3"/>
              <c:layout>
                <c:manualLayout>
                  <c:x val="-2.6384547440213235E-2"/>
                  <c:y val="-0.11575934235089905"/>
                </c:manualLayout>
              </c:layout>
              <c:dLblPos val="r"/>
              <c:showLegendKey val="0"/>
              <c:showVal val="1"/>
              <c:showCatName val="0"/>
              <c:showSerName val="0"/>
              <c:showPercent val="0"/>
              <c:showBubbleSize val="0"/>
            </c:dLbl>
            <c:dLbl>
              <c:idx val="4"/>
              <c:layout>
                <c:manualLayout>
                  <c:x val="-8.6882013562217253E-4"/>
                  <c:y val="-9.836803800307295E-2"/>
                </c:manualLayout>
              </c:layout>
              <c:dLblPos val="r"/>
              <c:showLegendKey val="0"/>
              <c:showVal val="1"/>
              <c:showCatName val="0"/>
              <c:showSerName val="0"/>
              <c:showPercent val="0"/>
              <c:showBubbleSize val="0"/>
            </c:dLbl>
            <c:dLbl>
              <c:idx val="5"/>
              <c:layout>
                <c:manualLayout>
                  <c:x val="-1.769836970399552E-2"/>
                  <c:y val="-0.11141153525028991"/>
                </c:manualLayout>
              </c:layout>
              <c:dLblPos val="r"/>
              <c:showLegendKey val="0"/>
              <c:showVal val="1"/>
              <c:showCatName val="0"/>
              <c:showSerName val="0"/>
              <c:showPercent val="0"/>
              <c:showBubbleSize val="0"/>
            </c:dLbl>
            <c:dLbl>
              <c:idx val="6"/>
              <c:layout>
                <c:manualLayout>
                  <c:x val="-2.638459679679872E-2"/>
                  <c:y val="-0.10706372814968076"/>
                </c:manualLayout>
              </c:layout>
              <c:tx>
                <c:rich>
                  <a:bodyPr/>
                  <a:lstStyle/>
                  <a:p>
                    <a:r>
                      <a:rPr lang="lt-LT" b="0"/>
                      <a:t>35</a:t>
                    </a:r>
                    <a:endParaRPr lang="en-US"/>
                  </a:p>
                </c:rich>
              </c:tx>
              <c:dLblPos val="r"/>
              <c:showLegendKey val="0"/>
              <c:showVal val="1"/>
              <c:showCatName val="0"/>
              <c:showSerName val="0"/>
              <c:showPercent val="0"/>
              <c:showBubbleSize val="0"/>
            </c:dLbl>
            <c:dLbl>
              <c:idx val="7"/>
              <c:layout>
                <c:manualLayout>
                  <c:x val="-2.6927501414031774E-2"/>
                  <c:y val="-9.8368094962115155E-2"/>
                </c:manualLayout>
              </c:layout>
              <c:tx>
                <c:rich>
                  <a:bodyPr/>
                  <a:lstStyle/>
                  <a:p>
                    <a:r>
                      <a:rPr lang="lt-LT" b="0"/>
                      <a:t>30</a:t>
                    </a:r>
                    <a:endParaRPr lang="en-US"/>
                  </a:p>
                </c:rich>
              </c:tx>
              <c:dLblPos val="r"/>
              <c:showLegendKey val="0"/>
              <c:showVal val="1"/>
              <c:showCatName val="0"/>
              <c:showSerName val="0"/>
              <c:showPercent val="0"/>
              <c:showBubbleSize val="0"/>
            </c:dLbl>
            <c:dLbl>
              <c:idx val="8"/>
              <c:tx>
                <c:rich>
                  <a:bodyPr/>
                  <a:lstStyle/>
                  <a:p>
                    <a:r>
                      <a:rPr lang="lt-LT" b="0"/>
                      <a:t>29</a:t>
                    </a:r>
                    <a:endParaRPr lang="en-US"/>
                  </a:p>
                </c:rich>
              </c:tx>
              <c:showLegendKey val="0"/>
              <c:showVal val="1"/>
              <c:showCatName val="0"/>
              <c:showSerName val="0"/>
              <c:showPercent val="0"/>
              <c:showBubbleSize val="0"/>
            </c:dLbl>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Sheet1!$B$2:$J$2</c:f>
              <c:numCache>
                <c:formatCode>General</c:formatCode>
                <c:ptCount val="9"/>
                <c:pt idx="0">
                  <c:v>9</c:v>
                </c:pt>
                <c:pt idx="1">
                  <c:v>9</c:v>
                </c:pt>
                <c:pt idx="2">
                  <c:v>29</c:v>
                </c:pt>
                <c:pt idx="3">
                  <c:v>32</c:v>
                </c:pt>
                <c:pt idx="4">
                  <c:v>32</c:v>
                </c:pt>
                <c:pt idx="5">
                  <c:v>28</c:v>
                </c:pt>
                <c:pt idx="6">
                  <c:v>35</c:v>
                </c:pt>
                <c:pt idx="7">
                  <c:v>30</c:v>
                </c:pt>
                <c:pt idx="8">
                  <c:v>39</c:v>
                </c:pt>
              </c:numCache>
            </c:numRef>
          </c:val>
          <c:smooth val="0"/>
        </c:ser>
        <c:ser>
          <c:idx val="1"/>
          <c:order val="1"/>
          <c:tx>
            <c:strRef>
              <c:f>Sheet1!$A$3</c:f>
              <c:strCache>
                <c:ptCount val="1"/>
                <c:pt idx="0">
                  <c:v>Parų sk., kai buvo viršyta kietųjų dalelių (KD10) paros ribinė vertė (50 µg/m3) Šilutės plente</c:v>
                </c:pt>
              </c:strCache>
            </c:strRef>
          </c:tx>
          <c:spPr>
            <a:ln w="27208">
              <a:solidFill>
                <a:srgbClr val="FF00FF"/>
              </a:solidFill>
              <a:prstDash val="solid"/>
            </a:ln>
          </c:spPr>
          <c:marker>
            <c:symbol val="square"/>
            <c:size val="7"/>
            <c:spPr>
              <a:solidFill>
                <a:srgbClr val="FF00FF"/>
              </a:solidFill>
              <a:ln>
                <a:solidFill>
                  <a:srgbClr val="FF00FF"/>
                </a:solidFill>
                <a:prstDash val="solid"/>
              </a:ln>
            </c:spPr>
          </c:marker>
          <c:dPt>
            <c:idx val="6"/>
            <c:marker>
              <c:symbol val="auto"/>
            </c:marker>
            <c:bubble3D val="0"/>
            <c:spPr/>
          </c:dPt>
          <c:dPt>
            <c:idx val="7"/>
            <c:bubble3D val="0"/>
            <c:spPr>
              <a:ln w="27208">
                <a:solidFill>
                  <a:srgbClr val="FF00FF"/>
                </a:solidFill>
                <a:prstDash val="sysDash"/>
              </a:ln>
            </c:spPr>
          </c:dPt>
          <c:dPt>
            <c:idx val="8"/>
            <c:bubble3D val="0"/>
            <c:spPr>
              <a:ln w="27208">
                <a:solidFill>
                  <a:srgbClr val="FF00FF"/>
                </a:solidFill>
                <a:prstDash val="sysDash"/>
              </a:ln>
            </c:spPr>
          </c:dPt>
          <c:dLbls>
            <c:dLbl>
              <c:idx val="0"/>
              <c:layout>
                <c:manualLayout>
                  <c:x val="-1.9869840103171721E-2"/>
                  <c:y val="-8.5324426837771583E-2"/>
                </c:manualLayout>
              </c:layout>
              <c:dLblPos val="r"/>
              <c:showLegendKey val="0"/>
              <c:showVal val="1"/>
              <c:showCatName val="0"/>
              <c:showSerName val="0"/>
              <c:showPercent val="0"/>
              <c:showBubbleSize val="0"/>
            </c:dLbl>
            <c:dLbl>
              <c:idx val="1"/>
              <c:layout>
                <c:manualLayout>
                  <c:x val="-5.7547642643788477E-3"/>
                  <c:y val="-1.1411630182026844E-2"/>
                </c:manualLayout>
              </c:layout>
              <c:dLblPos val="r"/>
              <c:showLegendKey val="0"/>
              <c:showVal val="1"/>
              <c:showCatName val="0"/>
              <c:showSerName val="0"/>
              <c:showPercent val="0"/>
              <c:showBubbleSize val="0"/>
            </c:dLbl>
            <c:dLbl>
              <c:idx val="2"/>
              <c:layout>
                <c:manualLayout>
                  <c:x val="-5.5518416242180006E-2"/>
                  <c:y val="-5.5459557418749118E-2"/>
                </c:manualLayout>
              </c:layout>
              <c:showLegendKey val="0"/>
              <c:showVal val="1"/>
              <c:showCatName val="0"/>
              <c:showSerName val="0"/>
              <c:showPercent val="0"/>
              <c:showBubbleSize val="0"/>
            </c:dLbl>
            <c:dLbl>
              <c:idx val="3"/>
              <c:layout>
                <c:manualLayout>
                  <c:x val="-5.2119090037311966E-3"/>
                  <c:y val="-1.1411345386815985E-2"/>
                </c:manualLayout>
              </c:layout>
              <c:dLblPos val="r"/>
              <c:showLegendKey val="0"/>
              <c:showVal val="1"/>
              <c:showCatName val="0"/>
              <c:showSerName val="0"/>
              <c:showPercent val="0"/>
              <c:showBubbleSize val="0"/>
            </c:dLbl>
            <c:dLbl>
              <c:idx val="4"/>
              <c:layout>
                <c:manualLayout>
                  <c:x val="-4.1585432513472353E-2"/>
                  <c:y val="1.632151860400971E-3"/>
                </c:manualLayout>
              </c:layout>
              <c:dLblPos val="r"/>
              <c:showLegendKey val="0"/>
              <c:showVal val="1"/>
              <c:showCatName val="0"/>
              <c:showSerName val="0"/>
              <c:showPercent val="0"/>
              <c:showBubbleSize val="0"/>
            </c:dLbl>
            <c:dLbl>
              <c:idx val="5"/>
              <c:layout>
                <c:manualLayout>
                  <c:x val="-5.841498208184559E-2"/>
                  <c:y val="-3.7498653155981887E-2"/>
                </c:manualLayout>
              </c:layout>
              <c:dLblPos val="r"/>
              <c:showLegendKey val="0"/>
              <c:showVal val="1"/>
              <c:showCatName val="0"/>
              <c:showSerName val="0"/>
              <c:showPercent val="0"/>
              <c:showBubbleSize val="0"/>
            </c:dLbl>
            <c:dLbl>
              <c:idx val="6"/>
              <c:layout>
                <c:manualLayout>
                  <c:x val="-2.1498674417947748E-2"/>
                  <c:y val="-4.0783833542360266E-2"/>
                </c:manualLayout>
              </c:layout>
              <c:tx>
                <c:rich>
                  <a:bodyPr/>
                  <a:lstStyle/>
                  <a:p>
                    <a:r>
                      <a:rPr lang="lt-LT" b="0"/>
                      <a:t>25</a:t>
                    </a:r>
                    <a:endParaRPr lang="en-US"/>
                  </a:p>
                </c:rich>
              </c:tx>
              <c:dLblPos val="r"/>
              <c:showLegendKey val="0"/>
              <c:showVal val="1"/>
              <c:showCatName val="0"/>
              <c:showSerName val="0"/>
              <c:showPercent val="0"/>
              <c:showBubbleSize val="0"/>
            </c:dLbl>
            <c:dLbl>
              <c:idx val="7"/>
              <c:layout>
                <c:manualLayout>
                  <c:x val="-2.5298836918917877E-2"/>
                  <c:y val="-5.9237859536154125E-2"/>
                </c:manualLayout>
              </c:layout>
              <c:tx>
                <c:rich>
                  <a:bodyPr/>
                  <a:lstStyle/>
                  <a:p>
                    <a:r>
                      <a:rPr lang="lt-LT" b="0"/>
                      <a:t>20</a:t>
                    </a:r>
                    <a:endParaRPr lang="en-US"/>
                  </a:p>
                </c:rich>
              </c:tx>
              <c:dLblPos val="r"/>
              <c:showLegendKey val="0"/>
              <c:showVal val="1"/>
              <c:showCatName val="0"/>
              <c:showSerName val="0"/>
              <c:showPercent val="0"/>
              <c:showBubbleSize val="0"/>
            </c:dLbl>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Sheet1!$B$3:$J$3</c:f>
              <c:numCache>
                <c:formatCode>General</c:formatCode>
                <c:ptCount val="9"/>
                <c:pt idx="0">
                  <c:v>14</c:v>
                </c:pt>
                <c:pt idx="1">
                  <c:v>8</c:v>
                </c:pt>
                <c:pt idx="2">
                  <c:v>33</c:v>
                </c:pt>
                <c:pt idx="3">
                  <c:v>22</c:v>
                </c:pt>
                <c:pt idx="4">
                  <c:v>26</c:v>
                </c:pt>
                <c:pt idx="5">
                  <c:v>17</c:v>
                </c:pt>
                <c:pt idx="6">
                  <c:v>25</c:v>
                </c:pt>
                <c:pt idx="7">
                  <c:v>20</c:v>
                </c:pt>
                <c:pt idx="8">
                  <c:v>19</c:v>
                </c:pt>
              </c:numCache>
            </c:numRef>
          </c:val>
          <c:smooth val="0"/>
        </c:ser>
        <c:ser>
          <c:idx val="2"/>
          <c:order val="2"/>
          <c:tx>
            <c:strRef>
              <c:f>Sheet1!$A$4</c:f>
              <c:strCache>
                <c:ptCount val="1"/>
                <c:pt idx="0">
                  <c:v>Parų sk., kai buvo viršyta KD2,5, SO2, NO2, O3, CO paros ribinė vertė mieste </c:v>
                </c:pt>
              </c:strCache>
            </c:strRef>
          </c:tx>
          <c:dPt>
            <c:idx val="6"/>
            <c:bubble3D val="0"/>
          </c:dPt>
          <c:dPt>
            <c:idx val="7"/>
            <c:bubble3D val="0"/>
          </c:dPt>
          <c:dPt>
            <c:idx val="8"/>
            <c:bubble3D val="0"/>
          </c:dPt>
          <c:dLbls>
            <c:dLbl>
              <c:idx val="5"/>
              <c:layout>
                <c:manualLayout>
                  <c:x val="-1.3931523084589226E-2"/>
                  <c:y val="-5.488970118811809E-2"/>
                </c:manualLayout>
              </c:layout>
              <c:dLblPos val="r"/>
              <c:showLegendKey val="0"/>
              <c:showVal val="1"/>
              <c:showCatName val="0"/>
              <c:showSerName val="0"/>
              <c:showPercent val="0"/>
              <c:showBubbleSize val="0"/>
            </c:dLbl>
            <c:dLbl>
              <c:idx val="6"/>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dLbl>
              <c:idx val="7"/>
              <c:layout>
                <c:manualLayout>
                  <c:x val="-3.7818635250651544E-2"/>
                  <c:y val="5.9796361931043762E-3"/>
                </c:manualLayout>
              </c:layout>
              <c:spPr>
                <a:noFill/>
                <a:ln w="27208">
                  <a:noFill/>
                </a:ln>
              </c:spPr>
              <c:txPr>
                <a:bodyPr/>
                <a:lstStyle/>
                <a:p>
                  <a:pPr>
                    <a:defRPr sz="80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8.5412948064892327E-3"/>
                  <c:y val="-2.2183638605819449E-2"/>
                </c:manualLayout>
              </c:layout>
              <c:tx>
                <c:rich>
                  <a:bodyPr/>
                  <a:lstStyle/>
                  <a:p>
                    <a:pPr>
                      <a:defRPr sz="800" b="0" i="0" u="none" strike="noStrike" baseline="0">
                        <a:solidFill>
                          <a:srgbClr val="000000"/>
                        </a:solidFill>
                        <a:latin typeface="Times New Roman"/>
                        <a:ea typeface="Times New Roman"/>
                        <a:cs typeface="Times New Roman"/>
                      </a:defRPr>
                    </a:pPr>
                    <a:r>
                      <a:rPr lang="lt-LT"/>
                      <a:t>0</a:t>
                    </a:r>
                    <a:endParaRPr lang="en-US"/>
                  </a:p>
                </c:rich>
              </c:tx>
              <c:spPr>
                <a:noFill/>
                <a:ln w="27208">
                  <a:noFill/>
                </a:ln>
              </c:spPr>
              <c:showLegendKey val="0"/>
              <c:showVal val="1"/>
              <c:showCatName val="0"/>
              <c:showSerName val="0"/>
              <c:showPercent val="0"/>
              <c:showBubbleSize val="0"/>
            </c:dLbl>
            <c:spPr>
              <a:noFill/>
              <a:ln w="27208">
                <a:noFill/>
              </a:ln>
            </c:spPr>
            <c:txPr>
              <a:bodyPr/>
              <a:lstStyle/>
              <a:p>
                <a:pPr>
                  <a:defRPr sz="8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trendline>
            <c:trendlineType val="linear"/>
            <c:dispRSqr val="0"/>
            <c:dispEq val="0"/>
          </c:trendline>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Sheet1!$B$4:$J$4</c:f>
              <c:numCache>
                <c:formatCode>General</c:formatCode>
                <c:ptCount val="9"/>
                <c:pt idx="0">
                  <c:v>0</c:v>
                </c:pt>
                <c:pt idx="1">
                  <c:v>0</c:v>
                </c:pt>
                <c:pt idx="2">
                  <c:v>0</c:v>
                </c:pt>
                <c:pt idx="3">
                  <c:v>0</c:v>
                </c:pt>
                <c:pt idx="4">
                  <c:v>0</c:v>
                </c:pt>
                <c:pt idx="5">
                  <c:v>2</c:v>
                </c:pt>
                <c:pt idx="6">
                  <c:v>0</c:v>
                </c:pt>
                <c:pt idx="7">
                  <c:v>0</c:v>
                </c:pt>
                <c:pt idx="8">
                  <c:v>0</c:v>
                </c:pt>
              </c:numCache>
            </c:numRef>
          </c:val>
          <c:smooth val="0"/>
        </c:ser>
        <c:dLbls>
          <c:showLegendKey val="0"/>
          <c:showVal val="0"/>
          <c:showCatName val="0"/>
          <c:showSerName val="0"/>
          <c:showPercent val="0"/>
          <c:showBubbleSize val="0"/>
        </c:dLbls>
        <c:marker val="1"/>
        <c:smooth val="0"/>
        <c:axId val="155820416"/>
        <c:axId val="155821952"/>
      </c:lineChart>
      <c:catAx>
        <c:axId val="155820416"/>
        <c:scaling>
          <c:orientation val="minMax"/>
        </c:scaling>
        <c:delete val="0"/>
        <c:axPos val="b"/>
        <c:numFmt formatCode="General" sourceLinked="1"/>
        <c:majorTickMark val="out"/>
        <c:minorTickMark val="none"/>
        <c:tickLblPos val="nextTo"/>
        <c:spPr>
          <a:ln w="3401">
            <a:solidFill>
              <a:srgbClr val="000000"/>
            </a:solidFill>
            <a:prstDash val="solid"/>
          </a:ln>
        </c:spPr>
        <c:txPr>
          <a:bodyPr rot="0" vert="horz"/>
          <a:lstStyle/>
          <a:p>
            <a:pPr>
              <a:defRPr sz="1018" b="0" i="0" u="none" strike="noStrike" baseline="0">
                <a:solidFill>
                  <a:srgbClr val="000000"/>
                </a:solidFill>
                <a:latin typeface="Times New Roman"/>
                <a:ea typeface="Times New Roman"/>
                <a:cs typeface="Times New Roman"/>
              </a:defRPr>
            </a:pPr>
            <a:endParaRPr lang="lt-LT"/>
          </a:p>
        </c:txPr>
        <c:crossAx val="155821952"/>
        <c:crosses val="autoZero"/>
        <c:auto val="1"/>
        <c:lblAlgn val="ctr"/>
        <c:lblOffset val="100"/>
        <c:tickLblSkip val="1"/>
        <c:tickMarkSkip val="1"/>
        <c:noMultiLvlLbl val="0"/>
      </c:catAx>
      <c:valAx>
        <c:axId val="155821952"/>
        <c:scaling>
          <c:orientation val="minMax"/>
        </c:scaling>
        <c:delete val="0"/>
        <c:axPos val="l"/>
        <c:majorGridlines>
          <c:spPr>
            <a:ln w="13604">
              <a:solidFill>
                <a:srgbClr val="000000"/>
              </a:solidFill>
              <a:prstDash val="sysDash"/>
            </a:ln>
          </c:spPr>
        </c:majorGridlines>
        <c:numFmt formatCode="General" sourceLinked="1"/>
        <c:majorTickMark val="out"/>
        <c:minorTickMark val="none"/>
        <c:tickLblPos val="nextTo"/>
        <c:spPr>
          <a:ln w="3401">
            <a:solidFill>
              <a:srgbClr val="000000"/>
            </a:solidFill>
            <a:prstDash val="solid"/>
          </a:ln>
        </c:spPr>
        <c:txPr>
          <a:bodyPr rot="0" vert="horz"/>
          <a:lstStyle/>
          <a:p>
            <a:pPr>
              <a:defRPr sz="1018" b="0" i="0" u="none" strike="noStrike" baseline="0">
                <a:solidFill>
                  <a:srgbClr val="000000"/>
                </a:solidFill>
                <a:latin typeface="Times New Roman"/>
                <a:ea typeface="Times New Roman"/>
                <a:cs typeface="Times New Roman"/>
              </a:defRPr>
            </a:pPr>
            <a:endParaRPr lang="lt-LT"/>
          </a:p>
        </c:txPr>
        <c:crossAx val="155820416"/>
        <c:crosses val="autoZero"/>
        <c:crossBetween val="between"/>
      </c:valAx>
      <c:spPr>
        <a:noFill/>
        <a:ln w="13604">
          <a:solidFill>
            <a:srgbClr val="000000"/>
          </a:solidFill>
          <a:prstDash val="sysDash"/>
        </a:ln>
      </c:spPr>
    </c:plotArea>
    <c:legend>
      <c:legendPos val="b"/>
      <c:layout>
        <c:manualLayout>
          <c:xMode val="edge"/>
          <c:yMode val="edge"/>
          <c:x val="8.6319218241042342E-2"/>
          <c:y val="0.70869565217391306"/>
          <c:w val="0.85179153094462545"/>
          <c:h val="0.28695652173913044"/>
        </c:manualLayout>
      </c:layout>
      <c:overlay val="0"/>
      <c:spPr>
        <a:noFill/>
        <a:ln w="3401">
          <a:solidFill>
            <a:srgbClr val="000000"/>
          </a:solidFill>
          <a:prstDash val="solid"/>
        </a:ln>
      </c:spPr>
      <c:txPr>
        <a:bodyPr/>
        <a:lstStyle/>
        <a:p>
          <a:pPr>
            <a:defRPr sz="985"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107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54296160877509E-2"/>
          <c:y val="0.12087912087912088"/>
          <c:w val="0.90859232175502747"/>
          <c:h val="0.65934065934065933"/>
        </c:manualLayout>
      </c:layout>
      <c:lineChart>
        <c:grouping val="standard"/>
        <c:varyColors val="0"/>
        <c:ser>
          <c:idx val="0"/>
          <c:order val="0"/>
          <c:tx>
            <c:strRef>
              <c:f>Sheet1!$A$2</c:f>
              <c:strCache>
                <c:ptCount val="1"/>
                <c:pt idx="0">
                  <c:v>Rytai</c:v>
                </c:pt>
              </c:strCache>
            </c:strRef>
          </c:tx>
          <c:spPr>
            <a:ln w="25401">
              <a:solidFill>
                <a:srgbClr val="000080"/>
              </a:solidFill>
              <a:prstDash val="solid"/>
            </a:ln>
          </c:spPr>
          <c:marker>
            <c:symbol val="diamond"/>
            <c:size val="7"/>
            <c:spPr>
              <a:solidFill>
                <a:srgbClr val="000080"/>
              </a:solidFill>
              <a:ln>
                <a:solidFill>
                  <a:srgbClr val="000080"/>
                </a:solidFill>
                <a:prstDash val="solid"/>
              </a:ln>
            </c:spPr>
          </c:marker>
          <c:dPt>
            <c:idx val="6"/>
            <c:bubble3D val="0"/>
            <c:spPr>
              <a:ln w="25401">
                <a:solidFill>
                  <a:srgbClr val="000080"/>
                </a:solidFill>
                <a:prstDash val="sysDash"/>
              </a:ln>
            </c:spPr>
          </c:dPt>
          <c:dPt>
            <c:idx val="7"/>
            <c:bubble3D val="0"/>
            <c:spPr>
              <a:ln w="25401">
                <a:solidFill>
                  <a:srgbClr val="000080"/>
                </a:solidFill>
                <a:prstDash val="sysDash"/>
              </a:ln>
            </c:spPr>
          </c:dPt>
          <c:dLbls>
            <c:dLbl>
              <c:idx val="0"/>
              <c:layout>
                <c:manualLayout>
                  <c:x val="-3.2904514813827515E-2"/>
                  <c:y val="-9.3608923884514431E-2"/>
                </c:manualLayout>
              </c:layout>
              <c:dLblPos val="r"/>
              <c:showLegendKey val="0"/>
              <c:showVal val="1"/>
              <c:showCatName val="0"/>
              <c:showSerName val="0"/>
              <c:showPercent val="0"/>
              <c:showBubbleSize val="0"/>
            </c:dLbl>
            <c:dLbl>
              <c:idx val="1"/>
              <c:layout>
                <c:manualLayout>
                  <c:x val="-3.4101449367995244E-2"/>
                  <c:y val="-9.250984251968504E-2"/>
                </c:manualLayout>
              </c:layout>
              <c:dLblPos val="r"/>
              <c:showLegendKey val="0"/>
              <c:showVal val="1"/>
              <c:showCatName val="0"/>
              <c:showSerName val="0"/>
              <c:showPercent val="0"/>
              <c:showBubbleSize val="0"/>
            </c:dLbl>
            <c:dLbl>
              <c:idx val="2"/>
              <c:layout>
                <c:manualLayout>
                  <c:x val="-4.0783190354139978E-2"/>
                  <c:y val="-8.168963254593177E-2"/>
                </c:manualLayout>
              </c:layout>
              <c:dLblPos val="r"/>
              <c:showLegendKey val="0"/>
              <c:showVal val="1"/>
              <c:showCatName val="0"/>
              <c:showSerName val="0"/>
              <c:showPercent val="0"/>
              <c:showBubbleSize val="0"/>
            </c:dLbl>
            <c:dLbl>
              <c:idx val="3"/>
              <c:layout>
                <c:manualLayout>
                  <c:x val="-1.9115234700311425E-2"/>
                  <c:y val="-7.237915573053369E-2"/>
                </c:manualLayout>
              </c:layout>
              <c:dLblPos val="r"/>
              <c:showLegendKey val="0"/>
              <c:showVal val="1"/>
              <c:showCatName val="0"/>
              <c:showSerName val="0"/>
              <c:showPercent val="0"/>
              <c:showBubbleSize val="0"/>
            </c:dLbl>
            <c:dLbl>
              <c:idx val="4"/>
              <c:layout>
                <c:manualLayout>
                  <c:x val="-2.1731120411202572E-2"/>
                  <c:y val="-8.3718832020997377E-2"/>
                </c:manualLayout>
              </c:layout>
              <c:dLblPos val="r"/>
              <c:showLegendKey val="0"/>
              <c:showVal val="1"/>
              <c:showCatName val="0"/>
              <c:showSerName val="0"/>
              <c:showPercent val="0"/>
              <c:showBubbleSize val="0"/>
            </c:dLbl>
            <c:dLbl>
              <c:idx val="5"/>
              <c:layout>
                <c:manualLayout>
                  <c:x val="-2.5916246112035746E-2"/>
                  <c:y val="-7.0532006816455647E-2"/>
                </c:manualLayout>
              </c:layout>
              <c:dLblPos val="r"/>
              <c:showLegendKey val="0"/>
              <c:showVal val="1"/>
              <c:showCatName val="0"/>
              <c:showSerName val="0"/>
              <c:showPercent val="0"/>
              <c:showBubbleSize val="0"/>
            </c:dLbl>
            <c:dLbl>
              <c:idx val="6"/>
              <c:layout>
                <c:manualLayout>
                  <c:x val="-1.3347831689789187E-2"/>
                  <c:y val="-5.9542713410823678E-2"/>
                </c:manualLayout>
              </c:layout>
              <c:dLblPos val="r"/>
              <c:showLegendKey val="0"/>
              <c:showVal val="1"/>
              <c:showCatName val="0"/>
              <c:showSerName val="0"/>
              <c:showPercent val="0"/>
              <c:showBubbleSize val="0"/>
            </c:dLbl>
            <c:dLbl>
              <c:idx val="7"/>
              <c:layout>
                <c:manualLayout>
                  <c:x val="-1.7232611361288491E-2"/>
                  <c:y val="-7.6026494284368293E-2"/>
                </c:manualLayout>
              </c:layout>
              <c:dLblPos val="r"/>
              <c:showLegendKey val="0"/>
              <c:showVal val="1"/>
              <c:showCatName val="0"/>
              <c:showSerName val="0"/>
              <c:showPercent val="0"/>
              <c:showBubbleSize val="0"/>
            </c:dLbl>
            <c:spPr>
              <a:noFill/>
              <a:ln w="25401">
                <a:noFill/>
              </a:ln>
            </c:spPr>
            <c:txPr>
              <a:bodyPr/>
              <a:lstStyle/>
              <a:p>
                <a:pPr>
                  <a:defRPr sz="1000"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Sheet1!$B$1:$I$1</c:f>
              <c:numCache>
                <c:formatCode>General</c:formatCode>
                <c:ptCount val="8"/>
                <c:pt idx="0">
                  <c:v>2009</c:v>
                </c:pt>
                <c:pt idx="1">
                  <c:v>2010</c:v>
                </c:pt>
                <c:pt idx="2">
                  <c:v>2011</c:v>
                </c:pt>
                <c:pt idx="3">
                  <c:v>2012</c:v>
                </c:pt>
                <c:pt idx="4">
                  <c:v>2013</c:v>
                </c:pt>
                <c:pt idx="5">
                  <c:v>2014</c:v>
                </c:pt>
                <c:pt idx="6">
                  <c:v>2015</c:v>
                </c:pt>
                <c:pt idx="7">
                  <c:v>2016</c:v>
                </c:pt>
              </c:numCache>
            </c:numRef>
          </c:cat>
          <c:val>
            <c:numRef>
              <c:f>Sheet1!$B$2:$I$2</c:f>
              <c:numCache>
                <c:formatCode>General</c:formatCode>
                <c:ptCount val="8"/>
                <c:pt idx="0">
                  <c:v>145.80000000000001</c:v>
                </c:pt>
                <c:pt idx="1">
                  <c:v>135</c:v>
                </c:pt>
                <c:pt idx="2">
                  <c:v>161.4</c:v>
                </c:pt>
                <c:pt idx="3">
                  <c:v>144.4</c:v>
                </c:pt>
                <c:pt idx="4">
                  <c:v>141.6</c:v>
                </c:pt>
                <c:pt idx="5">
                  <c:v>130</c:v>
                </c:pt>
                <c:pt idx="6">
                  <c:v>120</c:v>
                </c:pt>
                <c:pt idx="7">
                  <c:v>110</c:v>
                </c:pt>
              </c:numCache>
            </c:numRef>
          </c:val>
          <c:smooth val="0"/>
        </c:ser>
        <c:dLbls>
          <c:showLegendKey val="0"/>
          <c:showVal val="1"/>
          <c:showCatName val="0"/>
          <c:showSerName val="0"/>
          <c:showPercent val="0"/>
          <c:showBubbleSize val="0"/>
        </c:dLbls>
        <c:marker val="1"/>
        <c:smooth val="0"/>
        <c:axId val="155988736"/>
        <c:axId val="155996544"/>
      </c:lineChart>
      <c:catAx>
        <c:axId val="155988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55996544"/>
        <c:crosses val="autoZero"/>
        <c:auto val="1"/>
        <c:lblAlgn val="ctr"/>
        <c:lblOffset val="100"/>
        <c:tickLblSkip val="1"/>
        <c:tickMarkSkip val="1"/>
        <c:noMultiLvlLbl val="0"/>
      </c:catAx>
      <c:valAx>
        <c:axId val="155996544"/>
        <c:scaling>
          <c:orientation val="minMax"/>
          <c:min val="50"/>
        </c:scaling>
        <c:delete val="0"/>
        <c:axPos val="l"/>
        <c:majorGridlines>
          <c:spPr>
            <a:ln w="12701">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lt-LT"/>
          </a:p>
        </c:txPr>
        <c:crossAx val="155988736"/>
        <c:crosses val="autoZero"/>
        <c:crossBetween val="between"/>
      </c:valAx>
      <c:spPr>
        <a:noFill/>
        <a:ln w="12701">
          <a:solidFill>
            <a:srgbClr val="808080"/>
          </a:solidFill>
          <a:prstDash val="solid"/>
        </a:ln>
      </c:spPr>
    </c:plotArea>
    <c:plotVisOnly val="1"/>
    <c:dispBlanksAs val="gap"/>
    <c:showDLblsOverMax val="0"/>
  </c:chart>
  <c:spPr>
    <a:noFill/>
    <a:ln>
      <a:noFill/>
    </a:ln>
  </c:spPr>
  <c:txPr>
    <a:bodyPr/>
    <a:lstStyle/>
    <a:p>
      <a:pPr>
        <a:defRPr sz="1000"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93825042881647E-2"/>
          <c:y val="0.11415525114155251"/>
          <c:w val="0.89536878216123494"/>
          <c:h val="0.80365296803652964"/>
        </c:manualLayout>
      </c:layout>
      <c:lineChart>
        <c:grouping val="standard"/>
        <c:varyColors val="0"/>
        <c:ser>
          <c:idx val="0"/>
          <c:order val="0"/>
          <c:tx>
            <c:strRef>
              <c:f>Sheet1!$A$2</c:f>
              <c:strCache>
                <c:ptCount val="1"/>
                <c:pt idx="0">
                  <c:v>Gyventojų metinė kaita, proc.</c:v>
                </c:pt>
              </c:strCache>
            </c:strRef>
          </c:tx>
          <c:spPr>
            <a:ln w="25369">
              <a:solidFill>
                <a:srgbClr val="000080"/>
              </a:solidFill>
              <a:prstDash val="solid"/>
            </a:ln>
          </c:spPr>
          <c:marker>
            <c:symbol val="diamond"/>
            <c:size val="6"/>
            <c:spPr>
              <a:solidFill>
                <a:srgbClr val="000080"/>
              </a:solidFill>
              <a:ln>
                <a:solidFill>
                  <a:srgbClr val="000080"/>
                </a:solidFill>
                <a:prstDash val="solid"/>
              </a:ln>
            </c:spPr>
          </c:marker>
          <c:dPt>
            <c:idx val="7"/>
            <c:bubble3D val="0"/>
            <c:spPr>
              <a:ln w="25369">
                <a:solidFill>
                  <a:srgbClr val="000080"/>
                </a:solidFill>
                <a:prstDash val="sysDash"/>
              </a:ln>
            </c:spPr>
          </c:dPt>
          <c:dPt>
            <c:idx val="8"/>
            <c:bubble3D val="0"/>
            <c:spPr>
              <a:ln w="25369">
                <a:solidFill>
                  <a:srgbClr val="000080"/>
                </a:solidFill>
                <a:prstDash val="sysDash"/>
              </a:ln>
            </c:spPr>
          </c:dPt>
          <c:dLbls>
            <c:dLbl>
              <c:idx val="0"/>
              <c:layout>
                <c:manualLayout>
                  <c:x val="-6.7851744049076193E-2"/>
                  <c:y val="-4.0032441989518372E-2"/>
                </c:manualLayout>
              </c:layout>
              <c:dLblPos val="r"/>
              <c:showLegendKey val="0"/>
              <c:showVal val="1"/>
              <c:showCatName val="0"/>
              <c:showSerName val="0"/>
              <c:showPercent val="0"/>
              <c:showBubbleSize val="0"/>
            </c:dLbl>
            <c:dLbl>
              <c:idx val="1"/>
              <c:layout>
                <c:manualLayout>
                  <c:x val="-3.3450088620415892E-3"/>
                  <c:y val="-3.1600645902202185E-2"/>
                </c:manualLayout>
              </c:layout>
              <c:dLblPos val="r"/>
              <c:showLegendKey val="0"/>
              <c:showVal val="1"/>
              <c:showCatName val="0"/>
              <c:showSerName val="0"/>
              <c:showPercent val="0"/>
              <c:showBubbleSize val="0"/>
            </c:dLbl>
            <c:dLbl>
              <c:idx val="2"/>
              <c:layout>
                <c:manualLayout>
                  <c:x val="-1.6815914334896917E-2"/>
                  <c:y val="-8.4054954930971273E-2"/>
                </c:manualLayout>
              </c:layout>
              <c:dLblPos val="r"/>
              <c:showLegendKey val="0"/>
              <c:showVal val="1"/>
              <c:showCatName val="0"/>
              <c:showSerName val="0"/>
              <c:showPercent val="0"/>
              <c:showBubbleSize val="0"/>
            </c:dLbl>
            <c:dLbl>
              <c:idx val="4"/>
              <c:layout>
                <c:manualLayout>
                  <c:x val="-4.457006433172625E-2"/>
                  <c:y val="-7.4901154747555612E-2"/>
                </c:manualLayout>
              </c:layout>
              <c:dLblPos val="r"/>
              <c:showLegendKey val="0"/>
              <c:showVal val="1"/>
              <c:showCatName val="0"/>
              <c:showSerName val="0"/>
              <c:showPercent val="0"/>
              <c:showBubbleSize val="0"/>
            </c:dLbl>
            <c:dLbl>
              <c:idx val="5"/>
              <c:layout>
                <c:manualLayout>
                  <c:x val="-4.2657204721903465E-2"/>
                  <c:y val="-7.9707827428816755E-2"/>
                </c:manualLayout>
              </c:layout>
              <c:tx>
                <c:rich>
                  <a:bodyPr/>
                  <a:lstStyle/>
                  <a:p>
                    <a:r>
                      <a:rPr lang="lt-LT"/>
                      <a:t>-1,3</a:t>
                    </a:r>
                  </a:p>
                </c:rich>
              </c:tx>
              <c:dLblPos val="r"/>
              <c:showLegendKey val="0"/>
              <c:showVal val="0"/>
              <c:showCatName val="0"/>
              <c:showSerName val="0"/>
              <c:showPercent val="0"/>
              <c:showBubbleSize val="0"/>
            </c:dLbl>
            <c:dLbl>
              <c:idx val="6"/>
              <c:layout>
                <c:manualLayout>
                  <c:x val="-4.2657102330233315E-2"/>
                  <c:y val="-6.5461342125440913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3.6640281884839157E-2"/>
                  <c:y val="-7.6841798942284656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1.1248043991720023E-2"/>
                  <c:y val="-2.3317106218598789E-2"/>
                </c:manualLayout>
              </c:layout>
              <c:spPr>
                <a:noFill/>
                <a:ln w="25369">
                  <a:noFill/>
                </a:ln>
              </c:spPr>
              <c:txPr>
                <a:bodyPr/>
                <a:lstStyle/>
                <a:p>
                  <a:pPr>
                    <a:defRPr sz="974"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5369">
                <a:noFill/>
              </a:ln>
            </c:spPr>
            <c:txPr>
              <a:bodyPr/>
              <a:lstStyle/>
              <a:p>
                <a:pPr>
                  <a:defRPr sz="974"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2008</c:v>
                </c:pt>
                <c:pt idx="1">
                  <c:v>2009</c:v>
                </c:pt>
                <c:pt idx="2">
                  <c:v>2010</c:v>
                </c:pt>
                <c:pt idx="3">
                  <c:v>2011</c:v>
                </c:pt>
                <c:pt idx="4">
                  <c:v>2012</c:v>
                </c:pt>
                <c:pt idx="5">
                  <c:v>2013</c:v>
                </c:pt>
                <c:pt idx="6">
                  <c:v>2014</c:v>
                </c:pt>
                <c:pt idx="7">
                  <c:v>2015</c:v>
                </c:pt>
                <c:pt idx="8">
                  <c:v>2015</c:v>
                </c:pt>
              </c:numCache>
            </c:numRef>
          </c:cat>
          <c:val>
            <c:numRef>
              <c:f>Sheet1!$B$2:$J$2</c:f>
              <c:numCache>
                <c:formatCode>General</c:formatCode>
                <c:ptCount val="9"/>
                <c:pt idx="0">
                  <c:v>-1.37</c:v>
                </c:pt>
                <c:pt idx="1">
                  <c:v>-1.28</c:v>
                </c:pt>
                <c:pt idx="2">
                  <c:v>-2.1800000000000002</c:v>
                </c:pt>
                <c:pt idx="3">
                  <c:v>-2.27</c:v>
                </c:pt>
                <c:pt idx="4">
                  <c:v>-1.36</c:v>
                </c:pt>
                <c:pt idx="5">
                  <c:v>-1.3</c:v>
                </c:pt>
                <c:pt idx="6">
                  <c:v>-1</c:v>
                </c:pt>
                <c:pt idx="7">
                  <c:v>-0.9</c:v>
                </c:pt>
                <c:pt idx="8">
                  <c:v>-0.8</c:v>
                </c:pt>
              </c:numCache>
            </c:numRef>
          </c:val>
          <c:smooth val="0"/>
        </c:ser>
        <c:dLbls>
          <c:showLegendKey val="0"/>
          <c:showVal val="1"/>
          <c:showCatName val="0"/>
          <c:showSerName val="0"/>
          <c:showPercent val="0"/>
          <c:showBubbleSize val="0"/>
        </c:dLbls>
        <c:marker val="1"/>
        <c:smooth val="0"/>
        <c:axId val="156034944"/>
        <c:axId val="156036480"/>
      </c:lineChart>
      <c:catAx>
        <c:axId val="156034944"/>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lt-LT"/>
          </a:p>
        </c:txPr>
        <c:crossAx val="156036480"/>
        <c:crosses val="autoZero"/>
        <c:auto val="1"/>
        <c:lblAlgn val="ctr"/>
        <c:lblOffset val="100"/>
        <c:tickLblSkip val="1"/>
        <c:tickMarkSkip val="1"/>
        <c:noMultiLvlLbl val="0"/>
      </c:catAx>
      <c:valAx>
        <c:axId val="156036480"/>
        <c:scaling>
          <c:orientation val="minMax"/>
        </c:scaling>
        <c:delete val="0"/>
        <c:axPos val="l"/>
        <c:majorGridlines>
          <c:spPr>
            <a:ln w="12685">
              <a:solidFill>
                <a:srgbClr val="000000"/>
              </a:solidFill>
              <a:prstDash val="sysDash"/>
            </a:ln>
          </c:spPr>
        </c:majorGridlines>
        <c:numFmt formatCode="General" sourceLinked="1"/>
        <c:majorTickMark val="out"/>
        <c:minorTickMark val="none"/>
        <c:tickLblPos val="nextTo"/>
        <c:spPr>
          <a:ln w="3171">
            <a:solidFill>
              <a:srgbClr val="000000"/>
            </a:solidFill>
            <a:prstDash val="solid"/>
          </a:ln>
        </c:spPr>
        <c:txPr>
          <a:bodyPr rot="0" vert="horz"/>
          <a:lstStyle/>
          <a:p>
            <a:pPr>
              <a:defRPr sz="1199" b="0" i="0" u="none" strike="noStrike" baseline="0">
                <a:solidFill>
                  <a:srgbClr val="000000"/>
                </a:solidFill>
                <a:latin typeface="Times New Roman"/>
                <a:ea typeface="Times New Roman"/>
                <a:cs typeface="Times New Roman"/>
              </a:defRPr>
            </a:pPr>
            <a:endParaRPr lang="lt-LT"/>
          </a:p>
        </c:txPr>
        <c:crossAx val="156034944"/>
        <c:crosses val="autoZero"/>
        <c:crossBetween val="between"/>
      </c:valAx>
      <c:spPr>
        <a:noFill/>
        <a:ln w="12685">
          <a:solidFill>
            <a:srgbClr val="808080"/>
          </a:solidFill>
          <a:prstDash val="solid"/>
        </a:ln>
      </c:spPr>
    </c:plotArea>
    <c:plotVisOnly val="1"/>
    <c:dispBlanksAs val="gap"/>
    <c:showDLblsOverMax val="0"/>
  </c:chart>
  <c:spPr>
    <a:noFill/>
    <a:ln>
      <a:noFill/>
    </a:ln>
  </c:spPr>
  <c:txPr>
    <a:bodyPr/>
    <a:lstStyle/>
    <a:p>
      <a:pPr>
        <a:defRPr sz="974"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697899838449112E-2"/>
          <c:y val="8.9494163424124515E-2"/>
          <c:w val="0.91276252019386106"/>
          <c:h val="0.78988326848249024"/>
        </c:manualLayout>
      </c:layout>
      <c:lineChart>
        <c:grouping val="standard"/>
        <c:varyColors val="0"/>
        <c:ser>
          <c:idx val="0"/>
          <c:order val="0"/>
          <c:tx>
            <c:strRef>
              <c:f>Sheet1!$A$2</c:f>
              <c:strCache>
                <c:ptCount val="1"/>
                <c:pt idx="0">
                  <c:v>Teikiamų socialinių paslaugų atitikimas LR Socialinės apsaugos ir darbo ministerijos patvirtintiems Socialinių paslaugų išvystymo normatyvams, proc.</c:v>
                </c:pt>
              </c:strCache>
            </c:strRef>
          </c:tx>
          <c:spPr>
            <a:ln w="25413">
              <a:solidFill>
                <a:srgbClr val="000080"/>
              </a:solidFill>
              <a:prstDash val="solid"/>
            </a:ln>
          </c:spPr>
          <c:marker>
            <c:symbol val="diamond"/>
            <c:size val="7"/>
            <c:spPr>
              <a:solidFill>
                <a:srgbClr val="000080"/>
              </a:solidFill>
              <a:ln>
                <a:solidFill>
                  <a:srgbClr val="000080"/>
                </a:solidFill>
                <a:prstDash val="solid"/>
              </a:ln>
            </c:spPr>
          </c:marker>
          <c:dPt>
            <c:idx val="7"/>
            <c:bubble3D val="0"/>
            <c:spPr>
              <a:ln w="25413">
                <a:solidFill>
                  <a:srgbClr val="000080"/>
                </a:solidFill>
                <a:prstDash val="sysDash"/>
              </a:ln>
            </c:spPr>
          </c:dPt>
          <c:dPt>
            <c:idx val="8"/>
            <c:bubble3D val="0"/>
            <c:spPr>
              <a:ln w="25413">
                <a:solidFill>
                  <a:srgbClr val="000080"/>
                </a:solidFill>
                <a:prstDash val="sysDash"/>
              </a:ln>
            </c:spPr>
          </c:dPt>
          <c:dLbls>
            <c:dLbl>
              <c:idx val="0"/>
              <c:layout>
                <c:manualLayout>
                  <c:x val="-2.7303278174762989E-2"/>
                  <c:y val="-5.9945044024699315E-2"/>
                </c:manualLayout>
              </c:layout>
              <c:dLblPos val="r"/>
              <c:showLegendKey val="0"/>
              <c:showVal val="1"/>
              <c:showCatName val="0"/>
              <c:showSerName val="0"/>
              <c:showPercent val="0"/>
              <c:showBubbleSize val="0"/>
            </c:dLbl>
            <c:dLbl>
              <c:idx val="1"/>
              <c:layout>
                <c:manualLayout>
                  <c:x val="-3.663742375908248E-2"/>
                  <c:y val="-6.0969756049156117E-2"/>
                </c:manualLayout>
              </c:layout>
              <c:dLblPos val="r"/>
              <c:showLegendKey val="0"/>
              <c:showVal val="1"/>
              <c:showCatName val="0"/>
              <c:showSerName val="0"/>
              <c:showPercent val="0"/>
              <c:showBubbleSize val="0"/>
            </c:dLbl>
            <c:dLbl>
              <c:idx val="2"/>
              <c:layout>
                <c:manualLayout>
                  <c:x val="-3.9509367225352483E-2"/>
                  <c:y val="-5.9760321359967422E-2"/>
                </c:manualLayout>
              </c:layout>
              <c:dLblPos val="r"/>
              <c:showLegendKey val="0"/>
              <c:showVal val="1"/>
              <c:showCatName val="0"/>
              <c:showSerName val="0"/>
              <c:showPercent val="0"/>
              <c:showBubbleSize val="0"/>
            </c:dLbl>
            <c:dLbl>
              <c:idx val="3"/>
              <c:layout>
                <c:manualLayout>
                  <c:x val="-3.9150459497878702E-2"/>
                  <c:y val="-5.4568796791161826E-2"/>
                </c:manualLayout>
              </c:layout>
              <c:dLblPos val="r"/>
              <c:showLegendKey val="0"/>
              <c:showVal val="1"/>
              <c:showCatName val="0"/>
              <c:showSerName val="0"/>
              <c:showPercent val="0"/>
              <c:showBubbleSize val="0"/>
            </c:dLbl>
            <c:dLbl>
              <c:idx val="4"/>
              <c:layout>
                <c:manualLayout>
                  <c:x val="-3.0713840767056563E-2"/>
                  <c:y val="-7.1040952932038631E-2"/>
                </c:manualLayout>
              </c:layout>
              <c:dLblPos val="r"/>
              <c:showLegendKey val="0"/>
              <c:showVal val="1"/>
              <c:showCatName val="0"/>
              <c:showSerName val="0"/>
              <c:showPercent val="0"/>
              <c:showBubbleSize val="0"/>
            </c:dLbl>
            <c:dLbl>
              <c:idx val="5"/>
              <c:layout>
                <c:manualLayout>
                  <c:x val="-1.2584168724441323E-2"/>
                  <c:y val="-8.8712958424687779E-2"/>
                </c:manualLayout>
              </c:layout>
              <c:dLblPos val="r"/>
              <c:showLegendKey val="0"/>
              <c:showVal val="1"/>
              <c:showCatName val="0"/>
              <c:showSerName val="0"/>
              <c:showPercent val="0"/>
              <c:showBubbleSize val="0"/>
            </c:dLbl>
            <c:dLbl>
              <c:idx val="6"/>
              <c:layout>
                <c:manualLayout>
                  <c:x val="-2.676484096465739E-2"/>
                  <c:y val="-5.8784403107199366E-2"/>
                </c:manualLayout>
              </c:layout>
              <c:spPr>
                <a:noFill/>
                <a:ln w="25413">
                  <a:noFill/>
                </a:ln>
              </c:spPr>
              <c:txPr>
                <a:bodyPr/>
                <a:lstStyle/>
                <a:p>
                  <a:pPr>
                    <a:defRPr sz="1026"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7"/>
              <c:layout>
                <c:manualLayout>
                  <c:x val="-3.60988199721229E-2"/>
                  <c:y val="-6.7765960609101769E-2"/>
                </c:manualLayout>
              </c:layout>
              <c:spPr>
                <a:noFill/>
                <a:ln w="25413">
                  <a:noFill/>
                </a:ln>
              </c:spPr>
              <c:txPr>
                <a:bodyPr/>
                <a:lstStyle/>
                <a:p>
                  <a:pPr>
                    <a:defRPr sz="1026"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dLbl>
            <c:dLbl>
              <c:idx val="8"/>
              <c:layout>
                <c:manualLayout>
                  <c:x val="-2.9617364637566247E-2"/>
                  <c:y val="-4.4921864253436347E-2"/>
                </c:manualLayout>
              </c:layout>
              <c:spPr>
                <a:noFill/>
                <a:ln w="25413">
                  <a:noFill/>
                </a:ln>
              </c:spPr>
              <c:txPr>
                <a:bodyPr/>
                <a:lstStyle/>
                <a:p>
                  <a:pPr>
                    <a:defRPr sz="1026"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5413">
                <a:noFill/>
              </a:ln>
            </c:spPr>
            <c:txPr>
              <a:bodyPr/>
              <a:lstStyle/>
              <a:p>
                <a:pPr>
                  <a:defRPr sz="1026"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dLbls>
          <c:cat>
            <c:numRef>
              <c:f>Sheet1!$B$1:$J$1</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Sheet1!$B$2:$J$2</c:f>
              <c:numCache>
                <c:formatCode>General</c:formatCode>
                <c:ptCount val="9"/>
                <c:pt idx="0">
                  <c:v>57.4</c:v>
                </c:pt>
                <c:pt idx="1">
                  <c:v>60.2</c:v>
                </c:pt>
                <c:pt idx="2">
                  <c:v>79.3</c:v>
                </c:pt>
                <c:pt idx="3">
                  <c:v>86</c:v>
                </c:pt>
                <c:pt idx="4">
                  <c:v>90</c:v>
                </c:pt>
                <c:pt idx="5">
                  <c:v>95</c:v>
                </c:pt>
                <c:pt idx="6">
                  <c:v>96</c:v>
                </c:pt>
                <c:pt idx="7">
                  <c:v>97</c:v>
                </c:pt>
                <c:pt idx="8">
                  <c:v>98</c:v>
                </c:pt>
              </c:numCache>
            </c:numRef>
          </c:val>
          <c:smooth val="0"/>
        </c:ser>
        <c:dLbls>
          <c:showLegendKey val="0"/>
          <c:showVal val="1"/>
          <c:showCatName val="0"/>
          <c:showSerName val="0"/>
          <c:showPercent val="0"/>
          <c:showBubbleSize val="0"/>
        </c:dLbls>
        <c:marker val="1"/>
        <c:smooth val="0"/>
        <c:axId val="159134848"/>
        <c:axId val="159136384"/>
      </c:lineChart>
      <c:catAx>
        <c:axId val="159134848"/>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sz="1026" b="0" i="0" u="none" strike="noStrike" baseline="0">
                <a:solidFill>
                  <a:srgbClr val="000000"/>
                </a:solidFill>
                <a:latin typeface="Times New Roman"/>
                <a:ea typeface="Times New Roman"/>
                <a:cs typeface="Times New Roman"/>
              </a:defRPr>
            </a:pPr>
            <a:endParaRPr lang="lt-LT"/>
          </a:p>
        </c:txPr>
        <c:crossAx val="159136384"/>
        <c:crosses val="autoZero"/>
        <c:auto val="1"/>
        <c:lblAlgn val="ctr"/>
        <c:lblOffset val="100"/>
        <c:tickLblSkip val="1"/>
        <c:tickMarkSkip val="1"/>
        <c:noMultiLvlLbl val="0"/>
      </c:catAx>
      <c:valAx>
        <c:axId val="159136384"/>
        <c:scaling>
          <c:orientation val="minMax"/>
        </c:scaling>
        <c:delete val="0"/>
        <c:axPos val="l"/>
        <c:majorGridlines>
          <c:spPr>
            <a:ln w="12707">
              <a:solidFill>
                <a:srgbClr val="000000"/>
              </a:solidFill>
              <a:prstDash val="sysDash"/>
            </a:ln>
          </c:spPr>
        </c:majorGridlines>
        <c:numFmt formatCode="General" sourceLinked="1"/>
        <c:majorTickMark val="out"/>
        <c:minorTickMark val="none"/>
        <c:tickLblPos val="nextTo"/>
        <c:spPr>
          <a:ln w="3177">
            <a:solidFill>
              <a:srgbClr val="000000"/>
            </a:solidFill>
            <a:prstDash val="solid"/>
          </a:ln>
        </c:spPr>
        <c:txPr>
          <a:bodyPr rot="0" vert="horz"/>
          <a:lstStyle/>
          <a:p>
            <a:pPr>
              <a:defRPr sz="1026" b="0" i="0" u="none" strike="noStrike" baseline="0">
                <a:solidFill>
                  <a:srgbClr val="000000"/>
                </a:solidFill>
                <a:latin typeface="Times New Roman"/>
                <a:ea typeface="Times New Roman"/>
                <a:cs typeface="Times New Roman"/>
              </a:defRPr>
            </a:pPr>
            <a:endParaRPr lang="lt-LT"/>
          </a:p>
        </c:txPr>
        <c:crossAx val="159134848"/>
        <c:crosses val="autoZero"/>
        <c:crossBetween val="between"/>
      </c:valAx>
      <c:spPr>
        <a:noFill/>
        <a:ln w="12707">
          <a:solidFill>
            <a:srgbClr val="808080"/>
          </a:solidFill>
          <a:prstDash val="solid"/>
        </a:ln>
      </c:spPr>
    </c:plotArea>
    <c:plotVisOnly val="1"/>
    <c:dispBlanksAs val="gap"/>
    <c:showDLblsOverMax val="0"/>
  </c:chart>
  <c:spPr>
    <a:noFill/>
    <a:ln>
      <a:noFill/>
    </a:ln>
  </c:spPr>
  <c:txPr>
    <a:bodyPr/>
    <a:lstStyle/>
    <a:p>
      <a:pPr>
        <a:defRPr sz="1001" b="1"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C3C1A-7047-4294-934D-00F0ED3C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16094</Words>
  <Characters>9175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cp:lastPrinted>2014-01-13T12:06:00Z</cp:lastPrinted>
  <dcterms:created xsi:type="dcterms:W3CDTF">2014-02-04T07:01:00Z</dcterms:created>
  <dcterms:modified xsi:type="dcterms:W3CDTF">2014-02-04T07:37:00Z</dcterms:modified>
</cp:coreProperties>
</file>