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21" w:rsidRPr="007A4421" w:rsidRDefault="007A4421" w:rsidP="007A4421">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0" w:name="_GoBack"/>
      <w:bookmarkEnd w:id="0"/>
      <w:r w:rsidRPr="007A4421">
        <w:rPr>
          <w:rFonts w:ascii="Times New Roman" w:eastAsia="Times New Roman" w:hAnsi="Times New Roman" w:cs="Times New Roman"/>
          <w:b/>
          <w:bCs/>
          <w:lang w:eastAsia="lt-LT"/>
        </w:rPr>
        <w:t xml:space="preserve">LIETUVOS RESPUBLIKOS </w:t>
      </w:r>
    </w:p>
    <w:p w:rsidR="007A4421" w:rsidRPr="007A4421" w:rsidRDefault="007A4421" w:rsidP="007A442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7A4421">
        <w:rPr>
          <w:rFonts w:ascii="Times New Roman" w:eastAsia="Times New Roman" w:hAnsi="Times New Roman" w:cs="Times New Roman"/>
          <w:b/>
          <w:bCs/>
          <w:lang w:eastAsia="lt-LT"/>
        </w:rPr>
        <w:t xml:space="preserve">TERITORIJŲ PLANAVIMO </w:t>
      </w:r>
    </w:p>
    <w:p w:rsidR="007A4421" w:rsidRPr="007A4421" w:rsidRDefault="007A4421" w:rsidP="007A442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7A4421">
        <w:rPr>
          <w:rFonts w:ascii="Times New Roman" w:eastAsia="Times New Roman" w:hAnsi="Times New Roman" w:cs="Times New Roman"/>
          <w:b/>
          <w:bCs/>
          <w:lang w:eastAsia="lt-LT"/>
        </w:rPr>
        <w:t>ĮSTATYMAS</w:t>
      </w:r>
    </w:p>
    <w:p w:rsidR="007A4421" w:rsidRPr="007A4421" w:rsidRDefault="007A4421" w:rsidP="007A442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7A4421">
        <w:rPr>
          <w:rFonts w:ascii="Times New Roman" w:eastAsia="Times New Roman" w:hAnsi="Times New Roman" w:cs="Times New Roman"/>
          <w:lang w:eastAsia="lt-LT"/>
        </w:rPr>
        <w:t xml:space="preserve">1995 m. gruodžio 12 d. Nr. I-1120 </w:t>
      </w:r>
    </w:p>
    <w:p w:rsidR="007A4421" w:rsidRPr="007A4421" w:rsidRDefault="007A4421" w:rsidP="007A442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7A4421">
        <w:rPr>
          <w:rFonts w:ascii="Times New Roman" w:eastAsia="Times New Roman" w:hAnsi="Times New Roman" w:cs="Times New Roman"/>
          <w:lang w:eastAsia="lt-LT"/>
        </w:rPr>
        <w:t xml:space="preserve">Vilnius </w:t>
      </w:r>
    </w:p>
    <w:p w:rsidR="007A4421" w:rsidRPr="007A4421" w:rsidRDefault="007A4421" w:rsidP="007A4421">
      <w:pPr>
        <w:spacing w:before="100" w:beforeAutospacing="1" w:after="100" w:afterAutospacing="1" w:line="240" w:lineRule="auto"/>
        <w:outlineLvl w:val="8"/>
        <w:rPr>
          <w:rFonts w:ascii="Tahoma" w:eastAsia="Times New Roman" w:hAnsi="Tahoma" w:cs="Tahoma"/>
          <w:sz w:val="18"/>
          <w:szCs w:val="18"/>
          <w:lang w:eastAsia="lt-LT"/>
        </w:rPr>
      </w:pPr>
      <w:r w:rsidRPr="007A4421">
        <w:rPr>
          <w:rFonts w:ascii="Tahoma" w:eastAsia="Times New Roman" w:hAnsi="Tahoma" w:cs="Tahoma"/>
          <w:sz w:val="20"/>
          <w:szCs w:val="20"/>
          <w:lang w:eastAsia="lt-LT"/>
        </w:rPr>
        <w:t>Nauja įstatymo redakcija nuo 2004 m. gegužės 1 d.:</w:t>
      </w:r>
    </w:p>
    <w:p w:rsidR="007A4421" w:rsidRPr="007A4421" w:rsidRDefault="007A4421" w:rsidP="007A4421">
      <w:pPr>
        <w:spacing w:before="100" w:beforeAutospacing="1" w:after="100" w:afterAutospacing="1" w:line="240" w:lineRule="auto"/>
        <w:rPr>
          <w:rFonts w:ascii="Tahoma" w:eastAsia="Times New Roman" w:hAnsi="Tahoma" w:cs="Tahoma"/>
          <w:sz w:val="18"/>
          <w:szCs w:val="18"/>
          <w:lang w:eastAsia="lt-LT"/>
        </w:rPr>
      </w:pPr>
      <w:r w:rsidRPr="007A4421">
        <w:rPr>
          <w:rFonts w:ascii="Times New Roman" w:eastAsia="Times New Roman" w:hAnsi="Times New Roman" w:cs="Times New Roman"/>
          <w:i/>
          <w:iCs/>
          <w:sz w:val="18"/>
          <w:szCs w:val="18"/>
          <w:lang w:eastAsia="lt-LT"/>
        </w:rPr>
        <w:t xml:space="preserve">Nr. </w:t>
      </w:r>
      <w:hyperlink r:id="rId5" w:history="1">
        <w:r w:rsidRPr="007A4421">
          <w:rPr>
            <w:rFonts w:ascii="Times New Roman" w:eastAsia="Times New Roman" w:hAnsi="Times New Roman" w:cs="Times New Roman"/>
            <w:i/>
            <w:iCs/>
            <w:color w:val="000000"/>
            <w:sz w:val="18"/>
            <w:szCs w:val="18"/>
            <w:u w:val="single"/>
            <w:lang w:eastAsia="lt-LT"/>
          </w:rPr>
          <w:t>IX-1962</w:t>
        </w:r>
      </w:hyperlink>
      <w:r w:rsidRPr="007A4421">
        <w:rPr>
          <w:rFonts w:ascii="Times New Roman" w:eastAsia="Times New Roman" w:hAnsi="Times New Roman" w:cs="Times New Roman"/>
          <w:i/>
          <w:iCs/>
          <w:sz w:val="18"/>
          <w:szCs w:val="18"/>
          <w:lang w:eastAsia="lt-LT"/>
        </w:rPr>
        <w:t>, 2004-01-15, Žin., 2004, Nr. 21-617 (2004-02-07)</w:t>
      </w:r>
    </w:p>
    <w:p w:rsidR="002922B3" w:rsidRPr="002922B3" w:rsidRDefault="002922B3" w:rsidP="002922B3">
      <w:pPr>
        <w:spacing w:before="100" w:beforeAutospacing="1" w:after="100" w:afterAutospacing="1" w:line="240" w:lineRule="auto"/>
        <w:ind w:left="2475" w:hanging="1530"/>
        <w:jc w:val="both"/>
        <w:rPr>
          <w:rFonts w:ascii="Times New Roman" w:eastAsia="Times New Roman" w:hAnsi="Times New Roman" w:cs="Times New Roman"/>
          <w:sz w:val="24"/>
          <w:szCs w:val="24"/>
          <w:lang w:eastAsia="lt-LT"/>
        </w:rPr>
      </w:pPr>
      <w:bookmarkStart w:id="1" w:name="straipsnis26"/>
      <w:r w:rsidRPr="002922B3">
        <w:rPr>
          <w:rFonts w:ascii="Times New Roman" w:eastAsia="Times New Roman" w:hAnsi="Times New Roman" w:cs="Times New Roman"/>
          <w:b/>
          <w:bCs/>
          <w:color w:val="000000"/>
          <w:lang w:eastAsia="lt-LT"/>
        </w:rPr>
        <w:t>26 straipsnis. Detaliųjų planų rengimas, keitimas, derinimas, tvirtinimas ir galiojimas</w:t>
      </w:r>
      <w:bookmarkEnd w:id="1"/>
    </w:p>
    <w:p w:rsidR="002922B3" w:rsidRPr="002922B3" w:rsidRDefault="002922B3" w:rsidP="002922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2B3">
        <w:rPr>
          <w:rFonts w:ascii="Times New Roman" w:eastAsia="Times New Roman" w:hAnsi="Times New Roman" w:cs="Times New Roman"/>
          <w:lang w:eastAsia="lt-LT"/>
        </w:rPr>
        <w:t xml:space="preserve">1. Detaliųjų planų rengimo, svarstymo, derinimo, tikrinimo, tvirtinimo ir galiojimo tvarką nustato šis Įstatymas ir Aplinkos ministerijos patvirtintos detaliųjų planų rengimo taisyklės. Žemėvaldų planai (projektai) rengiami Žemės įstatymo nustatyta tvarka. </w:t>
      </w:r>
    </w:p>
    <w:p w:rsidR="002922B3" w:rsidRPr="002922B3" w:rsidRDefault="002922B3" w:rsidP="002922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2B3">
        <w:rPr>
          <w:rFonts w:ascii="Times New Roman" w:eastAsia="Times New Roman" w:hAnsi="Times New Roman" w:cs="Times New Roman"/>
          <w:lang w:eastAsia="lt-LT"/>
        </w:rPr>
        <w:t xml:space="preserve">2. Valstybės sienos, krašto apsaugos ir strateginės reikšmės objektų detalieji planai rengiami, derinami ir tvirtinami Vyriausybės nustatyta tvarka. </w:t>
      </w:r>
    </w:p>
    <w:p w:rsidR="002922B3" w:rsidRPr="002922B3" w:rsidRDefault="002922B3" w:rsidP="002922B3">
      <w:pPr>
        <w:spacing w:before="100" w:beforeAutospacing="1" w:after="100" w:afterAutospacing="1" w:line="240" w:lineRule="auto"/>
        <w:ind w:firstLine="720"/>
        <w:jc w:val="both"/>
        <w:rPr>
          <w:rFonts w:ascii="Tahoma" w:eastAsia="Times New Roman" w:hAnsi="Tahoma" w:cs="Tahoma"/>
          <w:sz w:val="18"/>
          <w:szCs w:val="18"/>
          <w:lang w:eastAsia="lt-LT"/>
        </w:rPr>
      </w:pPr>
      <w:r w:rsidRPr="002922B3">
        <w:rPr>
          <w:rFonts w:ascii="Times New Roman" w:eastAsia="Times New Roman" w:hAnsi="Times New Roman" w:cs="Times New Roman"/>
          <w:lang w:eastAsia="lt-LT"/>
        </w:rPr>
        <w:t>3. Detaliojo plano sprendiniai turi neprieštarauti įstatymais, Vyriausybės nutarimais nustatytų specialiųjų žemės naudojimo sąlygų reikalavimams, galiojantiems savivaldybės teritorijos ir jos dalių bendrųjų, taip pat specialiųjų planų (išskyrus žemės reformos žemėtvarkos projektus, kurių sprendinius keičia detalieji planai) sprendiniams, kitiems teisės aktams.</w:t>
      </w:r>
    </w:p>
    <w:p w:rsidR="002922B3" w:rsidRPr="002922B3" w:rsidRDefault="002922B3" w:rsidP="002922B3">
      <w:pPr>
        <w:spacing w:before="100" w:beforeAutospacing="1" w:after="100" w:afterAutospacing="1" w:line="240" w:lineRule="auto"/>
        <w:ind w:firstLine="720"/>
        <w:rPr>
          <w:rFonts w:ascii="Tahoma" w:eastAsia="Times New Roman" w:hAnsi="Tahoma" w:cs="Tahoma"/>
          <w:sz w:val="18"/>
          <w:szCs w:val="18"/>
          <w:lang w:eastAsia="lt-LT"/>
        </w:rPr>
      </w:pPr>
      <w:r w:rsidRPr="002922B3">
        <w:rPr>
          <w:rFonts w:ascii="Times New Roman" w:eastAsia="Times New Roman" w:hAnsi="Times New Roman" w:cs="Times New Roman"/>
          <w:lang w:eastAsia="lt-LT"/>
        </w:rPr>
        <w:t>4. Detalųjį planą tvirtina savivaldybės taryba arba savivaldybės administracijos direktorius savivaldybės tarybos pavedimu. Detalusis planas patvirtinamas ar motyvuotai nepatvirtinamas per 20 darbo dienų nuo detaliojo teritorijų planavimo organizatoriaus prašymo tvirtinti detalųjį planą pateikimo dienos. Detaliojo plano koncepciją, jei ji rengiama, tvirtina savivaldybės taryba detaliojo plano rengimo etapu. Prie dokumento, kuriuo tvirtinamas detalusis planas, pridedami detaliojo plano sprendiniai (brėžiniai ir aiškinamasis raštas) įforminami Vyriausybės įgaliotos institucijos nustatyta tvarka.</w:t>
      </w:r>
    </w:p>
    <w:p w:rsidR="002922B3" w:rsidRPr="002922B3" w:rsidRDefault="002922B3" w:rsidP="002922B3">
      <w:pPr>
        <w:spacing w:before="100" w:beforeAutospacing="1" w:after="100" w:afterAutospacing="1" w:line="240" w:lineRule="auto"/>
        <w:ind w:firstLine="720"/>
        <w:rPr>
          <w:rFonts w:ascii="Tahoma" w:eastAsia="Times New Roman" w:hAnsi="Tahoma" w:cs="Tahoma"/>
          <w:sz w:val="18"/>
          <w:szCs w:val="18"/>
          <w:lang w:eastAsia="lt-LT"/>
        </w:rPr>
      </w:pPr>
      <w:r w:rsidRPr="002922B3">
        <w:rPr>
          <w:rFonts w:ascii="Times New Roman" w:eastAsia="Times New Roman" w:hAnsi="Times New Roman" w:cs="Times New Roman"/>
          <w:lang w:eastAsia="lt-LT"/>
        </w:rPr>
        <w:t>5. Detalusis planas tvirtinti neteikiamas, jeigu valstybinės teritorijų planavimo priežiūros institucijos išvada dėl detaliojo plano tvirtinimo yra neigiama. Tais atvejais, kai siūloma tvirtinti detalųjį planą, o savivaldybės taryba arba savivaldybės administracijos direktorius savivaldybės tarybos pavedimu atsisako jį tvirtinti, privaloma planavimo organizatoriui raštu pateikti motyvuotą atsakymą per 20 darbo dienų nuo detaliojo plano pateikimo dienos. Jei savivaldybės taryba arba savivaldybės administracijos direktorius savivaldybės tarybos pavedimu detaliojo plano per nustatytą terminą nepatvirtina ir nepateikiamas motyvuotas atsakymas dėl plano netvirtinimo, detalusis planas tvirtinamas Vyriausybės nustatyta tvarka.</w:t>
      </w:r>
      <w:r w:rsidRPr="002922B3">
        <w:rPr>
          <w:rFonts w:ascii="Times New Roman" w:eastAsia="Times New Roman" w:hAnsi="Times New Roman" w:cs="Times New Roman"/>
          <w:i/>
          <w:iCs/>
          <w:lang w:eastAsia="lt-LT"/>
        </w:rPr>
        <w:t xml:space="preserve"> </w:t>
      </w:r>
      <w:r w:rsidRPr="002922B3">
        <w:rPr>
          <w:rFonts w:ascii="Times New Roman" w:eastAsia="Times New Roman" w:hAnsi="Times New Roman" w:cs="Times New Roman"/>
          <w:lang w:eastAsia="lt-LT"/>
        </w:rPr>
        <w:t xml:space="preserve">Dėl nustatytu terminu nepatvirtinto detaliojo plano planavimo organizatoriui atsiradusią žalą atlygina savivaldybė įstatymų nustatyta tvarka. </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imes New Roman" w:eastAsia="Times New Roman" w:hAnsi="Times New Roman" w:cs="Times New Roman"/>
          <w:sz w:val="18"/>
          <w:szCs w:val="18"/>
          <w:lang w:eastAsia="lt-LT"/>
        </w:rPr>
        <w:t>6. Detaliųjų planų sprendiniai galioja neterminuotai, jeigu tvirtinant detalųjį planą nebuvo nustatytas konkretus galiojimo terminas.</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imes New Roman" w:eastAsia="Times New Roman" w:hAnsi="Times New Roman" w:cs="Times New Roman"/>
          <w:sz w:val="18"/>
          <w:szCs w:val="18"/>
          <w:lang w:eastAsia="lt-LT"/>
        </w:rPr>
        <w:t>7. Detaliųjų planų keitimai rengiami, derinami ir tvirtinami ta pačia tvarka kaip ir detalusis planas.</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ahoma" w:eastAsia="Times New Roman" w:hAnsi="Tahoma" w:cs="Tahoma"/>
          <w:sz w:val="18"/>
          <w:szCs w:val="18"/>
          <w:lang w:eastAsia="lt-LT"/>
        </w:rPr>
        <w:t>8. Patvirtintas detalusis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w:t>
      </w:r>
      <w:r w:rsidRPr="002922B3">
        <w:rPr>
          <w:rFonts w:ascii="Times New Roman" w:eastAsia="Times New Roman" w:hAnsi="Times New Roman" w:cs="Times New Roman"/>
          <w:sz w:val="18"/>
          <w:szCs w:val="18"/>
          <w:lang w:eastAsia="lt-LT"/>
        </w:rPr>
        <w:t xml:space="preserve"> Patvirtintas detalusis planas turi būti paskelbtas ne vėliau kaip per 5 darbo dienas nuo jo patvirtinimo dienos</w:t>
      </w:r>
      <w:r w:rsidRPr="002922B3">
        <w:rPr>
          <w:rFonts w:ascii="Tahoma" w:eastAsia="Times New Roman" w:hAnsi="Tahoma" w:cs="Tahoma"/>
          <w:sz w:val="18"/>
          <w:szCs w:val="18"/>
          <w:lang w:eastAsia="lt-LT"/>
        </w:rPr>
        <w:t>.</w:t>
      </w:r>
    </w:p>
    <w:p w:rsidR="002922B3" w:rsidRPr="002922B3" w:rsidRDefault="002922B3" w:rsidP="002922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922B3">
        <w:rPr>
          <w:rFonts w:ascii="Times New Roman" w:eastAsia="Times New Roman" w:hAnsi="Times New Roman" w:cs="Times New Roman"/>
          <w:b/>
          <w:bCs/>
          <w:sz w:val="24"/>
          <w:szCs w:val="24"/>
          <w:lang w:eastAsia="lt-LT"/>
        </w:rPr>
        <w:lastRenderedPageBreak/>
        <w:t>8 dalies redakcija nuo 2014-01-01:</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ahoma" w:eastAsia="Times New Roman" w:hAnsi="Tahoma" w:cs="Tahoma"/>
          <w:sz w:val="18"/>
          <w:szCs w:val="18"/>
          <w:lang w:eastAsia="lt-LT"/>
        </w:rPr>
        <w:t>8. Patvirtintas detalusis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svetainėje. Patvirtintas detalusis planas turi būti paskelbtas ne vėliau kaip per 5 darbo dienas nuo jo patvirtinimo dienos.</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ahoma" w:eastAsia="Times New Roman" w:hAnsi="Tahoma" w:cs="Tahoma"/>
          <w:sz w:val="18"/>
          <w:szCs w:val="18"/>
          <w:lang w:eastAsia="lt-LT"/>
        </w:rPr>
        <w:t>9. Sprendimą dėl detaliojo plano patvirtinimo savivaldybė privalo pateikti Vyriausybės įgaliotai institucijai</w:t>
      </w:r>
      <w:r w:rsidRPr="002922B3">
        <w:rPr>
          <w:rFonts w:ascii="Tahoma" w:eastAsia="Times New Roman" w:hAnsi="Tahoma" w:cs="Tahoma"/>
          <w:b/>
          <w:bCs/>
          <w:sz w:val="18"/>
          <w:szCs w:val="18"/>
          <w:lang w:eastAsia="lt-LT"/>
        </w:rPr>
        <w:t xml:space="preserve"> </w:t>
      </w:r>
      <w:r w:rsidRPr="002922B3">
        <w:rPr>
          <w:rFonts w:ascii="Tahoma" w:eastAsia="Times New Roman" w:hAnsi="Tahoma" w:cs="Tahoma"/>
          <w:sz w:val="18"/>
          <w:szCs w:val="18"/>
          <w:lang w:eastAsia="lt-LT"/>
        </w:rPr>
        <w:t>ne vėliau kaip per 20 darbo dienų nuo jo priėmimo.</w:t>
      </w:r>
    </w:p>
    <w:p w:rsidR="002922B3" w:rsidRPr="002922B3" w:rsidRDefault="002922B3" w:rsidP="002922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922B3">
        <w:rPr>
          <w:rFonts w:ascii="Times New Roman" w:eastAsia="Times New Roman" w:hAnsi="Times New Roman" w:cs="Times New Roman"/>
          <w:i/>
          <w:iCs/>
          <w:sz w:val="24"/>
          <w:szCs w:val="24"/>
          <w:lang w:eastAsia="lt-LT"/>
        </w:rPr>
        <w:t>Straipsnio pakeitimai:</w:t>
      </w:r>
    </w:p>
    <w:p w:rsidR="002922B3" w:rsidRPr="002922B3" w:rsidRDefault="002922B3" w:rsidP="002922B3">
      <w:pPr>
        <w:spacing w:before="100" w:beforeAutospacing="1" w:after="100" w:afterAutospacing="1" w:line="240" w:lineRule="auto"/>
        <w:jc w:val="both"/>
        <w:rPr>
          <w:rFonts w:ascii="Tahoma" w:eastAsia="Times New Roman" w:hAnsi="Tahoma" w:cs="Tahoma"/>
          <w:sz w:val="18"/>
          <w:szCs w:val="18"/>
          <w:lang w:eastAsia="lt-LT"/>
        </w:rPr>
      </w:pPr>
      <w:r w:rsidRPr="002922B3">
        <w:rPr>
          <w:rFonts w:ascii="Times New Roman" w:eastAsia="Times New Roman" w:hAnsi="Times New Roman" w:cs="Times New Roman"/>
          <w:i/>
          <w:iCs/>
          <w:sz w:val="18"/>
          <w:szCs w:val="18"/>
          <w:lang w:eastAsia="lt-LT"/>
        </w:rPr>
        <w:t xml:space="preserve">Nr. </w:t>
      </w:r>
      <w:hyperlink r:id="rId6" w:history="1">
        <w:r w:rsidRPr="002922B3">
          <w:rPr>
            <w:rFonts w:ascii="Times New Roman" w:eastAsia="Times New Roman" w:hAnsi="Times New Roman" w:cs="Times New Roman"/>
            <w:i/>
            <w:iCs/>
            <w:color w:val="000000"/>
            <w:sz w:val="18"/>
            <w:szCs w:val="18"/>
            <w:u w:val="single"/>
            <w:lang w:eastAsia="lt-LT"/>
          </w:rPr>
          <w:t>X-679</w:t>
        </w:r>
      </w:hyperlink>
      <w:r w:rsidRPr="002922B3">
        <w:rPr>
          <w:rFonts w:ascii="Times New Roman" w:eastAsia="Times New Roman" w:hAnsi="Times New Roman" w:cs="Times New Roman"/>
          <w:i/>
          <w:iCs/>
          <w:sz w:val="18"/>
          <w:szCs w:val="18"/>
          <w:lang w:eastAsia="lt-LT"/>
        </w:rPr>
        <w:t>, 2006-06-08, Žin., 2006, Nr. 66-2429 (2006-06-13)</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imes New Roman" w:eastAsia="Times New Roman" w:hAnsi="Times New Roman" w:cs="Times New Roman"/>
          <w:i/>
          <w:iCs/>
          <w:sz w:val="18"/>
          <w:szCs w:val="18"/>
          <w:lang w:eastAsia="lt-LT"/>
        </w:rPr>
        <w:t xml:space="preserve">Nr. </w:t>
      </w:r>
      <w:hyperlink r:id="rId7" w:history="1">
        <w:r w:rsidRPr="002922B3">
          <w:rPr>
            <w:rFonts w:ascii="Times New Roman" w:eastAsia="Times New Roman" w:hAnsi="Times New Roman" w:cs="Times New Roman"/>
            <w:i/>
            <w:iCs/>
            <w:color w:val="000000"/>
            <w:sz w:val="18"/>
            <w:szCs w:val="18"/>
            <w:u w:val="single"/>
            <w:lang w:eastAsia="lt-LT"/>
          </w:rPr>
          <w:t>X-757</w:t>
        </w:r>
      </w:hyperlink>
      <w:r w:rsidRPr="002922B3">
        <w:rPr>
          <w:rFonts w:ascii="Times New Roman" w:eastAsia="Times New Roman" w:hAnsi="Times New Roman" w:cs="Times New Roman"/>
          <w:i/>
          <w:iCs/>
          <w:sz w:val="18"/>
          <w:szCs w:val="18"/>
          <w:lang w:eastAsia="lt-LT"/>
        </w:rPr>
        <w:t>, 2006-07-11, Žin., 2006, Nr. 82-3256 (2006-07-27)</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imes New Roman" w:eastAsia="Times New Roman" w:hAnsi="Times New Roman" w:cs="Times New Roman"/>
          <w:i/>
          <w:iCs/>
          <w:sz w:val="18"/>
          <w:szCs w:val="18"/>
          <w:lang w:eastAsia="lt-LT"/>
        </w:rPr>
        <w:t xml:space="preserve">Nr. </w:t>
      </w:r>
      <w:hyperlink r:id="rId8" w:history="1">
        <w:r w:rsidRPr="002922B3">
          <w:rPr>
            <w:rFonts w:ascii="Times New Roman" w:eastAsia="Times New Roman" w:hAnsi="Times New Roman" w:cs="Times New Roman"/>
            <w:i/>
            <w:iCs/>
            <w:color w:val="000000"/>
            <w:sz w:val="18"/>
            <w:szCs w:val="18"/>
            <w:u w:val="single"/>
            <w:lang w:eastAsia="lt-LT"/>
          </w:rPr>
          <w:t>X-1061</w:t>
        </w:r>
      </w:hyperlink>
      <w:r w:rsidRPr="002922B3">
        <w:rPr>
          <w:rFonts w:ascii="Times New Roman" w:eastAsia="Times New Roman" w:hAnsi="Times New Roman" w:cs="Times New Roman"/>
          <w:i/>
          <w:iCs/>
          <w:sz w:val="18"/>
          <w:szCs w:val="18"/>
          <w:lang w:eastAsia="lt-LT"/>
        </w:rPr>
        <w:t>, 2007-03-22, Žin., 2007, Nr. 39-1437 (2007-04-05)</w:t>
      </w:r>
    </w:p>
    <w:p w:rsidR="002922B3" w:rsidRPr="002922B3" w:rsidRDefault="002922B3" w:rsidP="002922B3">
      <w:pPr>
        <w:spacing w:before="100" w:beforeAutospacing="1" w:after="100" w:afterAutospacing="1" w:line="240" w:lineRule="auto"/>
        <w:rPr>
          <w:rFonts w:ascii="Times New Roman" w:eastAsia="Times New Roman" w:hAnsi="Times New Roman" w:cs="Times New Roman"/>
          <w:sz w:val="24"/>
          <w:szCs w:val="24"/>
          <w:lang w:eastAsia="lt-LT"/>
        </w:rPr>
      </w:pPr>
      <w:r w:rsidRPr="002922B3">
        <w:rPr>
          <w:rFonts w:ascii="Times New Roman" w:eastAsia="Times New Roman" w:hAnsi="Times New Roman" w:cs="Times New Roman"/>
          <w:i/>
          <w:iCs/>
          <w:sz w:val="24"/>
          <w:szCs w:val="24"/>
          <w:lang w:eastAsia="lt-LT"/>
        </w:rPr>
        <w:t xml:space="preserve">Nr. </w:t>
      </w:r>
      <w:hyperlink r:id="rId9" w:history="1">
        <w:r w:rsidRPr="002922B3">
          <w:rPr>
            <w:rFonts w:ascii="Times New Roman" w:eastAsia="Times New Roman" w:hAnsi="Times New Roman" w:cs="Times New Roman"/>
            <w:i/>
            <w:iCs/>
            <w:color w:val="000000"/>
            <w:sz w:val="24"/>
            <w:szCs w:val="24"/>
            <w:u w:val="single"/>
            <w:lang w:eastAsia="lt-LT"/>
          </w:rPr>
          <w:t>XI-619</w:t>
        </w:r>
      </w:hyperlink>
      <w:r w:rsidRPr="002922B3">
        <w:rPr>
          <w:rFonts w:ascii="Times New Roman" w:eastAsia="Times New Roman" w:hAnsi="Times New Roman" w:cs="Times New Roman"/>
          <w:i/>
          <w:iCs/>
          <w:sz w:val="24"/>
          <w:szCs w:val="24"/>
          <w:lang w:eastAsia="lt-LT"/>
        </w:rPr>
        <w:t>, 2009-12-22, Žin., 2009, Nr. 159-7205 (2009-12-31)</w:t>
      </w:r>
    </w:p>
    <w:p w:rsidR="002922B3" w:rsidRPr="002922B3" w:rsidRDefault="002922B3" w:rsidP="002922B3">
      <w:pPr>
        <w:spacing w:before="100" w:beforeAutospacing="1" w:after="100" w:afterAutospacing="1" w:line="240" w:lineRule="auto"/>
        <w:rPr>
          <w:rFonts w:ascii="Times New Roman" w:eastAsia="Times New Roman" w:hAnsi="Times New Roman" w:cs="Times New Roman"/>
          <w:sz w:val="24"/>
          <w:szCs w:val="24"/>
          <w:lang w:eastAsia="lt-LT"/>
        </w:rPr>
      </w:pPr>
      <w:r w:rsidRPr="002922B3">
        <w:rPr>
          <w:rFonts w:ascii="Times New Roman" w:eastAsia="Times New Roman" w:hAnsi="Times New Roman" w:cs="Times New Roman"/>
          <w:i/>
          <w:iCs/>
          <w:sz w:val="24"/>
          <w:szCs w:val="24"/>
          <w:lang w:eastAsia="lt-LT"/>
        </w:rPr>
        <w:t xml:space="preserve">Nr. </w:t>
      </w:r>
      <w:hyperlink r:id="rId10" w:history="1">
        <w:r w:rsidRPr="002922B3">
          <w:rPr>
            <w:rFonts w:ascii="Times New Roman" w:eastAsia="Times New Roman" w:hAnsi="Times New Roman" w:cs="Times New Roman"/>
            <w:i/>
            <w:iCs/>
            <w:color w:val="000000"/>
            <w:sz w:val="24"/>
            <w:szCs w:val="24"/>
            <w:u w:val="single"/>
            <w:lang w:eastAsia="lt-LT"/>
          </w:rPr>
          <w:t>XI-826</w:t>
        </w:r>
      </w:hyperlink>
      <w:r w:rsidRPr="002922B3">
        <w:rPr>
          <w:rFonts w:ascii="Times New Roman" w:eastAsia="Times New Roman" w:hAnsi="Times New Roman" w:cs="Times New Roman"/>
          <w:i/>
          <w:iCs/>
          <w:sz w:val="24"/>
          <w:szCs w:val="24"/>
          <w:lang w:eastAsia="lt-LT"/>
        </w:rPr>
        <w:t>, 2010-05-20, Žin., 2010, Nr. 65-3195 (2010-06-05)</w:t>
      </w:r>
    </w:p>
    <w:p w:rsidR="002922B3" w:rsidRPr="002922B3" w:rsidRDefault="002922B3" w:rsidP="002922B3">
      <w:pPr>
        <w:spacing w:before="100" w:beforeAutospacing="1" w:after="100" w:afterAutospacing="1" w:line="240" w:lineRule="auto"/>
        <w:rPr>
          <w:rFonts w:ascii="Tahoma" w:eastAsia="Times New Roman" w:hAnsi="Tahoma" w:cs="Tahoma"/>
          <w:sz w:val="18"/>
          <w:szCs w:val="18"/>
          <w:lang w:eastAsia="lt-LT"/>
        </w:rPr>
      </w:pPr>
      <w:r w:rsidRPr="002922B3">
        <w:rPr>
          <w:rFonts w:ascii="Times New Roman" w:eastAsia="Times New Roman" w:hAnsi="Times New Roman" w:cs="Times New Roman"/>
          <w:i/>
          <w:iCs/>
          <w:sz w:val="18"/>
          <w:szCs w:val="18"/>
          <w:lang w:eastAsia="lt-LT"/>
        </w:rPr>
        <w:t xml:space="preserve">Nr. </w:t>
      </w:r>
      <w:hyperlink r:id="rId11" w:history="1">
        <w:r w:rsidRPr="002922B3">
          <w:rPr>
            <w:rFonts w:ascii="Times New Roman" w:eastAsia="Times New Roman" w:hAnsi="Times New Roman" w:cs="Times New Roman"/>
            <w:i/>
            <w:iCs/>
            <w:color w:val="000000"/>
            <w:sz w:val="18"/>
            <w:szCs w:val="18"/>
            <w:u w:val="single"/>
            <w:lang w:eastAsia="lt-LT"/>
          </w:rPr>
          <w:t>XI-2349</w:t>
        </w:r>
      </w:hyperlink>
      <w:r w:rsidRPr="002922B3">
        <w:rPr>
          <w:rFonts w:ascii="Times New Roman" w:eastAsia="Times New Roman" w:hAnsi="Times New Roman" w:cs="Times New Roman"/>
          <w:i/>
          <w:iCs/>
          <w:sz w:val="18"/>
          <w:szCs w:val="18"/>
          <w:lang w:eastAsia="lt-LT"/>
        </w:rPr>
        <w:t>, 2012-11-06, Žin., 2012, Nr. 132-6677 (2012-11-15)</w:t>
      </w:r>
    </w:p>
    <w:p w:rsidR="00762E09" w:rsidRDefault="00762E09"/>
    <w:sectPr w:rsidR="00762E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21"/>
    <w:rsid w:val="002922B3"/>
    <w:rsid w:val="00762E09"/>
    <w:rsid w:val="007A4421"/>
    <w:rsid w:val="00DB5EA7"/>
    <w:rsid w:val="00DE7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4407">
      <w:bodyDiv w:val="1"/>
      <w:marLeft w:val="225"/>
      <w:marRight w:val="225"/>
      <w:marTop w:val="0"/>
      <w:marBottom w:val="0"/>
      <w:divBdr>
        <w:top w:val="none" w:sz="0" w:space="0" w:color="auto"/>
        <w:left w:val="none" w:sz="0" w:space="0" w:color="auto"/>
        <w:bottom w:val="none" w:sz="0" w:space="0" w:color="auto"/>
        <w:right w:val="none" w:sz="0" w:space="0" w:color="auto"/>
      </w:divBdr>
      <w:divsChild>
        <w:div w:id="1923567873">
          <w:marLeft w:val="0"/>
          <w:marRight w:val="0"/>
          <w:marTop w:val="0"/>
          <w:marBottom w:val="0"/>
          <w:divBdr>
            <w:top w:val="none" w:sz="0" w:space="0" w:color="auto"/>
            <w:left w:val="none" w:sz="0" w:space="0" w:color="auto"/>
            <w:bottom w:val="none" w:sz="0" w:space="0" w:color="auto"/>
            <w:right w:val="none" w:sz="0" w:space="0" w:color="auto"/>
          </w:divBdr>
        </w:div>
      </w:divsChild>
    </w:div>
    <w:div w:id="1438327382">
      <w:bodyDiv w:val="1"/>
      <w:marLeft w:val="225"/>
      <w:marRight w:val="225"/>
      <w:marTop w:val="0"/>
      <w:marBottom w:val="0"/>
      <w:divBdr>
        <w:top w:val="none" w:sz="0" w:space="0" w:color="auto"/>
        <w:left w:val="none" w:sz="0" w:space="0" w:color="auto"/>
        <w:bottom w:val="none" w:sz="0" w:space="0" w:color="auto"/>
        <w:right w:val="none" w:sz="0" w:space="0" w:color="auto"/>
      </w:divBdr>
      <w:divsChild>
        <w:div w:id="17592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94747&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280582&amp;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cgi-bin/preps2?a=277836&amp;b=" TargetMode="External"/><Relationship Id="rId11" Type="http://schemas.openxmlformats.org/officeDocument/2006/relationships/hyperlink" Target="http://www3.lrs.lt/cgi-bin/preps2?a=436785&amp;b=" TargetMode="External"/><Relationship Id="rId5" Type="http://schemas.openxmlformats.org/officeDocument/2006/relationships/hyperlink" Target="http://www3.lrs.lt/cgi-bin/preps2?a=226486&amp;b=" TargetMode="External"/><Relationship Id="rId10" Type="http://schemas.openxmlformats.org/officeDocument/2006/relationships/hyperlink" Target="http://www3.lrs.lt/cgi-bin/preps2?a=373213&amp;b=" TargetMode="External"/><Relationship Id="rId4" Type="http://schemas.openxmlformats.org/officeDocument/2006/relationships/webSettings" Target="webSettings.xml"/><Relationship Id="rId9" Type="http://schemas.openxmlformats.org/officeDocument/2006/relationships/hyperlink" Target="http://www3.lrs.lt/cgi-bin/preps2?a=36202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2959</Words>
  <Characters>1688</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Lenkauskaite</dc:creator>
  <cp:lastModifiedBy>Virginija Palaimiene</cp:lastModifiedBy>
  <cp:revision>2</cp:revision>
  <dcterms:created xsi:type="dcterms:W3CDTF">2014-03-17T13:28:00Z</dcterms:created>
  <dcterms:modified xsi:type="dcterms:W3CDTF">2014-03-17T13:28:00Z</dcterms:modified>
</cp:coreProperties>
</file>