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209" w:type="dxa"/>
        <w:tblInd w:w="6521" w:type="dxa"/>
        <w:tblLook w:val="00A0" w:firstRow="1" w:lastRow="0" w:firstColumn="1" w:lastColumn="0" w:noHBand="0" w:noVBand="0"/>
      </w:tblPr>
      <w:tblGrid>
        <w:gridCol w:w="3209"/>
      </w:tblGrid>
      <w:tr w:rsidR="00214C79" w:rsidTr="006E151A">
        <w:tc>
          <w:tcPr>
            <w:tcW w:w="3209" w:type="dxa"/>
          </w:tcPr>
          <w:p w:rsidR="00214C79" w:rsidRDefault="00214C79" w:rsidP="006E151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lang w:eastAsia="lt-LT"/>
              </w:rPr>
            </w:pPr>
            <w:bookmarkStart w:id="0" w:name="_GoBack"/>
            <w:bookmarkEnd w:id="0"/>
            <w:r>
              <w:rPr>
                <w:lang w:eastAsia="lt-LT"/>
              </w:rPr>
              <w:t>PATVIRTINTA</w:t>
            </w:r>
          </w:p>
        </w:tc>
      </w:tr>
      <w:tr w:rsidR="00214C79" w:rsidTr="006E151A">
        <w:tc>
          <w:tcPr>
            <w:tcW w:w="3209" w:type="dxa"/>
          </w:tcPr>
          <w:p w:rsidR="00214C79" w:rsidRDefault="00214C79" w:rsidP="0006079E">
            <w:pPr>
              <w:rPr>
                <w:lang w:eastAsia="lt-LT"/>
              </w:rPr>
            </w:pPr>
            <w:r>
              <w:rPr>
                <w:lang w:eastAsia="lt-LT"/>
              </w:rPr>
              <w:t>Klaipėdos miesto savivaldybės</w:t>
            </w:r>
          </w:p>
        </w:tc>
      </w:tr>
      <w:tr w:rsidR="00214C79" w:rsidTr="006E151A">
        <w:tc>
          <w:tcPr>
            <w:tcW w:w="3209" w:type="dxa"/>
          </w:tcPr>
          <w:p w:rsidR="00214C79" w:rsidRDefault="00214C79" w:rsidP="0006079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tarybos </w:t>
            </w:r>
            <w:bookmarkStart w:id="1" w:name="registravimoDataIlga"/>
            <w:r>
              <w:rPr>
                <w:noProof/>
                <w:lang w:eastAsia="lt-LT"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  <w:lang w:eastAsia="lt-LT"/>
              </w:rPr>
              <w:instrText xml:space="preserve"> FORMTEXT </w:instrText>
            </w:r>
            <w:r>
              <w:rPr>
                <w:noProof/>
                <w:lang w:eastAsia="lt-LT"/>
              </w:rPr>
            </w:r>
            <w:r>
              <w:rPr>
                <w:noProof/>
                <w:lang w:eastAsia="lt-LT"/>
              </w:rPr>
              <w:fldChar w:fldCharType="separate"/>
            </w:r>
            <w:r>
              <w:rPr>
                <w:noProof/>
                <w:lang w:eastAsia="lt-LT"/>
              </w:rPr>
              <w:t>2014 m. kovo 27 d.</w:t>
            </w:r>
            <w:r>
              <w:rPr>
                <w:noProof/>
                <w:lang w:eastAsia="lt-LT"/>
              </w:rPr>
              <w:fldChar w:fldCharType="end"/>
            </w:r>
            <w:bookmarkEnd w:id="1"/>
          </w:p>
        </w:tc>
      </w:tr>
      <w:tr w:rsidR="00214C79" w:rsidTr="006E151A">
        <w:tc>
          <w:tcPr>
            <w:tcW w:w="3209" w:type="dxa"/>
          </w:tcPr>
          <w:p w:rsidR="00214C79" w:rsidRDefault="00214C79" w:rsidP="006E151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lang w:eastAsia="lt-LT"/>
              </w:rPr>
            </w:pPr>
            <w:r>
              <w:rPr>
                <w:lang w:eastAsia="lt-LT"/>
              </w:rPr>
              <w:t xml:space="preserve">sprendimu Nr. </w:t>
            </w:r>
            <w:bookmarkStart w:id="2" w:name="dokumentoNr"/>
            <w:r>
              <w:rPr>
                <w:noProof/>
                <w:lang w:eastAsia="lt-LT"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  <w:lang w:eastAsia="lt-LT"/>
              </w:rPr>
              <w:instrText xml:space="preserve"> FORMTEXT </w:instrText>
            </w:r>
            <w:r>
              <w:rPr>
                <w:noProof/>
                <w:lang w:eastAsia="lt-LT"/>
              </w:rPr>
            </w:r>
            <w:r>
              <w:rPr>
                <w:noProof/>
                <w:lang w:eastAsia="lt-LT"/>
              </w:rPr>
              <w:fldChar w:fldCharType="separate"/>
            </w:r>
            <w:r>
              <w:rPr>
                <w:noProof/>
                <w:lang w:eastAsia="lt-LT"/>
              </w:rPr>
              <w:t>T2-66</w:t>
            </w:r>
            <w:r>
              <w:rPr>
                <w:noProof/>
                <w:lang w:eastAsia="lt-LT"/>
              </w:rPr>
              <w:fldChar w:fldCharType="end"/>
            </w:r>
            <w:bookmarkEnd w:id="2"/>
          </w:p>
        </w:tc>
      </w:tr>
    </w:tbl>
    <w:p w:rsidR="00214C79" w:rsidRDefault="00214C79" w:rsidP="0006079E">
      <w:pPr>
        <w:jc w:val="center"/>
      </w:pPr>
    </w:p>
    <w:p w:rsidR="00214C79" w:rsidRDefault="00214C79" w:rsidP="0006079E">
      <w:pPr>
        <w:jc w:val="center"/>
      </w:pPr>
    </w:p>
    <w:p w:rsidR="00214C79" w:rsidRPr="00101B0A" w:rsidRDefault="00214C79" w:rsidP="00BF5EE4">
      <w:pPr>
        <w:jc w:val="center"/>
        <w:rPr>
          <w:b/>
        </w:rPr>
      </w:pPr>
      <w:r w:rsidRPr="00101B0A">
        <w:rPr>
          <w:b/>
        </w:rPr>
        <w:t>KAINOS UŽ VIEŠAJAM VANDENS TIEKIMUI REIKALINGOS INFRASTRUKTŪROS</w:t>
      </w:r>
      <w:r>
        <w:rPr>
          <w:b/>
        </w:rPr>
        <w:t xml:space="preserve"> NAUDOJIMĄ </w:t>
      </w:r>
      <w:r w:rsidRPr="00101B0A">
        <w:rPr>
          <w:b/>
        </w:rPr>
        <w:t xml:space="preserve">NUSTATYMO </w:t>
      </w:r>
      <w:r>
        <w:rPr>
          <w:b/>
        </w:rPr>
        <w:t>METODIKA</w:t>
      </w:r>
    </w:p>
    <w:p w:rsidR="00214C79" w:rsidRDefault="00214C79" w:rsidP="00BF5EE4"/>
    <w:p w:rsidR="00214C79" w:rsidRDefault="00214C79" w:rsidP="00BF5EE4">
      <w:pPr>
        <w:jc w:val="center"/>
        <w:rPr>
          <w:b/>
        </w:rPr>
      </w:pPr>
      <w:r>
        <w:rPr>
          <w:b/>
        </w:rPr>
        <w:t>I SKYRIUS</w:t>
      </w:r>
    </w:p>
    <w:p w:rsidR="00214C79" w:rsidRPr="00101B0A" w:rsidRDefault="00214C79" w:rsidP="00BF5EE4">
      <w:pPr>
        <w:jc w:val="center"/>
        <w:rPr>
          <w:b/>
        </w:rPr>
      </w:pPr>
      <w:r w:rsidRPr="00101B0A">
        <w:rPr>
          <w:b/>
        </w:rPr>
        <w:t>TAIKYMO SRITIS IR BENDROSIOS NUOSTATOS</w:t>
      </w:r>
    </w:p>
    <w:p w:rsidR="00214C79" w:rsidRDefault="00214C79" w:rsidP="00BF5EE4"/>
    <w:p w:rsidR="00214C79" w:rsidRPr="003939BB" w:rsidRDefault="00214C79" w:rsidP="00BF5EE4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</w:pPr>
      <w:r w:rsidRPr="003939BB">
        <w:t xml:space="preserve">Kainos už viešajam vandens tiekimui reikalingos infrastruktūros naudojimą nustatymo metodika (toliau </w:t>
      </w:r>
      <w:r>
        <w:t xml:space="preserve">– Metodika ) nustato kainos už </w:t>
      </w:r>
      <w:r w:rsidRPr="003939BB">
        <w:t>viešojo vandens tiekimo ir (ar) nuotekų tvarkymo infrastruktūros, kuri nuosavybės teise priklauso ne savivaldybei ir (ar) savivaldybės kontroliuo</w:t>
      </w:r>
      <w:r>
        <w:t>jamai įmonei (vandens tiekėjui)</w:t>
      </w:r>
      <w:r w:rsidRPr="003939BB">
        <w:t xml:space="preserve"> ir yra reikalinga viešajam vandens tiekimui, naudojimą nustatymo principus.</w:t>
      </w:r>
    </w:p>
    <w:p w:rsidR="00214C79" w:rsidRPr="003939BB" w:rsidRDefault="00214C79" w:rsidP="00BF5EE4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</w:pPr>
      <w:r w:rsidRPr="003939BB">
        <w:t>Ši Metodika privaloma vandens tiekėjui, kuris yra savivaldybės kontroliuojama įmonė ir kuris teisės aktuose nustatyta tvarka teikia viešąsias geriamojo vandens tiekimo ir nuotekų tvarkymo paslaugas.</w:t>
      </w:r>
    </w:p>
    <w:p w:rsidR="00214C79" w:rsidRPr="003939BB" w:rsidRDefault="00214C79" w:rsidP="00BF5EE4">
      <w:pPr>
        <w:numPr>
          <w:ilvl w:val="0"/>
          <w:numId w:val="1"/>
        </w:numPr>
        <w:tabs>
          <w:tab w:val="left" w:pos="709"/>
          <w:tab w:val="left" w:pos="1080"/>
        </w:tabs>
        <w:ind w:left="0" w:firstLine="720"/>
        <w:jc w:val="both"/>
      </w:pPr>
      <w:r w:rsidRPr="003939BB">
        <w:t xml:space="preserve">Ši </w:t>
      </w:r>
      <w:r>
        <w:t>Metodika taikoma</w:t>
      </w:r>
      <w:r w:rsidRPr="003939BB">
        <w:t>, kai vandens tiekėjas su viešojo vandens tiekimo ir (ar) nuotekų tvarkymo infrastruktūros, reikalingos viešajam vandens tiekimui, savininku tariasi dėl apmokėjimo už viešojo vandens tiekimo ir (ar) nuotekų tvarkymo infrastruktūros naudojimą.</w:t>
      </w:r>
    </w:p>
    <w:p w:rsidR="00214C79" w:rsidRDefault="00214C79" w:rsidP="00BF5EE4"/>
    <w:p w:rsidR="00214C79" w:rsidRPr="003939BB" w:rsidRDefault="00214C79" w:rsidP="00BF5EE4">
      <w:pPr>
        <w:tabs>
          <w:tab w:val="left" w:pos="709"/>
        </w:tabs>
        <w:jc w:val="center"/>
        <w:rPr>
          <w:b/>
        </w:rPr>
      </w:pPr>
      <w:r>
        <w:rPr>
          <w:b/>
        </w:rPr>
        <w:t>II</w:t>
      </w:r>
      <w:r w:rsidRPr="003939BB">
        <w:rPr>
          <w:b/>
        </w:rPr>
        <w:t xml:space="preserve"> SKYRIUS</w:t>
      </w:r>
    </w:p>
    <w:p w:rsidR="00214C79" w:rsidRDefault="00214C79" w:rsidP="00BF5EE4">
      <w:pPr>
        <w:tabs>
          <w:tab w:val="left" w:pos="709"/>
        </w:tabs>
        <w:jc w:val="center"/>
        <w:rPr>
          <w:b/>
        </w:rPr>
      </w:pPr>
      <w:r w:rsidRPr="003939BB">
        <w:rPr>
          <w:b/>
        </w:rPr>
        <w:t>KAINOS UŽ VIEŠOJO VANDENS TIEKIMO IR (AR) NUOTEKŲ TVARKYMO INFRASTRUKTŪROS NAUDOJIMĄ NUSTATYMAS IR KITOS NAUDOJIMO SĄLYGOS</w:t>
      </w:r>
    </w:p>
    <w:p w:rsidR="00214C79" w:rsidRDefault="00214C79" w:rsidP="00BF5EE4"/>
    <w:p w:rsidR="00214C79" w:rsidRDefault="00214C79" w:rsidP="00BF5EE4">
      <w:pPr>
        <w:pStyle w:val="Sraopastraipa1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</w:pPr>
      <w:r>
        <w:t xml:space="preserve">Kaina už infrastruktūros </w:t>
      </w:r>
      <w:r w:rsidRPr="003939BB">
        <w:t>naudojimą</w:t>
      </w:r>
      <w:r>
        <w:t xml:space="preserve"> (</w:t>
      </w:r>
      <w:proofErr w:type="spellStart"/>
      <w:r>
        <w:t>K</w:t>
      </w:r>
      <w:r w:rsidRPr="00D90EBF">
        <w:rPr>
          <w:vertAlign w:val="subscript"/>
        </w:rPr>
        <w:t>i</w:t>
      </w:r>
      <w:proofErr w:type="spellEnd"/>
      <w:r>
        <w:t>) nustatoma vienam mėnesiui pagal tokią priklausomybę:</w:t>
      </w:r>
    </w:p>
    <w:p w:rsidR="00214C79" w:rsidRDefault="00214C79" w:rsidP="00BF5EE4">
      <w:pPr>
        <w:pStyle w:val="Sraopastraipa1"/>
        <w:tabs>
          <w:tab w:val="left" w:pos="993"/>
        </w:tabs>
        <w:ind w:left="0" w:firstLine="709"/>
      </w:pPr>
    </w:p>
    <w:p w:rsidR="00214C79" w:rsidRPr="001D3C49" w:rsidRDefault="00214C79" w:rsidP="00BF5EE4">
      <w:pPr>
        <w:pStyle w:val="Sraopastraipa1"/>
        <w:tabs>
          <w:tab w:val="left" w:pos="993"/>
        </w:tabs>
        <w:ind w:left="0" w:firstLine="709"/>
      </w:pPr>
      <w:proofErr w:type="spellStart"/>
      <w:r>
        <w:t>K</w:t>
      </w:r>
      <w:r w:rsidRPr="00D90EBF">
        <w:rPr>
          <w:vertAlign w:val="subscript"/>
        </w:rPr>
        <w:t>i</w:t>
      </w:r>
      <w:r>
        <w:t>=BS</w:t>
      </w:r>
      <w:r w:rsidRPr="00D90EBF">
        <w:rPr>
          <w:vertAlign w:val="subscript"/>
        </w:rPr>
        <w:t>i</w:t>
      </w:r>
      <w:r>
        <w:t>+IP</w:t>
      </w:r>
      <w:r w:rsidRPr="00D90EBF">
        <w:rPr>
          <w:vertAlign w:val="subscript"/>
        </w:rPr>
        <w:t>i</w:t>
      </w:r>
      <w:proofErr w:type="spellEnd"/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 w:rsidRPr="001D3C49">
        <w:t>(1)</w:t>
      </w:r>
      <w:r>
        <w:t>,</w:t>
      </w:r>
    </w:p>
    <w:p w:rsidR="00214C79" w:rsidRDefault="00214C79" w:rsidP="00BF5EE4">
      <w:pPr>
        <w:pStyle w:val="Sraopastraipa1"/>
        <w:tabs>
          <w:tab w:val="left" w:pos="993"/>
        </w:tabs>
        <w:ind w:left="0" w:firstLine="709"/>
        <w:rPr>
          <w:vertAlign w:val="subscript"/>
        </w:rPr>
      </w:pPr>
    </w:p>
    <w:p w:rsidR="00214C79" w:rsidRDefault="00214C79" w:rsidP="00BF5EE4">
      <w:pPr>
        <w:pStyle w:val="Sraopastraipa1"/>
        <w:tabs>
          <w:tab w:val="left" w:pos="993"/>
        </w:tabs>
        <w:ind w:left="0" w:firstLine="709"/>
        <w:jc w:val="both"/>
      </w:pPr>
      <w:r>
        <w:t xml:space="preserve">kur </w:t>
      </w:r>
      <w:proofErr w:type="spellStart"/>
      <w:r w:rsidRPr="003A4591">
        <w:rPr>
          <w:b/>
        </w:rPr>
        <w:t>BS</w:t>
      </w:r>
      <w:r w:rsidRPr="003A4591">
        <w:rPr>
          <w:b/>
          <w:vertAlign w:val="subscript"/>
        </w:rPr>
        <w:t>i</w:t>
      </w:r>
      <w:proofErr w:type="spellEnd"/>
      <w:r w:rsidRPr="00D90EBF">
        <w:rPr>
          <w:vertAlign w:val="subscript"/>
        </w:rPr>
        <w:t xml:space="preserve"> </w:t>
      </w:r>
      <w:r>
        <w:t>– infrastruktūros, reikalingos viešajam vandens tiekimui, naudojimosi būtinosios sąnaudos;</w:t>
      </w:r>
    </w:p>
    <w:p w:rsidR="00214C79" w:rsidRDefault="00214C79" w:rsidP="00BF5EE4">
      <w:pPr>
        <w:pStyle w:val="Sraopastraipa1"/>
        <w:tabs>
          <w:tab w:val="left" w:pos="993"/>
        </w:tabs>
        <w:ind w:left="0" w:firstLine="709"/>
      </w:pPr>
      <w:proofErr w:type="spellStart"/>
      <w:r w:rsidRPr="003A4591">
        <w:rPr>
          <w:b/>
        </w:rPr>
        <w:t>IP</w:t>
      </w:r>
      <w:r w:rsidRPr="003A4591">
        <w:rPr>
          <w:b/>
          <w:vertAlign w:val="subscript"/>
        </w:rPr>
        <w:t>i</w:t>
      </w:r>
      <w:proofErr w:type="spellEnd"/>
      <w:r w:rsidRPr="003A4591">
        <w:rPr>
          <w:b/>
        </w:rPr>
        <w:t xml:space="preserve"> </w:t>
      </w:r>
      <w:r>
        <w:t>– normatyvinio pelno dalis.</w:t>
      </w:r>
    </w:p>
    <w:p w:rsidR="00214C79" w:rsidRPr="003939BB" w:rsidRDefault="00214C79" w:rsidP="00BF5EE4">
      <w:pPr>
        <w:pStyle w:val="Sraopastraipa1"/>
        <w:tabs>
          <w:tab w:val="left" w:pos="993"/>
        </w:tabs>
        <w:ind w:left="0" w:firstLine="709"/>
        <w:jc w:val="both"/>
      </w:pPr>
      <w:r>
        <w:t xml:space="preserve">Normatyvinio pelno dalis nustatoma vadovaujantis Geriamojo vandens tiekimo ir nuotekų tvarkymo paslaugų kainų nustatymo metodikos, patvirtintos Valstybinės kainų ir energetikos kontrolės komisijos </w:t>
      </w:r>
      <w:smartTag w:uri="urn:schemas-microsoft-com:office:smarttags" w:element="metricconverter">
        <w:smartTagPr>
          <w:attr w:name="ProductID" w:val="2006 m"/>
        </w:smartTagPr>
        <w:r>
          <w:t>2006 m</w:t>
        </w:r>
      </w:smartTag>
      <w:r>
        <w:t xml:space="preserve">. gruodžio 21 d. nutarimu Nr. O3-92, 32.2 papunkčio nuostatomis ir sudaro 5 proc. nuo </w:t>
      </w:r>
      <w:r w:rsidRPr="003939BB">
        <w:t>infrastruktūros naudojimo būtinųjų sąnaudų.</w:t>
      </w:r>
    </w:p>
    <w:p w:rsidR="00214C79" w:rsidRDefault="00214C79" w:rsidP="00BF5EE4">
      <w:pPr>
        <w:pStyle w:val="Sraopastraipa1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3939BB">
        <w:t>Būtinosios infrastruktūros naudojimo</w:t>
      </w:r>
      <w:r>
        <w:t xml:space="preserve"> sąnaudos skaičiuojamos pagal priklausomybę:</w:t>
      </w:r>
    </w:p>
    <w:p w:rsidR="00214C79" w:rsidRDefault="00214C79" w:rsidP="00BF5EE4">
      <w:pPr>
        <w:pStyle w:val="Sraopastraipa1"/>
        <w:tabs>
          <w:tab w:val="left" w:pos="993"/>
        </w:tabs>
        <w:ind w:left="0" w:firstLine="709"/>
        <w:jc w:val="both"/>
      </w:pPr>
    </w:p>
    <w:p w:rsidR="00214C79" w:rsidRPr="003A4591" w:rsidRDefault="00214C79" w:rsidP="00BF5EE4">
      <w:pPr>
        <w:pStyle w:val="Sraopastraipa1"/>
        <w:tabs>
          <w:tab w:val="left" w:pos="993"/>
        </w:tabs>
        <w:ind w:left="0" w:firstLine="709"/>
        <w:jc w:val="both"/>
      </w:pPr>
      <w:proofErr w:type="spellStart"/>
      <w:r>
        <w:t>BS</w:t>
      </w:r>
      <w:r w:rsidRPr="001D3C49">
        <w:rPr>
          <w:vertAlign w:val="subscript"/>
        </w:rPr>
        <w:t>i</w:t>
      </w:r>
      <w:r>
        <w:t>=TS</w:t>
      </w:r>
      <w:r w:rsidRPr="003A4591">
        <w:rPr>
          <w:vertAlign w:val="subscript"/>
        </w:rPr>
        <w:t>i</w:t>
      </w:r>
      <w:proofErr w:type="spellEnd"/>
      <w:r>
        <w:t>/12+S</w:t>
      </w:r>
      <w:r w:rsidRPr="003A4591">
        <w:rPr>
          <w:vertAlign w:val="subscript"/>
        </w:rPr>
        <w:t>adm</w:t>
      </w:r>
      <w:r>
        <w:tab/>
      </w:r>
      <w:r>
        <w:tab/>
      </w:r>
      <w:r>
        <w:tab/>
      </w:r>
      <w:r>
        <w:tab/>
      </w:r>
      <w:r>
        <w:tab/>
        <w:t>(2),</w:t>
      </w:r>
    </w:p>
    <w:p w:rsidR="00214C79" w:rsidRDefault="00214C79" w:rsidP="00BF5EE4">
      <w:pPr>
        <w:pStyle w:val="Sraopastraipa1"/>
        <w:tabs>
          <w:tab w:val="left" w:pos="993"/>
        </w:tabs>
        <w:ind w:left="0" w:firstLine="709"/>
        <w:jc w:val="both"/>
      </w:pPr>
    </w:p>
    <w:p w:rsidR="00214C79" w:rsidRDefault="00214C79" w:rsidP="00BF5EE4">
      <w:pPr>
        <w:pStyle w:val="Sraopastraipa1"/>
        <w:tabs>
          <w:tab w:val="left" w:pos="993"/>
        </w:tabs>
        <w:ind w:left="0" w:firstLine="709"/>
        <w:jc w:val="both"/>
      </w:pPr>
      <w:r>
        <w:t xml:space="preserve">kur </w:t>
      </w:r>
      <w:proofErr w:type="spellStart"/>
      <w:r w:rsidRPr="007B276F">
        <w:rPr>
          <w:b/>
        </w:rPr>
        <w:t>TS</w:t>
      </w:r>
      <w:r w:rsidRPr="007B276F">
        <w:rPr>
          <w:b/>
          <w:vertAlign w:val="subscript"/>
        </w:rPr>
        <w:t>i</w:t>
      </w:r>
      <w:proofErr w:type="spellEnd"/>
      <w:r>
        <w:t xml:space="preserve"> – infrastruktūros, reikalingos viešajam vandens tiekimui, metinės nusidėvėjimo sąnaudos;</w:t>
      </w:r>
    </w:p>
    <w:p w:rsidR="00214C79" w:rsidRPr="005B2622" w:rsidRDefault="00214C79" w:rsidP="00BF5EE4">
      <w:pPr>
        <w:pStyle w:val="Sraopastraipa1"/>
        <w:tabs>
          <w:tab w:val="left" w:pos="993"/>
        </w:tabs>
        <w:ind w:left="0" w:firstLine="709"/>
        <w:jc w:val="both"/>
      </w:pPr>
      <w:proofErr w:type="spellStart"/>
      <w:r w:rsidRPr="005B2622">
        <w:rPr>
          <w:b/>
        </w:rPr>
        <w:t>S</w:t>
      </w:r>
      <w:r w:rsidRPr="005B2622">
        <w:rPr>
          <w:b/>
          <w:vertAlign w:val="subscript"/>
        </w:rPr>
        <w:t>adm</w:t>
      </w:r>
      <w:proofErr w:type="spellEnd"/>
      <w:r w:rsidRPr="005B2622">
        <w:rPr>
          <w:b/>
        </w:rPr>
        <w:t xml:space="preserve"> </w:t>
      </w:r>
      <w:r w:rsidRPr="005B2622">
        <w:t xml:space="preserve">– administracinių sąnaudų dalis, tenkanti </w:t>
      </w:r>
      <w:r w:rsidRPr="003939BB">
        <w:t>infrastruktūros naudojimo</w:t>
      </w:r>
      <w:r w:rsidRPr="003939BB">
        <w:rPr>
          <w:b/>
        </w:rPr>
        <w:t xml:space="preserve"> </w:t>
      </w:r>
      <w:r w:rsidRPr="005B2622">
        <w:t xml:space="preserve">veiklai, </w:t>
      </w:r>
      <w:r w:rsidRPr="00E3141C">
        <w:t>kuri</w:t>
      </w:r>
      <w:r>
        <w:t xml:space="preserve"> </w:t>
      </w:r>
      <w:r w:rsidRPr="005B2622">
        <w:t>sudaro 5 proc. nuo infrastruktūros, reikalingos viešajam vandens tiekimui, nusidėvėjimo sąnaudų.</w:t>
      </w:r>
    </w:p>
    <w:p w:rsidR="00214C79" w:rsidRDefault="00214C79" w:rsidP="00BF5EE4">
      <w:pPr>
        <w:pStyle w:val="Sraopastraipa1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</w:pPr>
      <w:r>
        <w:t>Infrastruktūros, reikalingos viešajam vandens tiekimui, nusidėvėjimo sąnaudos skaičiuojamos pagal priklausomybę:</w:t>
      </w:r>
    </w:p>
    <w:p w:rsidR="00214C79" w:rsidRDefault="00214C79" w:rsidP="00BF5EE4">
      <w:pPr>
        <w:pStyle w:val="Sraopastraipa1"/>
        <w:tabs>
          <w:tab w:val="left" w:pos="993"/>
        </w:tabs>
        <w:ind w:left="0" w:firstLine="709"/>
        <w:jc w:val="both"/>
      </w:pPr>
    </w:p>
    <w:p w:rsidR="00214C79" w:rsidRDefault="00214C79" w:rsidP="00BF5EE4">
      <w:pPr>
        <w:pStyle w:val="Sraopastraipa1"/>
        <w:tabs>
          <w:tab w:val="left" w:pos="993"/>
        </w:tabs>
        <w:ind w:left="0" w:firstLine="709"/>
        <w:jc w:val="both"/>
      </w:pPr>
      <w:proofErr w:type="spellStart"/>
      <w:r>
        <w:t>TS</w:t>
      </w:r>
      <w:r w:rsidRPr="007B276F">
        <w:rPr>
          <w:vertAlign w:val="subscript"/>
        </w:rPr>
        <w:t>i</w:t>
      </w:r>
      <w:proofErr w:type="spellEnd"/>
      <w:r>
        <w:t>= ∑(</w:t>
      </w:r>
      <w:proofErr w:type="spellStart"/>
      <w:r>
        <w:t>T</w:t>
      </w:r>
      <w:r w:rsidRPr="009F4F25">
        <w:rPr>
          <w:vertAlign w:val="subscript"/>
        </w:rPr>
        <w:t>i</w:t>
      </w:r>
      <w:proofErr w:type="spellEnd"/>
      <w:r>
        <w:t>/</w:t>
      </w:r>
      <w:proofErr w:type="spellStart"/>
      <w:r>
        <w:t>N</w:t>
      </w:r>
      <w:r w:rsidRPr="009F4F25">
        <w:rPr>
          <w:vertAlign w:val="subscript"/>
        </w:rPr>
        <w:t>t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  <w:t>(3),</w:t>
      </w:r>
    </w:p>
    <w:p w:rsidR="00214C79" w:rsidRPr="007B276F" w:rsidRDefault="00214C79" w:rsidP="00BF5EE4">
      <w:pPr>
        <w:pStyle w:val="Sraopastraipa1"/>
        <w:tabs>
          <w:tab w:val="left" w:pos="993"/>
        </w:tabs>
        <w:ind w:left="0" w:firstLine="709"/>
        <w:jc w:val="both"/>
      </w:pPr>
    </w:p>
    <w:p w:rsidR="00214C79" w:rsidRDefault="00214C79" w:rsidP="00BF5EE4">
      <w:pPr>
        <w:pStyle w:val="Sraopastraipa1"/>
        <w:tabs>
          <w:tab w:val="left" w:pos="993"/>
        </w:tabs>
        <w:ind w:left="0" w:firstLine="709"/>
        <w:jc w:val="both"/>
      </w:pPr>
      <w:r>
        <w:t>k</w:t>
      </w:r>
      <w:r w:rsidRPr="00AD6136">
        <w:t xml:space="preserve">ur </w:t>
      </w:r>
      <w:proofErr w:type="spellStart"/>
      <w:r w:rsidRPr="009F4F25">
        <w:rPr>
          <w:b/>
        </w:rPr>
        <w:t>T</w:t>
      </w:r>
      <w:r w:rsidRPr="009F4F25">
        <w:rPr>
          <w:b/>
          <w:vertAlign w:val="subscript"/>
        </w:rPr>
        <w:t>i</w:t>
      </w:r>
      <w:proofErr w:type="spellEnd"/>
      <w:r w:rsidRPr="009F4F25">
        <w:rPr>
          <w:b/>
        </w:rPr>
        <w:t xml:space="preserve"> </w:t>
      </w:r>
      <w:r>
        <w:t xml:space="preserve">– infrastruktūros, reikalingos viešajam vandens tiekimui, kaina, nustatyta vadovaujantis Geriamojo vandens tiekimo ir nuotekų tvarkymo infrastruktūros objektų išpirkimo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sausio 29 d. nutarimu Nr. 88, III skyriaus nuostatomis;</w:t>
      </w:r>
    </w:p>
    <w:p w:rsidR="00214C79" w:rsidRDefault="00214C79" w:rsidP="00BF5EE4">
      <w:pPr>
        <w:pStyle w:val="Sraopastraipa1"/>
        <w:tabs>
          <w:tab w:val="left" w:pos="993"/>
        </w:tabs>
        <w:ind w:left="0" w:firstLine="709"/>
        <w:jc w:val="both"/>
      </w:pPr>
      <w:proofErr w:type="spellStart"/>
      <w:r w:rsidRPr="009F4F25">
        <w:rPr>
          <w:b/>
        </w:rPr>
        <w:t>N</w:t>
      </w:r>
      <w:r w:rsidRPr="009F4F25">
        <w:rPr>
          <w:b/>
          <w:vertAlign w:val="subscript"/>
        </w:rPr>
        <w:t>t</w:t>
      </w:r>
      <w:proofErr w:type="spellEnd"/>
      <w:r w:rsidRPr="009F4F25">
        <w:rPr>
          <w:b/>
          <w:vertAlign w:val="subscript"/>
        </w:rPr>
        <w:t xml:space="preserve"> </w:t>
      </w:r>
      <w:r>
        <w:t xml:space="preserve">– ilgalaikio turto nusidėvėjimo normatyvai metais, nustatomi vadovaujantis Geriamojo vandens tiekimo ir nuotekų tvarkymo paslaugų kainų nustatymo metodikos, patvirtintos  Valstybinės kainų ir energetikos kontrolės komisijos </w:t>
      </w:r>
      <w:smartTag w:uri="urn:schemas-microsoft-com:office:smarttags" w:element="metricconverter">
        <w:smartTagPr>
          <w:attr w:name="ProductID" w:val="2006 m"/>
        </w:smartTagPr>
        <w:r>
          <w:t>2006 m</w:t>
        </w:r>
      </w:smartTag>
      <w:r>
        <w:t>. gruodžio 21 d. nutarimu Nr. O3-92, 26 priedo nuostatomis.</w:t>
      </w:r>
    </w:p>
    <w:p w:rsidR="00214C79" w:rsidRDefault="00214C79" w:rsidP="00BF5EE4">
      <w:pPr>
        <w:pStyle w:val="Sraopastraipa1"/>
        <w:tabs>
          <w:tab w:val="left" w:pos="993"/>
        </w:tabs>
        <w:ind w:left="0" w:firstLine="709"/>
        <w:jc w:val="both"/>
      </w:pPr>
      <w:r>
        <w:t>Kiekvienai ilgalaikio turto grupei metinės nusidėvėjimo sąnaudos skaičiuojamos atskirai ir po to sudedamos.</w:t>
      </w:r>
    </w:p>
    <w:p w:rsidR="00214C79" w:rsidRDefault="00214C79" w:rsidP="00BF5EE4">
      <w:pPr>
        <w:pStyle w:val="Sraopastraipa1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Viešajam vandens tiekimui reikalingą infrastruktūrą eksploatuoja vandens tiekėjas.</w:t>
      </w:r>
    </w:p>
    <w:p w:rsidR="00214C79" w:rsidRPr="003939BB" w:rsidRDefault="00214C79" w:rsidP="00BF5EE4">
      <w:pPr>
        <w:pStyle w:val="Sraopastraipa1"/>
        <w:numPr>
          <w:ilvl w:val="0"/>
          <w:numId w:val="1"/>
        </w:numPr>
        <w:tabs>
          <w:tab w:val="left" w:pos="709"/>
          <w:tab w:val="left" w:pos="900"/>
        </w:tabs>
        <w:ind w:left="0" w:firstLine="720"/>
        <w:jc w:val="both"/>
      </w:pPr>
      <w:r w:rsidRPr="003939BB">
        <w:t xml:space="preserve"> Kainos už viešajam vandens tiekimui reikalingos infrastruktūros naudojimą nustatymas įforminamas savivaldybės institucijai ir (ar) savivaldybės kontroliuojamai įmonei (vandens tiekėj</w:t>
      </w:r>
      <w:r>
        <w:t>ui), ir viešojo vandens tiekimo</w:t>
      </w:r>
      <w:r w:rsidRPr="003939BB">
        <w:t xml:space="preserve"> ir (ar) nuotekų tvarkymo infrastruktūros savininkui įstatymų nustatyta tvarka pasirašant sutartį.</w:t>
      </w:r>
    </w:p>
    <w:p w:rsidR="00214C79" w:rsidRDefault="00214C79" w:rsidP="00BF5EE4">
      <w:pPr>
        <w:pStyle w:val="Sraopastraipa1"/>
        <w:ind w:left="0"/>
        <w:jc w:val="center"/>
        <w:rPr>
          <w:b/>
        </w:rPr>
      </w:pPr>
    </w:p>
    <w:p w:rsidR="00214C79" w:rsidRDefault="00214C79" w:rsidP="00BF5EE4">
      <w:pPr>
        <w:pStyle w:val="Sraopastraipa1"/>
        <w:ind w:left="0"/>
        <w:jc w:val="center"/>
        <w:rPr>
          <w:b/>
        </w:rPr>
      </w:pPr>
      <w:r>
        <w:rPr>
          <w:b/>
        </w:rPr>
        <w:t>III SKYRIUS</w:t>
      </w:r>
    </w:p>
    <w:p w:rsidR="00214C79" w:rsidRPr="003956D6" w:rsidRDefault="00214C79" w:rsidP="00BF5EE4">
      <w:pPr>
        <w:pStyle w:val="Sraopastraipa1"/>
        <w:ind w:left="0"/>
        <w:jc w:val="center"/>
        <w:rPr>
          <w:b/>
        </w:rPr>
      </w:pPr>
      <w:r w:rsidRPr="003956D6">
        <w:rPr>
          <w:b/>
        </w:rPr>
        <w:t>BAIGIAMOSIOS NUOSTATOS</w:t>
      </w:r>
    </w:p>
    <w:p w:rsidR="00214C79" w:rsidRDefault="00214C79" w:rsidP="00BF5EE4">
      <w:pPr>
        <w:tabs>
          <w:tab w:val="left" w:pos="709"/>
        </w:tabs>
        <w:jc w:val="both"/>
      </w:pPr>
    </w:p>
    <w:p w:rsidR="00214C79" w:rsidRPr="003939BB" w:rsidRDefault="00214C79" w:rsidP="00BF5EE4">
      <w:pPr>
        <w:numPr>
          <w:ilvl w:val="0"/>
          <w:numId w:val="1"/>
        </w:numPr>
        <w:tabs>
          <w:tab w:val="left" w:pos="709"/>
          <w:tab w:val="left" w:pos="1080"/>
        </w:tabs>
        <w:ind w:left="0" w:firstLine="720"/>
        <w:jc w:val="both"/>
      </w:pPr>
      <w:r w:rsidRPr="003939BB">
        <w:t>Galutinę kainą už viešojo vandens tiekimo ir (ar) nuotekų tvarkymo infrastruktūros naudojimą, neviršijančią apskaičiuotos pagal šią Metodiką, nustato viešojo vandens tiekimo ir</w:t>
      </w:r>
      <w:r>
        <w:t xml:space="preserve"> (ar)</w:t>
      </w:r>
      <w:r w:rsidRPr="003939BB">
        <w:t xml:space="preserve"> nuotekų tvar</w:t>
      </w:r>
      <w:r>
        <w:t>kymo infrastruktūros savininkas</w:t>
      </w:r>
      <w:r w:rsidRPr="003939BB">
        <w:t xml:space="preserve"> ir savivaldybės institucija, ir (ar) savivaldybės kontroliuojama įmonė (vandens tiekėjas) tarpusavio susitarimu</w:t>
      </w:r>
      <w:r>
        <w:t>.</w:t>
      </w:r>
    </w:p>
    <w:p w:rsidR="00214C79" w:rsidRDefault="00214C79" w:rsidP="00BF5EE4">
      <w:pPr>
        <w:numPr>
          <w:ilvl w:val="0"/>
          <w:numId w:val="1"/>
        </w:numPr>
        <w:tabs>
          <w:tab w:val="left" w:pos="0"/>
          <w:tab w:val="left" w:pos="993"/>
          <w:tab w:val="left" w:pos="1080"/>
        </w:tabs>
        <w:ind w:left="0" w:firstLine="720"/>
        <w:jc w:val="both"/>
      </w:pPr>
      <w:r>
        <w:t>Jei viešajam vandens tiekėjui nepavyksta susitarti su infrastruktūros, reikalingos viešajam vandens tiekimui, savininku, ginčai dėl naudojimosi viešojo vandens tiekimo ir nuotekų tvarkymo infrastruktūra sąlygų ir tvarkos sprendžiami teisme.</w:t>
      </w:r>
    </w:p>
    <w:p w:rsidR="00214C79" w:rsidRPr="00136E1E" w:rsidRDefault="00214C79" w:rsidP="00BF5EE4">
      <w:pPr>
        <w:pStyle w:val="Antrats"/>
        <w:jc w:val="center"/>
        <w:rPr>
          <w:rFonts w:ascii="Times New Roman" w:hAnsi="Times New Roman"/>
        </w:rPr>
      </w:pPr>
      <w:r w:rsidRPr="00136E1E">
        <w:rPr>
          <w:rFonts w:ascii="Times New Roman" w:hAnsi="Times New Roman"/>
        </w:rPr>
        <w:t>_______________________</w:t>
      </w:r>
    </w:p>
    <w:p w:rsidR="00214C79" w:rsidRDefault="00214C79" w:rsidP="0006079E">
      <w:pPr>
        <w:jc w:val="center"/>
      </w:pPr>
    </w:p>
    <w:sectPr w:rsidR="00214C79" w:rsidSect="00BF5EE4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C79" w:rsidRDefault="00214C79">
      <w:r>
        <w:separator/>
      </w:r>
    </w:p>
  </w:endnote>
  <w:endnote w:type="continuationSeparator" w:id="0">
    <w:p w:rsidR="00214C79" w:rsidRDefault="0021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C79" w:rsidRDefault="00214C79">
      <w:r>
        <w:separator/>
      </w:r>
    </w:p>
  </w:footnote>
  <w:footnote w:type="continuationSeparator" w:id="0">
    <w:p w:rsidR="00214C79" w:rsidRDefault="00214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79" w:rsidRDefault="00214C79" w:rsidP="00EB75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14C79" w:rsidRDefault="00214C7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79" w:rsidRPr="00BF5EE4" w:rsidRDefault="00214C79" w:rsidP="00EB75C7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</w:rPr>
    </w:pPr>
    <w:r w:rsidRPr="00BF5EE4">
      <w:rPr>
        <w:rStyle w:val="Puslapionumeris"/>
        <w:rFonts w:ascii="Times New Roman" w:hAnsi="Times New Roman"/>
      </w:rPr>
      <w:fldChar w:fldCharType="begin"/>
    </w:r>
    <w:r w:rsidRPr="00BF5EE4">
      <w:rPr>
        <w:rStyle w:val="Puslapionumeris"/>
        <w:rFonts w:ascii="Times New Roman" w:hAnsi="Times New Roman"/>
      </w:rPr>
      <w:instrText xml:space="preserve">PAGE  </w:instrText>
    </w:r>
    <w:r w:rsidRPr="00BF5EE4">
      <w:rPr>
        <w:rStyle w:val="Puslapionumeris"/>
        <w:rFonts w:ascii="Times New Roman" w:hAnsi="Times New Roman"/>
      </w:rPr>
      <w:fldChar w:fldCharType="separate"/>
    </w:r>
    <w:r w:rsidR="00A06F6E">
      <w:rPr>
        <w:rStyle w:val="Puslapionumeris"/>
        <w:rFonts w:ascii="Times New Roman" w:hAnsi="Times New Roman"/>
        <w:noProof/>
      </w:rPr>
      <w:t>2</w:t>
    </w:r>
    <w:r w:rsidRPr="00BF5EE4">
      <w:rPr>
        <w:rStyle w:val="Puslapionumeris"/>
        <w:rFonts w:ascii="Times New Roman" w:hAnsi="Times New Roman"/>
      </w:rPr>
      <w:fldChar w:fldCharType="end"/>
    </w:r>
  </w:p>
  <w:p w:rsidR="00214C79" w:rsidRDefault="00214C7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6C75"/>
    <w:multiLevelType w:val="hybridMultilevel"/>
    <w:tmpl w:val="91F83E1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06079E"/>
    <w:rsid w:val="00101B0A"/>
    <w:rsid w:val="00136E1E"/>
    <w:rsid w:val="001D3C49"/>
    <w:rsid w:val="00214C79"/>
    <w:rsid w:val="00275879"/>
    <w:rsid w:val="003939BB"/>
    <w:rsid w:val="003956D6"/>
    <w:rsid w:val="003A4591"/>
    <w:rsid w:val="004476DD"/>
    <w:rsid w:val="00597EE8"/>
    <w:rsid w:val="005B2622"/>
    <w:rsid w:val="005F495C"/>
    <w:rsid w:val="00644051"/>
    <w:rsid w:val="006E151A"/>
    <w:rsid w:val="007B276F"/>
    <w:rsid w:val="008354D5"/>
    <w:rsid w:val="008E6E82"/>
    <w:rsid w:val="009F4F25"/>
    <w:rsid w:val="00A06F6E"/>
    <w:rsid w:val="00AD6136"/>
    <w:rsid w:val="00AF7D08"/>
    <w:rsid w:val="00B750B6"/>
    <w:rsid w:val="00BF5EE4"/>
    <w:rsid w:val="00CA4D3B"/>
    <w:rsid w:val="00D90EBF"/>
    <w:rsid w:val="00E3141C"/>
    <w:rsid w:val="00E33871"/>
    <w:rsid w:val="00EB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BF5EE4"/>
    <w:pPr>
      <w:spacing w:before="100" w:beforeAutospacing="1" w:after="100" w:afterAutospacing="1"/>
    </w:pPr>
    <w:rPr>
      <w:rFonts w:ascii="Calibri" w:eastAsia="Calibri" w:hAnsi="Calibri"/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rsid w:val="00685E3F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raopastraipa1">
    <w:name w:val="Sąrašo pastraipa1"/>
    <w:basedOn w:val="prastasis"/>
    <w:uiPriority w:val="99"/>
    <w:rsid w:val="00BF5EE4"/>
    <w:pPr>
      <w:ind w:left="720"/>
      <w:contextualSpacing/>
    </w:pPr>
    <w:rPr>
      <w:rFonts w:eastAsia="Calibri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BF5EE4"/>
    <w:rPr>
      <w:rFonts w:ascii="Calibri" w:hAnsi="Calibri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BF5EE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BF5E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85E3F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66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2608</Words>
  <Characters>1487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2014-03-31T07:43:00Z</dcterms:created>
  <dcterms:modified xsi:type="dcterms:W3CDTF">2014-03-31T07:43:00Z</dcterms:modified>
</cp:coreProperties>
</file>