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825737" w:rsidRPr="00825737" w:rsidRDefault="00825737" w:rsidP="006717F7">
      <w:pPr>
        <w:pStyle w:val="Antrat2"/>
        <w:ind w:right="-3"/>
        <w:rPr>
          <w:b w:val="0"/>
          <w:szCs w:val="24"/>
        </w:rPr>
      </w:pPr>
      <w:r w:rsidRPr="00825737">
        <w:rPr>
          <w:szCs w:val="24"/>
        </w:rPr>
        <w:t>PRIE SAVIVALDYBĖS TARYBOS SPRENDIMO „</w:t>
      </w:r>
      <w:r w:rsidR="006717F7" w:rsidRPr="008D3EAB">
        <w:rPr>
          <w:szCs w:val="24"/>
        </w:rPr>
        <w:t>DĖL KLAIPĖDOS MIESTO SAVIVALDYBĖS TARYBOS 201</w:t>
      </w:r>
      <w:r w:rsidR="006717F7">
        <w:rPr>
          <w:szCs w:val="24"/>
        </w:rPr>
        <w:t>3</w:t>
      </w:r>
      <w:r w:rsidR="006717F7" w:rsidRPr="008D3EAB">
        <w:rPr>
          <w:szCs w:val="24"/>
        </w:rPr>
        <w:t xml:space="preserve"> M. S</w:t>
      </w:r>
      <w:r w:rsidR="006717F7">
        <w:rPr>
          <w:szCs w:val="24"/>
        </w:rPr>
        <w:t>AUSIO</w:t>
      </w:r>
      <w:r w:rsidR="006717F7" w:rsidRPr="008D3EAB">
        <w:rPr>
          <w:szCs w:val="24"/>
        </w:rPr>
        <w:t xml:space="preserve"> </w:t>
      </w:r>
      <w:r w:rsidR="006717F7">
        <w:rPr>
          <w:szCs w:val="24"/>
        </w:rPr>
        <w:t>31</w:t>
      </w:r>
      <w:r w:rsidR="006717F7" w:rsidRPr="008D3EAB">
        <w:rPr>
          <w:szCs w:val="24"/>
        </w:rPr>
        <w:t xml:space="preserve"> D. SPRENDIMO NR. T2-</w:t>
      </w:r>
      <w:r w:rsidR="006717F7">
        <w:rPr>
          <w:szCs w:val="24"/>
        </w:rPr>
        <w:t>14</w:t>
      </w:r>
      <w:r w:rsidR="006717F7" w:rsidRPr="008D3EAB">
        <w:rPr>
          <w:szCs w:val="24"/>
        </w:rPr>
        <w:t xml:space="preserve"> „DĖL </w:t>
      </w:r>
      <w:r w:rsidR="006717F7">
        <w:rPr>
          <w:szCs w:val="24"/>
        </w:rPr>
        <w:t>VALSTYBINĖS ŽEMĖS NUOMOS MOKESČIO ADMINISTRAVIMO TVARKOS</w:t>
      </w:r>
      <w:r w:rsidR="006717F7" w:rsidRPr="008D3EAB">
        <w:rPr>
          <w:szCs w:val="24"/>
        </w:rPr>
        <w:t>“ PAKEITIMO</w:t>
      </w:r>
      <w:r w:rsidRPr="00825737">
        <w:rPr>
          <w:szCs w:val="24"/>
        </w:rPr>
        <w:t xml:space="preserve"> PROJEKTO</w:t>
      </w:r>
    </w:p>
    <w:p w:rsidR="00213B37" w:rsidRPr="00825737" w:rsidRDefault="00213B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6717F7" w:rsidRPr="006717F7" w:rsidRDefault="006717F7" w:rsidP="006717F7">
      <w:pPr>
        <w:ind w:firstLine="720"/>
        <w:jc w:val="both"/>
        <w:rPr>
          <w:color w:val="000000"/>
          <w:sz w:val="24"/>
          <w:szCs w:val="24"/>
        </w:rPr>
      </w:pPr>
      <w:r w:rsidRPr="006717F7">
        <w:rPr>
          <w:color w:val="000000"/>
          <w:sz w:val="24"/>
          <w:szCs w:val="24"/>
        </w:rPr>
        <w:t xml:space="preserve">Sprendimo projekto tikslas – papildyti ir pakeisti </w:t>
      </w:r>
      <w:r w:rsidRPr="006717F7">
        <w:rPr>
          <w:sz w:val="24"/>
          <w:szCs w:val="24"/>
        </w:rPr>
        <w:t>Valstybinės žemės nuomos mokesčio administravimo tvarkos aprašą, patvirtintą Klaipėdos miesto savivaldybės tarybos 2013 m. sausio 31 d. sprendimu Nr. T2-14 „Dėl Valstybinės žemės nuomos mokesčio administravimo tvarkos</w:t>
      </w:r>
      <w:r>
        <w:rPr>
          <w:sz w:val="24"/>
          <w:szCs w:val="24"/>
        </w:rPr>
        <w:t xml:space="preserve">“, atsižvelgiant į </w:t>
      </w:r>
      <w:r w:rsidRPr="006717F7">
        <w:rPr>
          <w:sz w:val="24"/>
          <w:szCs w:val="24"/>
        </w:rPr>
        <w:t xml:space="preserve">Klaipėdos miesto savivaldybės kontrolės ir audito tarnybos 2014 m. balandžio 1 d. Ribotos apimties veiklos audito </w:t>
      </w:r>
      <w:r w:rsidRPr="00352DC3">
        <w:rPr>
          <w:sz w:val="24"/>
          <w:szCs w:val="24"/>
        </w:rPr>
        <w:t xml:space="preserve">ataskaitoje </w:t>
      </w:r>
      <w:r w:rsidR="00352DC3" w:rsidRPr="00352DC3">
        <w:rPr>
          <w:sz w:val="24"/>
          <w:szCs w:val="24"/>
        </w:rPr>
        <w:t xml:space="preserve">Nr. KAT16-(4.4)-8 </w:t>
      </w:r>
      <w:r w:rsidRPr="00352DC3">
        <w:rPr>
          <w:sz w:val="24"/>
          <w:szCs w:val="24"/>
        </w:rPr>
        <w:t>„Nuomos</w:t>
      </w:r>
      <w:r>
        <w:rPr>
          <w:sz w:val="24"/>
          <w:szCs w:val="24"/>
        </w:rPr>
        <w:t xml:space="preserve"> mokesčio už valstybinę žemę nepriemokos administravimo įvertinimas“ pateiktas rekomendacijas</w:t>
      </w:r>
      <w:r w:rsidRPr="006717F7">
        <w:rPr>
          <w:sz w:val="24"/>
          <w:szCs w:val="24"/>
        </w:rPr>
        <w:t>.</w:t>
      </w:r>
    </w:p>
    <w:p w:rsidR="006717F7" w:rsidRDefault="006717F7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 w:rsidRPr="006717F7">
        <w:rPr>
          <w:szCs w:val="24"/>
        </w:rPr>
        <w:t xml:space="preserve">            Uždaviniai – nustatyti žemės nuomos mokesčio </w:t>
      </w:r>
      <w:r w:rsidR="00DD0AF7">
        <w:rPr>
          <w:szCs w:val="24"/>
        </w:rPr>
        <w:t xml:space="preserve">(toliau </w:t>
      </w:r>
      <w:r w:rsidR="00DD0AF7">
        <w:rPr>
          <w:szCs w:val="24"/>
        </w:rPr>
        <w:softHyphen/>
        <w:t xml:space="preserve"> – ŽNM) </w:t>
      </w:r>
      <w:r w:rsidRPr="006717F7">
        <w:rPr>
          <w:szCs w:val="24"/>
        </w:rPr>
        <w:t xml:space="preserve">už valstybinę žemę, išnuomotą arba suteiktą naudotis Lietuvos Respublikos įstatymų ir kitų teisės aktų nustatyta tvarka, apskaičiavimo, mokėjimo, apskaitos, lengvatų teikimo, mokesčio nepriemokos išieškojimo, beviltiškų skolų nurašymo ir duomenų, kurių reikia </w:t>
      </w:r>
      <w:r w:rsidR="00DD0AF7">
        <w:rPr>
          <w:szCs w:val="24"/>
        </w:rPr>
        <w:t>ŽNM</w:t>
      </w:r>
      <w:r w:rsidRPr="006717F7">
        <w:rPr>
          <w:szCs w:val="24"/>
        </w:rPr>
        <w:t xml:space="preserve"> apskaičiuoti, kaupimo ir saugojimo Klaipėdos miesto savivaldybėje tvark</w:t>
      </w:r>
      <w:r>
        <w:rPr>
          <w:szCs w:val="24"/>
        </w:rPr>
        <w:t>os pakeitimus ir papildymus</w:t>
      </w:r>
      <w:r w:rsidRPr="006717F7">
        <w:rPr>
          <w:szCs w:val="24"/>
        </w:rPr>
        <w:t>.</w:t>
      </w:r>
    </w:p>
    <w:p w:rsidR="008C6600" w:rsidRDefault="00352DC3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  Esminiai pakeitimai: </w:t>
      </w:r>
    </w:p>
    <w:p w:rsidR="008C6600" w:rsidRDefault="008C6600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  - nustatyti, kad</w:t>
      </w:r>
      <w:r w:rsidRPr="008C6600">
        <w:rPr>
          <w:szCs w:val="24"/>
        </w:rPr>
        <w:t xml:space="preserve"> </w:t>
      </w:r>
      <w:r w:rsidR="00DD0AF7">
        <w:rPr>
          <w:szCs w:val="24"/>
        </w:rPr>
        <w:t>ŽNM</w:t>
      </w:r>
      <w:r>
        <w:rPr>
          <w:szCs w:val="24"/>
        </w:rPr>
        <w:t xml:space="preserve"> nebeskaičiuojamas bankrutavusioms ir likviduotoms įmonėms nuo šio statuso įregistravimo dienos (28 p.);</w:t>
      </w:r>
    </w:p>
    <w:p w:rsidR="00352DC3" w:rsidRDefault="008C6600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  - </w:t>
      </w:r>
      <w:r w:rsidR="00DD0AF7">
        <w:rPr>
          <w:szCs w:val="24"/>
        </w:rPr>
        <w:t>ŽNM</w:t>
      </w:r>
      <w:r>
        <w:rPr>
          <w:szCs w:val="24"/>
        </w:rPr>
        <w:t xml:space="preserve"> nepriemokų dengimą vykdyti nuo delspinigių dengimo, kaip numatyta LR Civiliniam kodekse</w:t>
      </w:r>
      <w:r w:rsidR="00DD0AF7">
        <w:rPr>
          <w:szCs w:val="24"/>
        </w:rPr>
        <w:t xml:space="preserve"> (35</w:t>
      </w:r>
      <w:r w:rsidR="00DD0AF7">
        <w:rPr>
          <w:szCs w:val="24"/>
          <w:vertAlign w:val="superscript"/>
        </w:rPr>
        <w:t>1</w:t>
      </w:r>
      <w:r w:rsidR="00DD0AF7">
        <w:rPr>
          <w:szCs w:val="24"/>
        </w:rPr>
        <w:t xml:space="preserve"> p.)</w:t>
      </w:r>
      <w:r>
        <w:rPr>
          <w:szCs w:val="24"/>
        </w:rPr>
        <w:t>;</w:t>
      </w:r>
    </w:p>
    <w:p w:rsidR="008C6600" w:rsidRDefault="008C6600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  -  priminimą apie mokesčio nesumokėjimą siųsti registruotu laišku, kai skolos suma viršija 5000 Lt</w:t>
      </w:r>
      <w:r w:rsidR="00DD0AF7">
        <w:rPr>
          <w:szCs w:val="24"/>
        </w:rPr>
        <w:t xml:space="preserve"> (51</w:t>
      </w:r>
      <w:r w:rsidR="00DD0AF7">
        <w:rPr>
          <w:szCs w:val="24"/>
          <w:vertAlign w:val="superscript"/>
        </w:rPr>
        <w:t>1</w:t>
      </w:r>
      <w:r w:rsidR="00DD0AF7">
        <w:rPr>
          <w:szCs w:val="24"/>
        </w:rPr>
        <w:t xml:space="preserve"> p.);</w:t>
      </w:r>
    </w:p>
    <w:p w:rsidR="008C6600" w:rsidRPr="006717F7" w:rsidRDefault="008C6600" w:rsidP="006717F7">
      <w:pPr>
        <w:pStyle w:val="Pagrindiniotekstotrauka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="005B0BDD">
        <w:rPr>
          <w:szCs w:val="24"/>
        </w:rPr>
        <w:t xml:space="preserve"> </w:t>
      </w:r>
      <w:r>
        <w:rPr>
          <w:szCs w:val="24"/>
        </w:rPr>
        <w:t xml:space="preserve">- </w:t>
      </w:r>
      <w:r w:rsidR="005B0BDD">
        <w:rPr>
          <w:szCs w:val="24"/>
        </w:rPr>
        <w:t xml:space="preserve"> </w:t>
      </w:r>
      <w:r>
        <w:rPr>
          <w:szCs w:val="24"/>
        </w:rPr>
        <w:t xml:space="preserve">beviltiškomis skolomis pripažinti tas skolininko nepriemokos sumas, </w:t>
      </w:r>
      <w:r w:rsidR="005B0BDD" w:rsidRPr="00422348">
        <w:t xml:space="preserve">kurių neįmanoma išieškoti dėl to, kad praėjus daugiau kaip vieniems metams nuo </w:t>
      </w:r>
      <w:r w:rsidR="005B0BDD">
        <w:t>skolos išieškojimo</w:t>
      </w:r>
      <w:r w:rsidR="005B0BDD" w:rsidRPr="00422348">
        <w:t xml:space="preserve"> dienos, buvo nustatyta, kad skolininkas neturi turto ir pajamų, </w:t>
      </w:r>
      <w:r w:rsidR="005B0BDD">
        <w:t xml:space="preserve">iš </w:t>
      </w:r>
      <w:r w:rsidR="005B0BDD" w:rsidRPr="00422348">
        <w:t>kurių gali būti išieškoma skola</w:t>
      </w:r>
      <w:r w:rsidR="00DD0AF7">
        <w:rPr>
          <w:szCs w:val="24"/>
        </w:rPr>
        <w:t xml:space="preserve"> (60</w:t>
      </w:r>
      <w:r w:rsidR="00DD0AF7">
        <w:rPr>
          <w:szCs w:val="24"/>
          <w:vertAlign w:val="superscript"/>
        </w:rPr>
        <w:t xml:space="preserve"> </w:t>
      </w:r>
      <w:r w:rsidR="00DD0AF7">
        <w:rPr>
          <w:szCs w:val="24"/>
        </w:rPr>
        <w:t>p)</w:t>
      </w:r>
      <w:r>
        <w:rPr>
          <w:szCs w:val="24"/>
        </w:rPr>
        <w:t xml:space="preserve">.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6717F7" w:rsidRPr="00DD0AF7" w:rsidRDefault="006717F7" w:rsidP="006717F7">
      <w:pPr>
        <w:pStyle w:val="Hipersai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D0AF7">
        <w:rPr>
          <w:rFonts w:ascii="Times New Roman" w:hAnsi="Times New Roman"/>
          <w:sz w:val="24"/>
          <w:szCs w:val="24"/>
        </w:rPr>
        <w:t>Valstybinės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r w:rsidR="00DD0AF7">
        <w:rPr>
          <w:rFonts w:ascii="Times New Roman" w:hAnsi="Times New Roman"/>
          <w:sz w:val="24"/>
          <w:szCs w:val="24"/>
        </w:rPr>
        <w:t>ŽNM</w:t>
      </w:r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administravimo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tvarkos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aprašo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pakeitimų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ir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papildymų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parengimo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priežastys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gautų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Savivaldybės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kontrolės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ir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audito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tarnybos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dėl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r w:rsidR="00DD0AF7">
        <w:rPr>
          <w:rFonts w:ascii="Times New Roman" w:hAnsi="Times New Roman"/>
          <w:sz w:val="24"/>
          <w:szCs w:val="24"/>
        </w:rPr>
        <w:t>ŽNM</w:t>
      </w:r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administravimo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tvarkos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rekomendacijų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įgyvendinimas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DC3" w:rsidRPr="00DD0AF7">
        <w:rPr>
          <w:rFonts w:ascii="Times New Roman" w:hAnsi="Times New Roman"/>
          <w:sz w:val="24"/>
          <w:szCs w:val="24"/>
        </w:rPr>
        <w:t>ir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pasikeitę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teisės</w:t>
      </w:r>
      <w:proofErr w:type="spellEnd"/>
      <w:r w:rsidRPr="00DD0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F7">
        <w:rPr>
          <w:rFonts w:ascii="Times New Roman" w:hAnsi="Times New Roman"/>
          <w:sz w:val="24"/>
          <w:szCs w:val="24"/>
        </w:rPr>
        <w:t>aktai</w:t>
      </w:r>
      <w:proofErr w:type="spellEnd"/>
      <w:r w:rsidR="00352DC3" w:rsidRPr="00DD0AF7">
        <w:rPr>
          <w:rFonts w:ascii="Times New Roman" w:hAnsi="Times New Roman"/>
          <w:sz w:val="24"/>
          <w:szCs w:val="24"/>
        </w:rPr>
        <w:t>.</w:t>
      </w:r>
    </w:p>
    <w:p w:rsidR="006717F7" w:rsidRPr="006A7E0C" w:rsidRDefault="006717F7" w:rsidP="006717F7">
      <w:pPr>
        <w:pStyle w:val="Pagrindiniotekstotrauka2"/>
        <w:spacing w:after="0" w:line="240" w:lineRule="auto"/>
        <w:ind w:left="0"/>
        <w:jc w:val="both"/>
        <w:rPr>
          <w:b/>
          <w:szCs w:val="24"/>
        </w:rPr>
      </w:pPr>
      <w:r w:rsidRPr="006A7E0C">
        <w:rPr>
          <w:szCs w:val="24"/>
        </w:rPr>
        <w:t xml:space="preserve">           Sprendimo projektas parengtas vadovaujantis LR Vyriausybės </w:t>
      </w:r>
      <w:smartTag w:uri="urn:schemas-microsoft-com:office:smarttags" w:element="metricconverter">
        <w:smartTagPr>
          <w:attr w:name="ProductID" w:val="2002 m"/>
        </w:smartTagPr>
        <w:r w:rsidRPr="006A7E0C">
          <w:rPr>
            <w:szCs w:val="24"/>
          </w:rPr>
          <w:t>2002 m</w:t>
        </w:r>
      </w:smartTag>
      <w:r w:rsidRPr="006A7E0C">
        <w:rPr>
          <w:szCs w:val="24"/>
        </w:rPr>
        <w:t xml:space="preserve">. lapkričio 19 d. nutarimu Nr. 1798 „Dėl nuomos mokesčio už valstybinę žemę“ (pakeistas </w:t>
      </w:r>
      <w:smartTag w:uri="urn:schemas-microsoft-com:office:smarttags" w:element="metricconverter">
        <w:smartTagPr>
          <w:attr w:name="ProductID" w:val="2010 m"/>
        </w:smartTagPr>
        <w:r w:rsidRPr="006A7E0C">
          <w:rPr>
            <w:szCs w:val="24"/>
          </w:rPr>
          <w:t>2010 m</w:t>
        </w:r>
      </w:smartTag>
      <w:r w:rsidRPr="006A7E0C">
        <w:rPr>
          <w:szCs w:val="24"/>
        </w:rPr>
        <w:t xml:space="preserve">. liepos 21 d. nutarimu Nr. 1081), LR Vyriausybės </w:t>
      </w:r>
      <w:smartTag w:uri="urn:schemas-microsoft-com:office:smarttags" w:element="metricconverter">
        <w:smartTagPr>
          <w:attr w:name="ProductID" w:val="2003 m"/>
        </w:smartTagPr>
        <w:r w:rsidRPr="006A7E0C">
          <w:rPr>
            <w:szCs w:val="24"/>
          </w:rPr>
          <w:t>2003 m</w:t>
        </w:r>
      </w:smartTag>
      <w:r w:rsidRPr="006A7E0C">
        <w:rPr>
          <w:szCs w:val="24"/>
        </w:rPr>
        <w:t xml:space="preserve">. lapkričio 10 d. nutarimu Nr. 1387 „Dėl žemės nuomos mokesčio už valstybinės žemės sklypų naudojimą“ (pakeistas </w:t>
      </w:r>
      <w:smartTag w:uri="urn:schemas-microsoft-com:office:smarttags" w:element="metricconverter">
        <w:smartTagPr>
          <w:attr w:name="ProductID" w:val="2010 m"/>
        </w:smartTagPr>
        <w:r w:rsidRPr="006A7E0C">
          <w:rPr>
            <w:szCs w:val="24"/>
          </w:rPr>
          <w:t>2010 m</w:t>
        </w:r>
      </w:smartTag>
      <w:r w:rsidRPr="006A7E0C">
        <w:rPr>
          <w:szCs w:val="24"/>
        </w:rPr>
        <w:t>. liepos 21 d. nutarimu Nr. 1082), Lietuvos Respublikos vietos savivaldos įstatymu ir kt. teisės aktais.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213B37" w:rsidRPr="0013124F" w:rsidRDefault="00352DC3" w:rsidP="006717F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Bus įvykdytas </w:t>
      </w:r>
      <w:r>
        <w:rPr>
          <w:sz w:val="24"/>
          <w:szCs w:val="24"/>
        </w:rPr>
        <w:t>S</w:t>
      </w:r>
      <w:r w:rsidRPr="006717F7">
        <w:rPr>
          <w:sz w:val="24"/>
          <w:szCs w:val="24"/>
        </w:rPr>
        <w:t>avivaldybės kontrolės ir audito tarnybos</w:t>
      </w:r>
      <w:r>
        <w:rPr>
          <w:sz w:val="24"/>
          <w:szCs w:val="24"/>
        </w:rPr>
        <w:t xml:space="preserve"> rekomendacijų įgyvendinimo planas.</w:t>
      </w:r>
      <w:r w:rsidR="000012C6">
        <w:rPr>
          <w:sz w:val="24"/>
          <w:szCs w:val="24"/>
        </w:rPr>
        <w:t xml:space="preserve"> Su tarnybos ataskaita ir pateiktomis Klaipėdos miesto savivaldybės administracijai rekomendacijomis</w:t>
      </w:r>
      <w:r w:rsidR="00213B37">
        <w:rPr>
          <w:sz w:val="24"/>
          <w:szCs w:val="24"/>
        </w:rPr>
        <w:t xml:space="preserve"> galima susipažinti savivaldybės internetinėje svetainėje adresu </w:t>
      </w:r>
      <w:hyperlink r:id="rId9" w:history="1">
        <w:r w:rsidR="0013124F" w:rsidRPr="0013124F">
          <w:rPr>
            <w:rStyle w:val="Hipersaitas"/>
            <w:sz w:val="24"/>
            <w:szCs w:val="24"/>
          </w:rPr>
          <w:t>www.klaipėda.lt</w:t>
        </w:r>
      </w:hyperlink>
      <w:r w:rsidR="0013124F" w:rsidRPr="0013124F">
        <w:rPr>
          <w:sz w:val="24"/>
          <w:szCs w:val="24"/>
        </w:rPr>
        <w:t xml:space="preserve"> </w:t>
      </w:r>
      <w:r w:rsidR="0013124F">
        <w:rPr>
          <w:sz w:val="24"/>
          <w:szCs w:val="24"/>
        </w:rPr>
        <w:t>K</w:t>
      </w:r>
      <w:r w:rsidR="0013124F" w:rsidRPr="006717F7">
        <w:rPr>
          <w:sz w:val="24"/>
          <w:szCs w:val="24"/>
        </w:rPr>
        <w:t>ontrolės ir audito tarnybos</w:t>
      </w:r>
      <w:r w:rsidR="0013124F">
        <w:rPr>
          <w:sz w:val="24"/>
          <w:szCs w:val="24"/>
        </w:rPr>
        <w:t xml:space="preserve"> nuorodoje.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6717F7" w:rsidRPr="00352DC3" w:rsidRDefault="006717F7" w:rsidP="006717F7">
      <w:pPr>
        <w:ind w:firstLine="720"/>
        <w:jc w:val="both"/>
        <w:rPr>
          <w:sz w:val="24"/>
          <w:szCs w:val="24"/>
        </w:rPr>
      </w:pPr>
      <w:r w:rsidRPr="00352DC3">
        <w:rPr>
          <w:sz w:val="24"/>
          <w:szCs w:val="24"/>
        </w:rPr>
        <w:t xml:space="preserve">Sprendimo projektas suderintas su Savivaldybės administracijos Urbanistinės plėtros departamento Žemėtvarkos skyriaus specialistais, Finansų ir turto departamento </w:t>
      </w:r>
      <w:r w:rsidR="00352DC3" w:rsidRPr="00352DC3">
        <w:rPr>
          <w:sz w:val="24"/>
          <w:szCs w:val="24"/>
        </w:rPr>
        <w:t xml:space="preserve">Apskaitos ir Mokesčių skyrių </w:t>
      </w:r>
      <w:r w:rsidRPr="00352DC3">
        <w:rPr>
          <w:sz w:val="24"/>
          <w:szCs w:val="24"/>
        </w:rPr>
        <w:t>specialistais, Teisės skyriaus specialistais. Neigiamų specialistų vertinimų negauta.</w:t>
      </w:r>
    </w:p>
    <w:p w:rsidR="00690125" w:rsidRPr="00825737" w:rsidRDefault="00825737" w:rsidP="00690125">
      <w:pPr>
        <w:ind w:firstLine="720"/>
        <w:jc w:val="both"/>
        <w:rPr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  <w:r w:rsidR="006717F7">
        <w:rPr>
          <w:sz w:val="24"/>
          <w:szCs w:val="24"/>
        </w:rPr>
        <w:t>Nėra</w:t>
      </w:r>
      <w:r w:rsidR="00352DC3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  <w:r w:rsidRPr="00825737">
        <w:rPr>
          <w:color w:val="000000"/>
          <w:sz w:val="24"/>
          <w:szCs w:val="24"/>
        </w:rPr>
        <w:t xml:space="preserve"> </w:t>
      </w:r>
      <w:r w:rsidR="006717F7">
        <w:rPr>
          <w:color w:val="000000"/>
          <w:sz w:val="24"/>
          <w:szCs w:val="24"/>
        </w:rPr>
        <w:t>Nereikia</w:t>
      </w:r>
      <w:r w:rsidR="00352DC3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6717F7" w:rsidRPr="00352DC3" w:rsidRDefault="00352DC3" w:rsidP="006717F7">
      <w:pPr>
        <w:tabs>
          <w:tab w:val="left" w:pos="540"/>
        </w:tabs>
        <w:jc w:val="both"/>
        <w:rPr>
          <w:sz w:val="24"/>
          <w:szCs w:val="24"/>
        </w:rPr>
      </w:pPr>
      <w:r>
        <w:rPr>
          <w:bCs/>
          <w:szCs w:val="24"/>
        </w:rPr>
        <w:t xml:space="preserve">               </w:t>
      </w:r>
      <w:r w:rsidR="000012C6" w:rsidRPr="000012C6">
        <w:rPr>
          <w:bCs/>
          <w:sz w:val="24"/>
          <w:szCs w:val="24"/>
        </w:rPr>
        <w:t>Teigiamos pasekmės – p</w:t>
      </w:r>
      <w:r w:rsidRPr="000012C6">
        <w:rPr>
          <w:bCs/>
          <w:sz w:val="24"/>
          <w:szCs w:val="24"/>
        </w:rPr>
        <w:t>akeistas</w:t>
      </w:r>
      <w:r w:rsidRPr="00352DC3">
        <w:rPr>
          <w:bCs/>
          <w:sz w:val="24"/>
          <w:szCs w:val="24"/>
        </w:rPr>
        <w:t xml:space="preserve"> ir papildyta</w:t>
      </w:r>
      <w:r>
        <w:rPr>
          <w:bCs/>
          <w:sz w:val="24"/>
          <w:szCs w:val="24"/>
        </w:rPr>
        <w:t>s</w:t>
      </w:r>
      <w:r w:rsidR="006717F7" w:rsidRPr="00352DC3">
        <w:rPr>
          <w:bCs/>
          <w:sz w:val="24"/>
          <w:szCs w:val="24"/>
        </w:rPr>
        <w:t xml:space="preserve"> </w:t>
      </w:r>
      <w:r w:rsidR="006717F7" w:rsidRPr="00352DC3">
        <w:rPr>
          <w:sz w:val="24"/>
          <w:szCs w:val="24"/>
        </w:rPr>
        <w:t xml:space="preserve">Valstybinės </w:t>
      </w:r>
      <w:r w:rsidR="00DD0AF7">
        <w:rPr>
          <w:sz w:val="24"/>
          <w:szCs w:val="24"/>
        </w:rPr>
        <w:t>ŽNM</w:t>
      </w:r>
      <w:r w:rsidR="006717F7" w:rsidRPr="00352DC3">
        <w:rPr>
          <w:sz w:val="24"/>
          <w:szCs w:val="24"/>
        </w:rPr>
        <w:t xml:space="preserve"> administravimo tvarkos aprašas </w:t>
      </w:r>
      <w:r>
        <w:rPr>
          <w:sz w:val="24"/>
          <w:szCs w:val="24"/>
        </w:rPr>
        <w:t>pagal S</w:t>
      </w:r>
      <w:r w:rsidRPr="006717F7">
        <w:rPr>
          <w:sz w:val="24"/>
          <w:szCs w:val="24"/>
        </w:rPr>
        <w:t>avivaldybės kontrolės ir audito tarnybos</w:t>
      </w:r>
      <w:r>
        <w:rPr>
          <w:sz w:val="24"/>
          <w:szCs w:val="24"/>
        </w:rPr>
        <w:t xml:space="preserve"> rekomendacijas</w:t>
      </w:r>
      <w:r w:rsidR="006717F7" w:rsidRPr="00352DC3">
        <w:rPr>
          <w:bCs/>
          <w:sz w:val="24"/>
          <w:szCs w:val="24"/>
        </w:rPr>
        <w:t xml:space="preserve">. </w:t>
      </w:r>
    </w:p>
    <w:p w:rsidR="005B0BDD" w:rsidRDefault="00825737" w:rsidP="005B0BDD">
      <w:pPr>
        <w:ind w:firstLine="720"/>
        <w:jc w:val="both"/>
        <w:rPr>
          <w:sz w:val="24"/>
          <w:szCs w:val="24"/>
        </w:rPr>
      </w:pPr>
      <w:r w:rsidRPr="00C06A22">
        <w:rPr>
          <w:sz w:val="24"/>
          <w:szCs w:val="24"/>
        </w:rPr>
        <w:t>Neigiamos pasekmės n</w:t>
      </w:r>
      <w:r w:rsidR="006717F7">
        <w:rPr>
          <w:sz w:val="24"/>
          <w:szCs w:val="24"/>
        </w:rPr>
        <w:t>enumatomos</w:t>
      </w:r>
      <w:r w:rsidRPr="00C06A22">
        <w:rPr>
          <w:sz w:val="24"/>
          <w:szCs w:val="24"/>
        </w:rPr>
        <w:t>.</w:t>
      </w:r>
    </w:p>
    <w:p w:rsidR="005B0BDD" w:rsidRDefault="005B0BDD" w:rsidP="005B0BDD">
      <w:pPr>
        <w:ind w:firstLine="720"/>
        <w:jc w:val="both"/>
        <w:rPr>
          <w:sz w:val="24"/>
          <w:szCs w:val="24"/>
        </w:rPr>
      </w:pPr>
    </w:p>
    <w:p w:rsidR="00A76DF3" w:rsidRPr="00825737" w:rsidRDefault="00825737" w:rsidP="005B0BDD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 xml:space="preserve">Jolanta </w:t>
      </w:r>
      <w:proofErr w:type="spellStart"/>
      <w:r w:rsidRPr="00825737">
        <w:rPr>
          <w:sz w:val="24"/>
          <w:szCs w:val="24"/>
        </w:rPr>
        <w:t>Uptienė</w:t>
      </w:r>
      <w:proofErr w:type="spellEnd"/>
    </w:p>
    <w:sectPr w:rsidR="00A76DF3" w:rsidRPr="00825737" w:rsidSect="00890633">
      <w:footerReference w:type="default" r:id="rId10"/>
      <w:headerReference w:type="first" r:id="rId11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82" w:rsidRDefault="00752182" w:rsidP="00115812">
      <w:r>
        <w:separator/>
      </w:r>
    </w:p>
  </w:endnote>
  <w:endnote w:type="continuationSeparator" w:id="0">
    <w:p w:rsidR="00752182" w:rsidRDefault="0075218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Default="006901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82" w:rsidRDefault="00752182" w:rsidP="00115812">
      <w:r>
        <w:separator/>
      </w:r>
    </w:p>
  </w:footnote>
  <w:footnote w:type="continuationSeparator" w:id="0">
    <w:p w:rsidR="00752182" w:rsidRDefault="0075218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Pr="00A72A47" w:rsidRDefault="0069012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90125" w:rsidRPr="00A72A47" w:rsidRDefault="0069012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012C6"/>
    <w:rsid w:val="00031821"/>
    <w:rsid w:val="000709D7"/>
    <w:rsid w:val="000A28C2"/>
    <w:rsid w:val="000A3639"/>
    <w:rsid w:val="000A69A2"/>
    <w:rsid w:val="000C313E"/>
    <w:rsid w:val="000D736C"/>
    <w:rsid w:val="000E27C4"/>
    <w:rsid w:val="000E5C34"/>
    <w:rsid w:val="001028D2"/>
    <w:rsid w:val="00106978"/>
    <w:rsid w:val="00111B12"/>
    <w:rsid w:val="00112DA9"/>
    <w:rsid w:val="00115812"/>
    <w:rsid w:val="0013124F"/>
    <w:rsid w:val="00152EAC"/>
    <w:rsid w:val="00161520"/>
    <w:rsid w:val="00165549"/>
    <w:rsid w:val="00173940"/>
    <w:rsid w:val="0018734C"/>
    <w:rsid w:val="001B0534"/>
    <w:rsid w:val="001C1062"/>
    <w:rsid w:val="001C40B3"/>
    <w:rsid w:val="001D336B"/>
    <w:rsid w:val="001E64D7"/>
    <w:rsid w:val="001F305F"/>
    <w:rsid w:val="00213B37"/>
    <w:rsid w:val="00220015"/>
    <w:rsid w:val="00233245"/>
    <w:rsid w:val="002402EC"/>
    <w:rsid w:val="0026050E"/>
    <w:rsid w:val="00282D29"/>
    <w:rsid w:val="002834A6"/>
    <w:rsid w:val="002B393B"/>
    <w:rsid w:val="002C2D93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52DC3"/>
    <w:rsid w:val="00380885"/>
    <w:rsid w:val="003A6D13"/>
    <w:rsid w:val="003A784B"/>
    <w:rsid w:val="004038A8"/>
    <w:rsid w:val="00404EE6"/>
    <w:rsid w:val="0040794E"/>
    <w:rsid w:val="00422D31"/>
    <w:rsid w:val="004271D7"/>
    <w:rsid w:val="00427B15"/>
    <w:rsid w:val="004420E8"/>
    <w:rsid w:val="0044288E"/>
    <w:rsid w:val="00474C3D"/>
    <w:rsid w:val="00494E42"/>
    <w:rsid w:val="004B50D7"/>
    <w:rsid w:val="004C14AE"/>
    <w:rsid w:val="004C15B1"/>
    <w:rsid w:val="004D77C5"/>
    <w:rsid w:val="004F448D"/>
    <w:rsid w:val="005156C0"/>
    <w:rsid w:val="0052053E"/>
    <w:rsid w:val="00520B5D"/>
    <w:rsid w:val="005215B5"/>
    <w:rsid w:val="00521681"/>
    <w:rsid w:val="0057255B"/>
    <w:rsid w:val="00584EE5"/>
    <w:rsid w:val="005912CB"/>
    <w:rsid w:val="005942CB"/>
    <w:rsid w:val="005A491B"/>
    <w:rsid w:val="005B0BDD"/>
    <w:rsid w:val="005E651A"/>
    <w:rsid w:val="006048D5"/>
    <w:rsid w:val="00605450"/>
    <w:rsid w:val="0062089C"/>
    <w:rsid w:val="00656413"/>
    <w:rsid w:val="006567D0"/>
    <w:rsid w:val="00666E60"/>
    <w:rsid w:val="006717F7"/>
    <w:rsid w:val="00674FF8"/>
    <w:rsid w:val="00683A57"/>
    <w:rsid w:val="00690125"/>
    <w:rsid w:val="006A270A"/>
    <w:rsid w:val="006B75A2"/>
    <w:rsid w:val="006C00E4"/>
    <w:rsid w:val="006C322F"/>
    <w:rsid w:val="006C3F1F"/>
    <w:rsid w:val="006E6D35"/>
    <w:rsid w:val="006F1887"/>
    <w:rsid w:val="006F48B4"/>
    <w:rsid w:val="0071267E"/>
    <w:rsid w:val="00734B92"/>
    <w:rsid w:val="00736167"/>
    <w:rsid w:val="00752182"/>
    <w:rsid w:val="00783F85"/>
    <w:rsid w:val="007B0831"/>
    <w:rsid w:val="007C38E9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669C"/>
    <w:rsid w:val="00890633"/>
    <w:rsid w:val="008A2244"/>
    <w:rsid w:val="008B155D"/>
    <w:rsid w:val="008B3AC8"/>
    <w:rsid w:val="008C6600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3565A"/>
    <w:rsid w:val="00936313"/>
    <w:rsid w:val="00955F5E"/>
    <w:rsid w:val="009570F5"/>
    <w:rsid w:val="00976F76"/>
    <w:rsid w:val="009B208A"/>
    <w:rsid w:val="009B279A"/>
    <w:rsid w:val="009C1D39"/>
    <w:rsid w:val="009E6C1B"/>
    <w:rsid w:val="00A00E85"/>
    <w:rsid w:val="00A0272F"/>
    <w:rsid w:val="00A03050"/>
    <w:rsid w:val="00A228B5"/>
    <w:rsid w:val="00A302D3"/>
    <w:rsid w:val="00A41983"/>
    <w:rsid w:val="00A56ED9"/>
    <w:rsid w:val="00A72A47"/>
    <w:rsid w:val="00A76DF3"/>
    <w:rsid w:val="00A912A4"/>
    <w:rsid w:val="00A9153E"/>
    <w:rsid w:val="00AA64EF"/>
    <w:rsid w:val="00AB09A5"/>
    <w:rsid w:val="00AB57BB"/>
    <w:rsid w:val="00AB7788"/>
    <w:rsid w:val="00AC702A"/>
    <w:rsid w:val="00AF1507"/>
    <w:rsid w:val="00B01504"/>
    <w:rsid w:val="00B2351E"/>
    <w:rsid w:val="00B32862"/>
    <w:rsid w:val="00B328EA"/>
    <w:rsid w:val="00B4163F"/>
    <w:rsid w:val="00B42FDB"/>
    <w:rsid w:val="00B6629A"/>
    <w:rsid w:val="00B700B2"/>
    <w:rsid w:val="00B814AC"/>
    <w:rsid w:val="00B91FD8"/>
    <w:rsid w:val="00B960A9"/>
    <w:rsid w:val="00BA0C30"/>
    <w:rsid w:val="00BA604F"/>
    <w:rsid w:val="00BC083E"/>
    <w:rsid w:val="00BC13C2"/>
    <w:rsid w:val="00BD23F8"/>
    <w:rsid w:val="00BD2F6C"/>
    <w:rsid w:val="00BF0BC2"/>
    <w:rsid w:val="00BF4046"/>
    <w:rsid w:val="00C06A22"/>
    <w:rsid w:val="00C12F20"/>
    <w:rsid w:val="00C45305"/>
    <w:rsid w:val="00C524FA"/>
    <w:rsid w:val="00C56C04"/>
    <w:rsid w:val="00C5728D"/>
    <w:rsid w:val="00CB09D7"/>
    <w:rsid w:val="00CC02BA"/>
    <w:rsid w:val="00CC13CC"/>
    <w:rsid w:val="00CF1265"/>
    <w:rsid w:val="00CF1A6E"/>
    <w:rsid w:val="00D1289D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D0AF7"/>
    <w:rsid w:val="00DF0021"/>
    <w:rsid w:val="00DF2774"/>
    <w:rsid w:val="00E100B2"/>
    <w:rsid w:val="00E136F7"/>
    <w:rsid w:val="00E21884"/>
    <w:rsid w:val="00E2659C"/>
    <w:rsid w:val="00E3154A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83AA6"/>
    <w:rsid w:val="00F8534B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6717F7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717F7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6717F7"/>
    <w:pPr>
      <w:spacing w:after="120" w:line="480" w:lineRule="auto"/>
      <w:ind w:left="283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717F7"/>
    <w:rPr>
      <w:rFonts w:ascii="Times New Roman" w:eastAsia="Times New Roman" w:hAnsi="Times New Roman"/>
      <w:sz w:val="24"/>
      <w:szCs w:val="20"/>
    </w:rPr>
  </w:style>
  <w:style w:type="paragraph" w:customStyle="1" w:styleId="Hipersaitas1">
    <w:name w:val="Hipersaitas1"/>
    <w:rsid w:val="006717F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213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6717F7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717F7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6717F7"/>
    <w:pPr>
      <w:spacing w:after="120" w:line="480" w:lineRule="auto"/>
      <w:ind w:left="283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717F7"/>
    <w:rPr>
      <w:rFonts w:ascii="Times New Roman" w:eastAsia="Times New Roman" w:hAnsi="Times New Roman"/>
      <w:sz w:val="24"/>
      <w:szCs w:val="20"/>
    </w:rPr>
  </w:style>
  <w:style w:type="paragraph" w:customStyle="1" w:styleId="Hipersaitas1">
    <w:name w:val="Hipersaitas1"/>
    <w:rsid w:val="006717F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213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laip&#279;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E21B-CF2E-4C56-8E9E-8D3034A2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2014-05-14T07:52:00Z</dcterms:created>
  <dcterms:modified xsi:type="dcterms:W3CDTF">2014-05-14T07:52:00Z</dcterms:modified>
</cp:coreProperties>
</file>